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427A" w14:textId="42F094B9" w:rsidR="005F103F" w:rsidRDefault="00B2764C">
      <w:pPr>
        <w:rPr>
          <w:rFonts w:ascii="Calibri" w:eastAsiaTheme="minorEastAsia" w:hAnsi="Calibri"/>
          <w:b/>
          <w:lang w:eastAsia="en-NZ"/>
        </w:rPr>
      </w:pPr>
      <w:r>
        <w:rPr>
          <w:b/>
          <w:noProof/>
        </w:rPr>
        <w:drawing>
          <wp:anchor distT="0" distB="0" distL="114300" distR="114300" simplePos="0" relativeHeight="251658240" behindDoc="0" locked="0" layoutInCell="1" allowOverlap="1" wp14:anchorId="30E92EB3" wp14:editId="452C082A">
            <wp:simplePos x="0" y="0"/>
            <wp:positionH relativeFrom="column">
              <wp:posOffset>-1104322</wp:posOffset>
            </wp:positionH>
            <wp:positionV relativeFrom="paragraph">
              <wp:posOffset>-767715</wp:posOffset>
            </wp:positionV>
            <wp:extent cx="7605894" cy="10744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9750" cy="10750283"/>
                    </a:xfrm>
                    <a:prstGeom prst="rect">
                      <a:avLst/>
                    </a:prstGeom>
                    <a:noFill/>
                    <a:ln>
                      <a:noFill/>
                    </a:ln>
                  </pic:spPr>
                </pic:pic>
              </a:graphicData>
            </a:graphic>
            <wp14:sizeRelH relativeFrom="page">
              <wp14:pctWidth>0</wp14:pctWidth>
            </wp14:sizeRelH>
            <wp14:sizeRelV relativeFrom="page">
              <wp14:pctHeight>0</wp14:pctHeight>
            </wp14:sizeRelV>
          </wp:anchor>
        </w:drawing>
      </w:r>
      <w:r w:rsidR="005F103F">
        <w:rPr>
          <w:b/>
        </w:rPr>
        <w:br w:type="page"/>
      </w:r>
    </w:p>
    <w:p w14:paraId="496CEB5E" w14:textId="4AF7E685" w:rsidR="00D26B6C" w:rsidRPr="00683FF0" w:rsidRDefault="00D26B6C" w:rsidP="00D26B6C">
      <w:pPr>
        <w:pStyle w:val="Imprint"/>
        <w:spacing w:before="0" w:after="0"/>
        <w:rPr>
          <w:b/>
        </w:rPr>
      </w:pPr>
      <w:r w:rsidRPr="00683FF0">
        <w:rPr>
          <w:b/>
        </w:rPr>
        <w:lastRenderedPageBreak/>
        <w:t>Disclaimer</w:t>
      </w:r>
    </w:p>
    <w:p w14:paraId="1D611A8C" w14:textId="407DDF5A" w:rsidR="00D056C3" w:rsidRPr="00683FF0" w:rsidRDefault="00D056C3" w:rsidP="00D056C3">
      <w:pPr>
        <w:pStyle w:val="BodyText"/>
      </w:pPr>
      <w:r w:rsidRPr="00683FF0">
        <w:t xml:space="preserve">The information in this publication is, according to the Ministry for the Environment’s best efforts, accurate at the time of publication. </w:t>
      </w:r>
    </w:p>
    <w:p w14:paraId="314422E2" w14:textId="3EFB1F67" w:rsidR="00D056C3" w:rsidRPr="00683FF0" w:rsidRDefault="00D056C3" w:rsidP="00D056C3">
      <w:pPr>
        <w:pStyle w:val="Bullet"/>
      </w:pPr>
      <w:r w:rsidRPr="00683FF0">
        <w:t xml:space="preserve">It is not legal advice. Users should take specific advice from qualified professionals on the information in this publication. </w:t>
      </w:r>
    </w:p>
    <w:p w14:paraId="1DFB1085" w14:textId="558AB0AE" w:rsidR="00D056C3" w:rsidRPr="00683FF0" w:rsidRDefault="00D056C3" w:rsidP="00D056C3">
      <w:pPr>
        <w:pStyle w:val="Bullet"/>
      </w:pPr>
      <w:r w:rsidRPr="00683FF0">
        <w:t>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w:t>
      </w:r>
      <w:r w:rsidR="00C1630D" w:rsidRPr="00683FF0">
        <w:t xml:space="preserve"> </w:t>
      </w:r>
    </w:p>
    <w:p w14:paraId="4DC0C474" w14:textId="21F4E6F1" w:rsidR="00D26B6C" w:rsidRPr="00683FF0" w:rsidRDefault="00D056C3" w:rsidP="00D056C3">
      <w:pPr>
        <w:pStyle w:val="Bullet"/>
      </w:pPr>
      <w:r w:rsidRPr="00683FF0">
        <w:t>All references to websites, organisations or people not within the Ministry are for convenience only and should not be taken as endorsement of those websites or information contained in those websites nor of organisations or people referred to.</w:t>
      </w:r>
    </w:p>
    <w:p w14:paraId="773D6D81" w14:textId="77777777" w:rsidR="00D26B6C" w:rsidRPr="00683FF0" w:rsidRDefault="00D26B6C" w:rsidP="00D26B6C"/>
    <w:p w14:paraId="0A9EE620" w14:textId="741067CF" w:rsidR="00D26B6C" w:rsidRPr="00683FF0" w:rsidRDefault="00D26B6C" w:rsidP="007C6810">
      <w:pPr>
        <w:pStyle w:val="Imprint"/>
      </w:pPr>
      <w:r w:rsidRPr="00683FF0">
        <w:t>This document may be cited as: Ministry for the Environment. 2022.</w:t>
      </w:r>
      <w:r w:rsidR="005F103F" w:rsidRPr="005F103F">
        <w:t xml:space="preserve"> </w:t>
      </w:r>
      <w:r w:rsidR="005F103F" w:rsidRPr="005F103F">
        <w:rPr>
          <w:i/>
          <w:iCs/>
        </w:rPr>
        <w:t xml:space="preserve">Aotearoa New Zealand’s first emissions reduction plan: </w:t>
      </w:r>
      <w:r w:rsidR="00042523">
        <w:rPr>
          <w:i/>
          <w:iCs/>
        </w:rPr>
        <w:t xml:space="preserve">The </w:t>
      </w:r>
      <w:r w:rsidR="005F103F" w:rsidRPr="005F103F">
        <w:rPr>
          <w:i/>
          <w:iCs/>
        </w:rPr>
        <w:t>Government</w:t>
      </w:r>
      <w:r w:rsidR="008B14FC">
        <w:rPr>
          <w:i/>
          <w:iCs/>
        </w:rPr>
        <w:t>’s</w:t>
      </w:r>
      <w:r w:rsidR="005F103F" w:rsidRPr="005F103F">
        <w:rPr>
          <w:i/>
          <w:iCs/>
        </w:rPr>
        <w:t xml:space="preserve"> response to He Pou a Rangi </w:t>
      </w:r>
      <w:r w:rsidR="005F103F">
        <w:rPr>
          <w:i/>
          <w:iCs/>
        </w:rPr>
        <w:t>–</w:t>
      </w:r>
      <w:r w:rsidR="005F103F" w:rsidRPr="005F103F">
        <w:rPr>
          <w:i/>
          <w:iCs/>
        </w:rPr>
        <w:t xml:space="preserve"> Climate Change Commission’s recommendations</w:t>
      </w:r>
      <w:r w:rsidRPr="00683FF0">
        <w:t>. Wellington: Ministry for the Environment.</w:t>
      </w:r>
    </w:p>
    <w:p w14:paraId="0CEF21A2" w14:textId="77777777" w:rsidR="00D26B6C" w:rsidRPr="00683FF0" w:rsidRDefault="00D26B6C" w:rsidP="00D26B6C">
      <w:pPr>
        <w:pStyle w:val="Imprint"/>
      </w:pPr>
    </w:p>
    <w:p w14:paraId="4CEA0CAE" w14:textId="41AE40AB" w:rsidR="00D26B6C" w:rsidRPr="00683FF0" w:rsidRDefault="00D26B6C" w:rsidP="00D26B6C">
      <w:pPr>
        <w:pStyle w:val="Imprint"/>
      </w:pPr>
    </w:p>
    <w:p w14:paraId="1629FA08" w14:textId="6BC3F95A" w:rsidR="00D26B6C" w:rsidRPr="00683FF0" w:rsidRDefault="00D26B6C" w:rsidP="00D26B6C">
      <w:pPr>
        <w:pStyle w:val="Imprint"/>
      </w:pPr>
    </w:p>
    <w:p w14:paraId="5841EC94" w14:textId="77777777" w:rsidR="006F3FB9" w:rsidRPr="00683FF0" w:rsidRDefault="006F3FB9" w:rsidP="00D26B6C">
      <w:pPr>
        <w:pStyle w:val="Imprint"/>
      </w:pPr>
    </w:p>
    <w:p w14:paraId="6369CA70" w14:textId="77F77C65" w:rsidR="00D26B6C" w:rsidRPr="00683FF0" w:rsidRDefault="00D26B6C" w:rsidP="00D26B6C">
      <w:pPr>
        <w:pStyle w:val="Imprint"/>
      </w:pPr>
    </w:p>
    <w:p w14:paraId="6C6C3350" w14:textId="70090CE1" w:rsidR="00D26B6C" w:rsidRPr="00683FF0" w:rsidRDefault="00D26B6C" w:rsidP="00D26B6C">
      <w:pPr>
        <w:pStyle w:val="Imprint"/>
      </w:pPr>
    </w:p>
    <w:p w14:paraId="04684BE4" w14:textId="77777777" w:rsidR="00B4691C" w:rsidRPr="00683FF0" w:rsidRDefault="00B4691C" w:rsidP="00D26B6C">
      <w:pPr>
        <w:pStyle w:val="Imprint"/>
      </w:pPr>
    </w:p>
    <w:p w14:paraId="5B889D2B" w14:textId="77777777" w:rsidR="00B4691C" w:rsidRPr="00683FF0" w:rsidRDefault="00B4691C" w:rsidP="00D26B6C">
      <w:pPr>
        <w:pStyle w:val="Imprint"/>
      </w:pPr>
    </w:p>
    <w:p w14:paraId="264016A4" w14:textId="579A9480" w:rsidR="00D26B6C" w:rsidRPr="00683FF0" w:rsidRDefault="00D26B6C" w:rsidP="00D26B6C">
      <w:pPr>
        <w:pStyle w:val="Imprint"/>
      </w:pPr>
    </w:p>
    <w:p w14:paraId="2BE1CA3A" w14:textId="77777777" w:rsidR="00087B4F" w:rsidRPr="00683FF0" w:rsidRDefault="00087B4F" w:rsidP="00D26B6C">
      <w:pPr>
        <w:pStyle w:val="Imprint"/>
      </w:pPr>
    </w:p>
    <w:p w14:paraId="43CE59DA" w14:textId="77777777" w:rsidR="00E978EA" w:rsidRPr="00683FF0" w:rsidRDefault="00E978EA" w:rsidP="00E978EA">
      <w:pPr>
        <w:pStyle w:val="Imprint"/>
        <w:spacing w:before="0" w:after="0"/>
      </w:pPr>
    </w:p>
    <w:p w14:paraId="7D83C45F" w14:textId="77777777" w:rsidR="00D26B6C" w:rsidRPr="00683FF0" w:rsidRDefault="00D26B6C" w:rsidP="007C6810">
      <w:pPr>
        <w:pStyle w:val="Imprint"/>
      </w:pPr>
      <w:r w:rsidRPr="00683FF0">
        <w:t>Published in May 2022 by the</w:t>
      </w:r>
      <w:r w:rsidRPr="00683FF0">
        <w:br/>
        <w:t xml:space="preserve">Ministry for the Environment </w:t>
      </w:r>
      <w:r w:rsidRPr="00683FF0">
        <w:br/>
        <w:t>Manatū Mō Te Taiao</w:t>
      </w:r>
      <w:r w:rsidRPr="00683FF0">
        <w:br/>
        <w:t>PO Box 10362, Wellington 6143, New Zealand</w:t>
      </w:r>
    </w:p>
    <w:p w14:paraId="43116FF7" w14:textId="14B0A445" w:rsidR="00D26B6C" w:rsidRPr="00683FF0" w:rsidRDefault="00D26B6C" w:rsidP="007C6810">
      <w:pPr>
        <w:pStyle w:val="Imprint"/>
      </w:pPr>
      <w:r w:rsidRPr="00683FF0">
        <w:t xml:space="preserve">ISBN: </w:t>
      </w:r>
      <w:r w:rsidR="00087B4F" w:rsidRPr="00683FF0">
        <w:t>978-1-99-102537-1</w:t>
      </w:r>
    </w:p>
    <w:p w14:paraId="0F012F86" w14:textId="5278CF91" w:rsidR="00D26B6C" w:rsidRPr="00683FF0" w:rsidRDefault="00D26B6C" w:rsidP="007C6810">
      <w:pPr>
        <w:pStyle w:val="Imprint"/>
      </w:pPr>
      <w:r w:rsidRPr="00683FF0">
        <w:t xml:space="preserve">Publication number: </w:t>
      </w:r>
      <w:r w:rsidR="00087B4F" w:rsidRPr="00683FF0">
        <w:t>ME 1649</w:t>
      </w:r>
    </w:p>
    <w:p w14:paraId="3B88E486" w14:textId="1AC25E2E" w:rsidR="00D26B6C" w:rsidRPr="00683FF0" w:rsidRDefault="00D26B6C" w:rsidP="007C6810">
      <w:pPr>
        <w:pStyle w:val="Imprint"/>
      </w:pPr>
      <w:r w:rsidRPr="00683FF0">
        <w:t>© Crown copyright New Zealand 202</w:t>
      </w:r>
      <w:r w:rsidR="00F47A65">
        <w:t>2</w:t>
      </w:r>
    </w:p>
    <w:p w14:paraId="0DB3AF0A" w14:textId="72166379" w:rsidR="00D26B6C" w:rsidRPr="00683FF0" w:rsidRDefault="00D26B6C" w:rsidP="007C6810">
      <w:pPr>
        <w:pStyle w:val="Imprint"/>
        <w:rPr>
          <w:color w:val="32809C"/>
        </w:rPr>
        <w:sectPr w:rsidR="00D26B6C" w:rsidRPr="00683FF0" w:rsidSect="00351455">
          <w:headerReference w:type="even" r:id="rId12"/>
          <w:headerReference w:type="default" r:id="rId13"/>
          <w:footerReference w:type="even" r:id="rId14"/>
          <w:footerReference w:type="default" r:id="rId15"/>
          <w:headerReference w:type="first" r:id="rId16"/>
          <w:footerReference w:type="first" r:id="rId17"/>
          <w:pgSz w:w="11907" w:h="16840" w:code="9"/>
          <w:pgMar w:top="1134" w:right="1701" w:bottom="1134" w:left="1701" w:header="567" w:footer="567" w:gutter="0"/>
          <w:cols w:space="720"/>
          <w:docGrid w:linePitch="299"/>
        </w:sectPr>
      </w:pPr>
      <w:r w:rsidRPr="00683FF0">
        <w:t xml:space="preserve">This document is available on the Ministry for the Environment website: </w:t>
      </w:r>
      <w:hyperlink r:id="rId18" w:history="1">
        <w:r w:rsidRPr="00683FF0">
          <w:rPr>
            <w:rStyle w:val="Hyperlink"/>
          </w:rPr>
          <w:t>environment.govt.nz</w:t>
        </w:r>
      </w:hyperlink>
      <w:r w:rsidR="00975650" w:rsidRPr="00683FF0">
        <w:rPr>
          <w:rStyle w:val="Hyperlink"/>
        </w:rPr>
        <w:t xml:space="preserve"> </w:t>
      </w:r>
    </w:p>
    <w:p w14:paraId="7A06860F" w14:textId="77777777" w:rsidR="00026C25" w:rsidRPr="00683FF0" w:rsidRDefault="00026C25" w:rsidP="004867B0">
      <w:pPr>
        <w:pStyle w:val="Heading"/>
        <w:spacing w:after="240"/>
      </w:pPr>
      <w:r w:rsidRPr="00683FF0">
        <w:lastRenderedPageBreak/>
        <w:t>Contents</w:t>
      </w:r>
    </w:p>
    <w:p w14:paraId="7BF7DEB5" w14:textId="48FF0E78" w:rsidR="00E73F32" w:rsidRDefault="00814013">
      <w:pPr>
        <w:pStyle w:val="TOC1"/>
        <w:rPr>
          <w:rFonts w:asciiTheme="minorHAnsi" w:eastAsiaTheme="minorEastAsia" w:hAnsiTheme="minorHAnsi" w:cstheme="minorBidi"/>
          <w:lang w:eastAsia="en-NZ"/>
        </w:rPr>
      </w:pPr>
      <w:r w:rsidRPr="00683FF0">
        <w:rPr>
          <w:noProof w:val="0"/>
          <w:color w:val="0092CF"/>
        </w:rPr>
        <w:fldChar w:fldCharType="begin"/>
      </w:r>
      <w:r w:rsidRPr="00683FF0">
        <w:rPr>
          <w:noProof w:val="0"/>
          <w:color w:val="0092CF"/>
        </w:rPr>
        <w:instrText xml:space="preserve"> TOC \h \z \t "Heading 1,1,Heading 2,2" </w:instrText>
      </w:r>
      <w:r w:rsidRPr="00683FF0">
        <w:rPr>
          <w:noProof w:val="0"/>
          <w:color w:val="0092CF"/>
        </w:rPr>
        <w:fldChar w:fldCharType="separate"/>
      </w:r>
      <w:hyperlink w:anchor="_Toc103778780" w:history="1">
        <w:r w:rsidR="00E73F32" w:rsidRPr="00614575">
          <w:rPr>
            <w:rStyle w:val="Hyperlink"/>
          </w:rPr>
          <w:t>The Climate Change Commission’s advice</w:t>
        </w:r>
        <w:r w:rsidR="00E73F32">
          <w:rPr>
            <w:webHidden/>
          </w:rPr>
          <w:tab/>
        </w:r>
        <w:r w:rsidR="00E73F32">
          <w:rPr>
            <w:webHidden/>
          </w:rPr>
          <w:fldChar w:fldCharType="begin"/>
        </w:r>
        <w:r w:rsidR="00E73F32">
          <w:rPr>
            <w:webHidden/>
          </w:rPr>
          <w:instrText xml:space="preserve"> PAGEREF _Toc103778780 \h </w:instrText>
        </w:r>
        <w:r w:rsidR="00E73F32">
          <w:rPr>
            <w:webHidden/>
          </w:rPr>
        </w:r>
        <w:r w:rsidR="00E73F32">
          <w:rPr>
            <w:webHidden/>
          </w:rPr>
          <w:fldChar w:fldCharType="separate"/>
        </w:r>
        <w:r w:rsidR="00E73F32">
          <w:rPr>
            <w:webHidden/>
          </w:rPr>
          <w:t>4</w:t>
        </w:r>
        <w:r w:rsidR="00E73F32">
          <w:rPr>
            <w:webHidden/>
          </w:rPr>
          <w:fldChar w:fldCharType="end"/>
        </w:r>
      </w:hyperlink>
    </w:p>
    <w:p w14:paraId="6F27B40C" w14:textId="5E311556" w:rsidR="00E73F32" w:rsidRDefault="00E73F32">
      <w:pPr>
        <w:pStyle w:val="TOC1"/>
        <w:rPr>
          <w:rFonts w:asciiTheme="minorHAnsi" w:eastAsiaTheme="minorEastAsia" w:hAnsiTheme="minorHAnsi" w:cstheme="minorBidi"/>
          <w:lang w:eastAsia="en-NZ"/>
        </w:rPr>
      </w:pPr>
      <w:hyperlink w:anchor="_Toc103778781" w:history="1">
        <w:r w:rsidRPr="00614575">
          <w:rPr>
            <w:rStyle w:val="Hyperlink"/>
          </w:rPr>
          <w:t>Recommendations 1–4: Recommended emissions budgets</w:t>
        </w:r>
        <w:r>
          <w:rPr>
            <w:webHidden/>
          </w:rPr>
          <w:tab/>
        </w:r>
        <w:r>
          <w:rPr>
            <w:webHidden/>
          </w:rPr>
          <w:fldChar w:fldCharType="begin"/>
        </w:r>
        <w:r>
          <w:rPr>
            <w:webHidden/>
          </w:rPr>
          <w:instrText xml:space="preserve"> PAGEREF _Toc103778781 \h </w:instrText>
        </w:r>
        <w:r>
          <w:rPr>
            <w:webHidden/>
          </w:rPr>
        </w:r>
        <w:r>
          <w:rPr>
            <w:webHidden/>
          </w:rPr>
          <w:fldChar w:fldCharType="separate"/>
        </w:r>
        <w:r>
          <w:rPr>
            <w:webHidden/>
          </w:rPr>
          <w:t>5</w:t>
        </w:r>
        <w:r>
          <w:rPr>
            <w:webHidden/>
          </w:rPr>
          <w:fldChar w:fldCharType="end"/>
        </w:r>
      </w:hyperlink>
    </w:p>
    <w:p w14:paraId="61331895" w14:textId="15159E4B" w:rsidR="00E73F32" w:rsidRDefault="00E73F32">
      <w:pPr>
        <w:pStyle w:val="TOC1"/>
        <w:rPr>
          <w:rFonts w:asciiTheme="minorHAnsi" w:eastAsiaTheme="minorEastAsia" w:hAnsiTheme="minorHAnsi" w:cstheme="minorBidi"/>
          <w:lang w:eastAsia="en-NZ"/>
        </w:rPr>
      </w:pPr>
      <w:hyperlink w:anchor="_Toc103778782" w:history="1">
        <w:r w:rsidRPr="00614575">
          <w:rPr>
            <w:rStyle w:val="Hyperlink"/>
          </w:rPr>
          <w:t>Recommendation 5:  Rules for measuring progress towards emissions budgets and 2050 targets</w:t>
        </w:r>
        <w:r>
          <w:rPr>
            <w:webHidden/>
          </w:rPr>
          <w:tab/>
        </w:r>
        <w:r>
          <w:rPr>
            <w:webHidden/>
          </w:rPr>
          <w:fldChar w:fldCharType="begin"/>
        </w:r>
        <w:r>
          <w:rPr>
            <w:webHidden/>
          </w:rPr>
          <w:instrText xml:space="preserve"> PAGEREF _Toc103778782 \h </w:instrText>
        </w:r>
        <w:r>
          <w:rPr>
            <w:webHidden/>
          </w:rPr>
        </w:r>
        <w:r>
          <w:rPr>
            <w:webHidden/>
          </w:rPr>
          <w:fldChar w:fldCharType="separate"/>
        </w:r>
        <w:r>
          <w:rPr>
            <w:webHidden/>
          </w:rPr>
          <w:t>8</w:t>
        </w:r>
        <w:r>
          <w:rPr>
            <w:webHidden/>
          </w:rPr>
          <w:fldChar w:fldCharType="end"/>
        </w:r>
      </w:hyperlink>
    </w:p>
    <w:p w14:paraId="0042FF73" w14:textId="52D3F578" w:rsidR="00E73F32" w:rsidRDefault="00E73F32">
      <w:pPr>
        <w:pStyle w:val="TOC1"/>
        <w:rPr>
          <w:rFonts w:asciiTheme="minorHAnsi" w:eastAsiaTheme="minorEastAsia" w:hAnsiTheme="minorHAnsi" w:cstheme="minorBidi"/>
          <w:lang w:eastAsia="en-NZ"/>
        </w:rPr>
      </w:pPr>
      <w:hyperlink w:anchor="_Toc103778783" w:history="1">
        <w:r w:rsidRPr="00614575">
          <w:rPr>
            <w:rStyle w:val="Hyperlink"/>
          </w:rPr>
          <w:t>Recommendations 6–10:  Policy direction to create an enabling environment for change</w:t>
        </w:r>
        <w:r>
          <w:rPr>
            <w:webHidden/>
          </w:rPr>
          <w:tab/>
        </w:r>
        <w:r>
          <w:rPr>
            <w:webHidden/>
          </w:rPr>
          <w:fldChar w:fldCharType="begin"/>
        </w:r>
        <w:r>
          <w:rPr>
            <w:webHidden/>
          </w:rPr>
          <w:instrText xml:space="preserve"> PAGEREF _Toc103778783 \h </w:instrText>
        </w:r>
        <w:r>
          <w:rPr>
            <w:webHidden/>
          </w:rPr>
        </w:r>
        <w:r>
          <w:rPr>
            <w:webHidden/>
          </w:rPr>
          <w:fldChar w:fldCharType="separate"/>
        </w:r>
        <w:r>
          <w:rPr>
            <w:webHidden/>
          </w:rPr>
          <w:t>11</w:t>
        </w:r>
        <w:r>
          <w:rPr>
            <w:webHidden/>
          </w:rPr>
          <w:fldChar w:fldCharType="end"/>
        </w:r>
      </w:hyperlink>
    </w:p>
    <w:p w14:paraId="254E80CC" w14:textId="14CC0BE4" w:rsidR="00E73F32" w:rsidRDefault="00E73F32">
      <w:pPr>
        <w:pStyle w:val="TOC2"/>
        <w:rPr>
          <w:rFonts w:asciiTheme="minorHAnsi" w:eastAsiaTheme="minorEastAsia" w:hAnsiTheme="minorHAnsi" w:cstheme="minorBidi"/>
          <w:lang w:eastAsia="en-NZ"/>
        </w:rPr>
      </w:pPr>
      <w:hyperlink w:anchor="_Toc103778784" w:history="1">
        <w:r w:rsidRPr="00614575">
          <w:rPr>
            <w:rStyle w:val="Hyperlink"/>
          </w:rPr>
          <w:t>Treaty of Waitangi and the Crown–Māori relationship</w:t>
        </w:r>
        <w:r>
          <w:rPr>
            <w:webHidden/>
          </w:rPr>
          <w:tab/>
        </w:r>
        <w:r>
          <w:rPr>
            <w:webHidden/>
          </w:rPr>
          <w:fldChar w:fldCharType="begin"/>
        </w:r>
        <w:r>
          <w:rPr>
            <w:webHidden/>
          </w:rPr>
          <w:instrText xml:space="preserve"> PAGEREF _Toc103778784 \h </w:instrText>
        </w:r>
        <w:r>
          <w:rPr>
            <w:webHidden/>
          </w:rPr>
        </w:r>
        <w:r>
          <w:rPr>
            <w:webHidden/>
          </w:rPr>
          <w:fldChar w:fldCharType="separate"/>
        </w:r>
        <w:r>
          <w:rPr>
            <w:webHidden/>
          </w:rPr>
          <w:t>11</w:t>
        </w:r>
        <w:r>
          <w:rPr>
            <w:webHidden/>
          </w:rPr>
          <w:fldChar w:fldCharType="end"/>
        </w:r>
      </w:hyperlink>
    </w:p>
    <w:p w14:paraId="4FAFD76B" w14:textId="3A97CCBD" w:rsidR="00E73F32" w:rsidRDefault="00E73F32">
      <w:pPr>
        <w:pStyle w:val="TOC2"/>
        <w:rPr>
          <w:rFonts w:asciiTheme="minorHAnsi" w:eastAsiaTheme="minorEastAsia" w:hAnsiTheme="minorHAnsi" w:cstheme="minorBidi"/>
          <w:lang w:eastAsia="en-NZ"/>
        </w:rPr>
      </w:pPr>
      <w:hyperlink w:anchor="_Toc103778785" w:history="1">
        <w:r w:rsidRPr="00614575">
          <w:rPr>
            <w:rStyle w:val="Hyperlink"/>
          </w:rPr>
          <w:t>Cross-party support for emissions budgets</w:t>
        </w:r>
        <w:r>
          <w:rPr>
            <w:webHidden/>
          </w:rPr>
          <w:tab/>
        </w:r>
        <w:r>
          <w:rPr>
            <w:webHidden/>
          </w:rPr>
          <w:fldChar w:fldCharType="begin"/>
        </w:r>
        <w:r>
          <w:rPr>
            <w:webHidden/>
          </w:rPr>
          <w:instrText xml:space="preserve"> PAGEREF _Toc103778785 \h </w:instrText>
        </w:r>
        <w:r>
          <w:rPr>
            <w:webHidden/>
          </w:rPr>
        </w:r>
        <w:r>
          <w:rPr>
            <w:webHidden/>
          </w:rPr>
          <w:fldChar w:fldCharType="separate"/>
        </w:r>
        <w:r>
          <w:rPr>
            <w:webHidden/>
          </w:rPr>
          <w:t>12</w:t>
        </w:r>
        <w:r>
          <w:rPr>
            <w:webHidden/>
          </w:rPr>
          <w:fldChar w:fldCharType="end"/>
        </w:r>
      </w:hyperlink>
    </w:p>
    <w:p w14:paraId="27E80CC6" w14:textId="2373CA82" w:rsidR="00E73F32" w:rsidRDefault="00E73F32">
      <w:pPr>
        <w:pStyle w:val="TOC2"/>
        <w:rPr>
          <w:rFonts w:asciiTheme="minorHAnsi" w:eastAsiaTheme="minorEastAsia" w:hAnsiTheme="minorHAnsi" w:cstheme="minorBidi"/>
          <w:lang w:eastAsia="en-NZ"/>
        </w:rPr>
      </w:pPr>
      <w:hyperlink w:anchor="_Toc103778786" w:history="1">
        <w:r w:rsidRPr="00614575">
          <w:rPr>
            <w:rStyle w:val="Hyperlink"/>
          </w:rPr>
          <w:t>Aligning central and local government efforts</w:t>
        </w:r>
        <w:r>
          <w:rPr>
            <w:webHidden/>
          </w:rPr>
          <w:tab/>
        </w:r>
        <w:r>
          <w:rPr>
            <w:webHidden/>
          </w:rPr>
          <w:fldChar w:fldCharType="begin"/>
        </w:r>
        <w:r>
          <w:rPr>
            <w:webHidden/>
          </w:rPr>
          <w:instrText xml:space="preserve"> PAGEREF _Toc103778786 \h </w:instrText>
        </w:r>
        <w:r>
          <w:rPr>
            <w:webHidden/>
          </w:rPr>
        </w:r>
        <w:r>
          <w:rPr>
            <w:webHidden/>
          </w:rPr>
          <w:fldChar w:fldCharType="separate"/>
        </w:r>
        <w:r>
          <w:rPr>
            <w:webHidden/>
          </w:rPr>
          <w:t>12</w:t>
        </w:r>
        <w:r>
          <w:rPr>
            <w:webHidden/>
          </w:rPr>
          <w:fldChar w:fldCharType="end"/>
        </w:r>
      </w:hyperlink>
    </w:p>
    <w:p w14:paraId="0C3EC6CC" w14:textId="353DA28E" w:rsidR="00E73F32" w:rsidRDefault="00E73F32">
      <w:pPr>
        <w:pStyle w:val="TOC2"/>
        <w:rPr>
          <w:rFonts w:asciiTheme="minorHAnsi" w:eastAsiaTheme="minorEastAsia" w:hAnsiTheme="minorHAnsi" w:cstheme="minorBidi"/>
          <w:lang w:eastAsia="en-NZ"/>
        </w:rPr>
      </w:pPr>
      <w:hyperlink w:anchor="_Toc103778787" w:history="1">
        <w:r w:rsidRPr="00614575">
          <w:rPr>
            <w:rStyle w:val="Hyperlink"/>
          </w:rPr>
          <w:t>Coordinating efforts to address climate change across government</w:t>
        </w:r>
        <w:r>
          <w:rPr>
            <w:webHidden/>
          </w:rPr>
          <w:tab/>
        </w:r>
        <w:r>
          <w:rPr>
            <w:webHidden/>
          </w:rPr>
          <w:fldChar w:fldCharType="begin"/>
        </w:r>
        <w:r>
          <w:rPr>
            <w:webHidden/>
          </w:rPr>
          <w:instrText xml:space="preserve"> PAGEREF _Toc103778787 \h </w:instrText>
        </w:r>
        <w:r>
          <w:rPr>
            <w:webHidden/>
          </w:rPr>
        </w:r>
        <w:r>
          <w:rPr>
            <w:webHidden/>
          </w:rPr>
          <w:fldChar w:fldCharType="separate"/>
        </w:r>
        <w:r>
          <w:rPr>
            <w:webHidden/>
          </w:rPr>
          <w:t>15</w:t>
        </w:r>
        <w:r>
          <w:rPr>
            <w:webHidden/>
          </w:rPr>
          <w:fldChar w:fldCharType="end"/>
        </w:r>
      </w:hyperlink>
    </w:p>
    <w:p w14:paraId="5F5D42CB" w14:textId="6D8075E9" w:rsidR="00E73F32" w:rsidRDefault="00E73F32">
      <w:pPr>
        <w:pStyle w:val="TOC2"/>
        <w:rPr>
          <w:rFonts w:asciiTheme="minorHAnsi" w:eastAsiaTheme="minorEastAsia" w:hAnsiTheme="minorHAnsi" w:cstheme="minorBidi"/>
          <w:lang w:eastAsia="en-NZ"/>
        </w:rPr>
      </w:pPr>
      <w:hyperlink w:anchor="_Toc103778788" w:history="1">
        <w:r w:rsidRPr="00614575">
          <w:rPr>
            <w:rStyle w:val="Hyperlink"/>
          </w:rPr>
          <w:t>Ensuring inclusive and effective consultation, engagement and public participation</w:t>
        </w:r>
        <w:r>
          <w:rPr>
            <w:webHidden/>
          </w:rPr>
          <w:tab/>
        </w:r>
        <w:r>
          <w:rPr>
            <w:webHidden/>
          </w:rPr>
          <w:fldChar w:fldCharType="begin"/>
        </w:r>
        <w:r>
          <w:rPr>
            <w:webHidden/>
          </w:rPr>
          <w:instrText xml:space="preserve"> PAGEREF _Toc103778788 \h </w:instrText>
        </w:r>
        <w:r>
          <w:rPr>
            <w:webHidden/>
          </w:rPr>
        </w:r>
        <w:r>
          <w:rPr>
            <w:webHidden/>
          </w:rPr>
          <w:fldChar w:fldCharType="separate"/>
        </w:r>
        <w:r>
          <w:rPr>
            <w:webHidden/>
          </w:rPr>
          <w:t>16</w:t>
        </w:r>
        <w:r>
          <w:rPr>
            <w:webHidden/>
          </w:rPr>
          <w:fldChar w:fldCharType="end"/>
        </w:r>
      </w:hyperlink>
    </w:p>
    <w:p w14:paraId="17D858EA" w14:textId="712782E0" w:rsidR="00E73F32" w:rsidRDefault="00E73F32">
      <w:pPr>
        <w:pStyle w:val="TOC1"/>
        <w:rPr>
          <w:rFonts w:asciiTheme="minorHAnsi" w:eastAsiaTheme="minorEastAsia" w:hAnsiTheme="minorHAnsi" w:cstheme="minorBidi"/>
          <w:lang w:eastAsia="en-NZ"/>
        </w:rPr>
      </w:pPr>
      <w:hyperlink w:anchor="_Toc103778789" w:history="1">
        <w:r w:rsidRPr="00614575">
          <w:rPr>
            <w:rStyle w:val="Hyperlink"/>
          </w:rPr>
          <w:t>Recommendations 11–16:  Policy direction that cuts across sectors</w:t>
        </w:r>
        <w:r>
          <w:rPr>
            <w:webHidden/>
          </w:rPr>
          <w:tab/>
        </w:r>
        <w:r>
          <w:rPr>
            <w:webHidden/>
          </w:rPr>
          <w:fldChar w:fldCharType="begin"/>
        </w:r>
        <w:r>
          <w:rPr>
            <w:webHidden/>
          </w:rPr>
          <w:instrText xml:space="preserve"> PAGEREF _Toc103778789 \h </w:instrText>
        </w:r>
        <w:r>
          <w:rPr>
            <w:webHidden/>
          </w:rPr>
        </w:r>
        <w:r>
          <w:rPr>
            <w:webHidden/>
          </w:rPr>
          <w:fldChar w:fldCharType="separate"/>
        </w:r>
        <w:r>
          <w:rPr>
            <w:webHidden/>
          </w:rPr>
          <w:t>17</w:t>
        </w:r>
        <w:r>
          <w:rPr>
            <w:webHidden/>
          </w:rPr>
          <w:fldChar w:fldCharType="end"/>
        </w:r>
      </w:hyperlink>
    </w:p>
    <w:p w14:paraId="61D7C373" w14:textId="1A41DFDD" w:rsidR="00E73F32" w:rsidRDefault="00E73F32">
      <w:pPr>
        <w:pStyle w:val="TOC2"/>
        <w:rPr>
          <w:rFonts w:asciiTheme="minorHAnsi" w:eastAsiaTheme="minorEastAsia" w:hAnsiTheme="minorHAnsi" w:cstheme="minorBidi"/>
          <w:lang w:eastAsia="en-NZ"/>
        </w:rPr>
      </w:pPr>
      <w:hyperlink w:anchor="_Toc103778790" w:history="1">
        <w:r w:rsidRPr="00614575">
          <w:rPr>
            <w:rStyle w:val="Hyperlink"/>
          </w:rPr>
          <w:t>Strengthen market incentives to drive low</w:t>
        </w:r>
        <w:r w:rsidRPr="00614575">
          <w:rPr>
            <w:rStyle w:val="Hyperlink"/>
          </w:rPr>
          <w:noBreakHyphen/>
          <w:t>emissions choices</w:t>
        </w:r>
        <w:r>
          <w:rPr>
            <w:webHidden/>
          </w:rPr>
          <w:tab/>
        </w:r>
        <w:r>
          <w:rPr>
            <w:webHidden/>
          </w:rPr>
          <w:fldChar w:fldCharType="begin"/>
        </w:r>
        <w:r>
          <w:rPr>
            <w:webHidden/>
          </w:rPr>
          <w:instrText xml:space="preserve"> PAGEREF _Toc103778790 \h </w:instrText>
        </w:r>
        <w:r>
          <w:rPr>
            <w:webHidden/>
          </w:rPr>
        </w:r>
        <w:r>
          <w:rPr>
            <w:webHidden/>
          </w:rPr>
          <w:fldChar w:fldCharType="separate"/>
        </w:r>
        <w:r>
          <w:rPr>
            <w:webHidden/>
          </w:rPr>
          <w:t>17</w:t>
        </w:r>
        <w:r>
          <w:rPr>
            <w:webHidden/>
          </w:rPr>
          <w:fldChar w:fldCharType="end"/>
        </w:r>
      </w:hyperlink>
    </w:p>
    <w:p w14:paraId="2D7206B1" w14:textId="7924CC64" w:rsidR="00E73F32" w:rsidRDefault="00E73F32">
      <w:pPr>
        <w:pStyle w:val="TOC2"/>
        <w:rPr>
          <w:rFonts w:asciiTheme="minorHAnsi" w:eastAsiaTheme="minorEastAsia" w:hAnsiTheme="minorHAnsi" w:cstheme="minorBidi"/>
          <w:lang w:eastAsia="en-NZ"/>
        </w:rPr>
      </w:pPr>
      <w:hyperlink w:anchor="_Toc103778791" w:history="1">
        <w:r w:rsidRPr="00614575">
          <w:rPr>
            <w:rStyle w:val="Hyperlink"/>
          </w:rPr>
          <w:t>Make investments net-zero compatible</w:t>
        </w:r>
        <w:r>
          <w:rPr>
            <w:webHidden/>
          </w:rPr>
          <w:tab/>
        </w:r>
        <w:r>
          <w:rPr>
            <w:webHidden/>
          </w:rPr>
          <w:fldChar w:fldCharType="begin"/>
        </w:r>
        <w:r>
          <w:rPr>
            <w:webHidden/>
          </w:rPr>
          <w:instrText xml:space="preserve"> PAGEREF _Toc103778791 \h </w:instrText>
        </w:r>
        <w:r>
          <w:rPr>
            <w:webHidden/>
          </w:rPr>
        </w:r>
        <w:r>
          <w:rPr>
            <w:webHidden/>
          </w:rPr>
          <w:fldChar w:fldCharType="separate"/>
        </w:r>
        <w:r>
          <w:rPr>
            <w:webHidden/>
          </w:rPr>
          <w:t>20</w:t>
        </w:r>
        <w:r>
          <w:rPr>
            <w:webHidden/>
          </w:rPr>
          <w:fldChar w:fldCharType="end"/>
        </w:r>
      </w:hyperlink>
    </w:p>
    <w:p w14:paraId="0A778E12" w14:textId="7E6B8BDB" w:rsidR="00E73F32" w:rsidRDefault="00E73F32">
      <w:pPr>
        <w:pStyle w:val="TOC2"/>
        <w:rPr>
          <w:rFonts w:asciiTheme="minorHAnsi" w:eastAsiaTheme="minorEastAsia" w:hAnsiTheme="minorHAnsi" w:cstheme="minorBidi"/>
          <w:lang w:eastAsia="en-NZ"/>
        </w:rPr>
      </w:pPr>
      <w:hyperlink w:anchor="_Toc103778792" w:history="1">
        <w:r w:rsidRPr="00614575">
          <w:rPr>
            <w:rStyle w:val="Hyperlink"/>
          </w:rPr>
          <w:t>Enable system-level change through innovation, finance and behaviour change</w:t>
        </w:r>
        <w:r>
          <w:rPr>
            <w:webHidden/>
          </w:rPr>
          <w:tab/>
        </w:r>
        <w:r>
          <w:rPr>
            <w:webHidden/>
          </w:rPr>
          <w:fldChar w:fldCharType="begin"/>
        </w:r>
        <w:r>
          <w:rPr>
            <w:webHidden/>
          </w:rPr>
          <w:instrText xml:space="preserve"> PAGEREF _Toc103778792 \h </w:instrText>
        </w:r>
        <w:r>
          <w:rPr>
            <w:webHidden/>
          </w:rPr>
        </w:r>
        <w:r>
          <w:rPr>
            <w:webHidden/>
          </w:rPr>
          <w:fldChar w:fldCharType="separate"/>
        </w:r>
        <w:r>
          <w:rPr>
            <w:webHidden/>
          </w:rPr>
          <w:t>21</w:t>
        </w:r>
        <w:r>
          <w:rPr>
            <w:webHidden/>
          </w:rPr>
          <w:fldChar w:fldCharType="end"/>
        </w:r>
      </w:hyperlink>
    </w:p>
    <w:p w14:paraId="2791ECE2" w14:textId="7E1388D0" w:rsidR="00E73F32" w:rsidRDefault="00E73F32">
      <w:pPr>
        <w:pStyle w:val="TOC2"/>
        <w:rPr>
          <w:rFonts w:asciiTheme="minorHAnsi" w:eastAsiaTheme="minorEastAsia" w:hAnsiTheme="minorHAnsi" w:cstheme="minorBidi"/>
          <w:lang w:eastAsia="en-NZ"/>
        </w:rPr>
      </w:pPr>
      <w:hyperlink w:anchor="_Toc103778793" w:history="1">
        <w:r w:rsidRPr="00614575">
          <w:rPr>
            <w:rStyle w:val="Hyperlink"/>
          </w:rPr>
          <w:t>Increase the circularity of the economy</w:t>
        </w:r>
        <w:r>
          <w:rPr>
            <w:webHidden/>
          </w:rPr>
          <w:tab/>
        </w:r>
        <w:r>
          <w:rPr>
            <w:webHidden/>
          </w:rPr>
          <w:fldChar w:fldCharType="begin"/>
        </w:r>
        <w:r>
          <w:rPr>
            <w:webHidden/>
          </w:rPr>
          <w:instrText xml:space="preserve"> PAGEREF _Toc103778793 \h </w:instrText>
        </w:r>
        <w:r>
          <w:rPr>
            <w:webHidden/>
          </w:rPr>
        </w:r>
        <w:r>
          <w:rPr>
            <w:webHidden/>
          </w:rPr>
          <w:fldChar w:fldCharType="separate"/>
        </w:r>
        <w:r>
          <w:rPr>
            <w:webHidden/>
          </w:rPr>
          <w:t>24</w:t>
        </w:r>
        <w:r>
          <w:rPr>
            <w:webHidden/>
          </w:rPr>
          <w:fldChar w:fldCharType="end"/>
        </w:r>
      </w:hyperlink>
    </w:p>
    <w:p w14:paraId="24395140" w14:textId="69953ED0" w:rsidR="00E73F32" w:rsidRDefault="00E73F32">
      <w:pPr>
        <w:pStyle w:val="TOC2"/>
        <w:rPr>
          <w:rFonts w:asciiTheme="minorHAnsi" w:eastAsiaTheme="minorEastAsia" w:hAnsiTheme="minorHAnsi" w:cstheme="minorBidi"/>
          <w:lang w:eastAsia="en-NZ"/>
        </w:rPr>
      </w:pPr>
      <w:hyperlink w:anchor="_Toc103778794" w:history="1">
        <w:r w:rsidRPr="00614575">
          <w:rPr>
            <w:rStyle w:val="Hyperlink"/>
          </w:rPr>
          <w:t>Develop a thriving, climate-resilient bioeconomy that delivers emissions reductions</w:t>
        </w:r>
        <w:r>
          <w:rPr>
            <w:webHidden/>
          </w:rPr>
          <w:tab/>
        </w:r>
        <w:r>
          <w:rPr>
            <w:webHidden/>
          </w:rPr>
          <w:fldChar w:fldCharType="begin"/>
        </w:r>
        <w:r>
          <w:rPr>
            <w:webHidden/>
          </w:rPr>
          <w:instrText xml:space="preserve"> PAGEREF _Toc103778794 \h </w:instrText>
        </w:r>
        <w:r>
          <w:rPr>
            <w:webHidden/>
          </w:rPr>
        </w:r>
        <w:r>
          <w:rPr>
            <w:webHidden/>
          </w:rPr>
          <w:fldChar w:fldCharType="separate"/>
        </w:r>
        <w:r>
          <w:rPr>
            <w:webHidden/>
          </w:rPr>
          <w:t>25</w:t>
        </w:r>
        <w:r>
          <w:rPr>
            <w:webHidden/>
          </w:rPr>
          <w:fldChar w:fldCharType="end"/>
        </w:r>
      </w:hyperlink>
    </w:p>
    <w:p w14:paraId="45EED21A" w14:textId="1F6BA0B8" w:rsidR="00E73F32" w:rsidRDefault="00E73F32">
      <w:pPr>
        <w:pStyle w:val="TOC2"/>
        <w:rPr>
          <w:rFonts w:asciiTheme="minorHAnsi" w:eastAsiaTheme="minorEastAsia" w:hAnsiTheme="minorHAnsi" w:cstheme="minorBidi"/>
          <w:lang w:eastAsia="en-NZ"/>
        </w:rPr>
      </w:pPr>
      <w:hyperlink w:anchor="_Toc103778795" w:history="1">
        <w:r w:rsidRPr="00614575">
          <w:rPr>
            <w:rStyle w:val="Hyperlink"/>
          </w:rPr>
          <w:t>Enable emissions reductions through changes to urban form, function and development</w:t>
        </w:r>
        <w:r>
          <w:rPr>
            <w:webHidden/>
          </w:rPr>
          <w:tab/>
        </w:r>
        <w:r>
          <w:rPr>
            <w:webHidden/>
          </w:rPr>
          <w:fldChar w:fldCharType="begin"/>
        </w:r>
        <w:r>
          <w:rPr>
            <w:webHidden/>
          </w:rPr>
          <w:instrText xml:space="preserve"> PAGEREF _Toc103778795 \h </w:instrText>
        </w:r>
        <w:r>
          <w:rPr>
            <w:webHidden/>
          </w:rPr>
        </w:r>
        <w:r>
          <w:rPr>
            <w:webHidden/>
          </w:rPr>
          <w:fldChar w:fldCharType="separate"/>
        </w:r>
        <w:r>
          <w:rPr>
            <w:webHidden/>
          </w:rPr>
          <w:t>27</w:t>
        </w:r>
        <w:r>
          <w:rPr>
            <w:webHidden/>
          </w:rPr>
          <w:fldChar w:fldCharType="end"/>
        </w:r>
      </w:hyperlink>
    </w:p>
    <w:p w14:paraId="75FEFEB7" w14:textId="7752B334" w:rsidR="00E73F32" w:rsidRDefault="00E73F32">
      <w:pPr>
        <w:pStyle w:val="TOC1"/>
        <w:rPr>
          <w:rFonts w:asciiTheme="minorHAnsi" w:eastAsiaTheme="minorEastAsia" w:hAnsiTheme="minorHAnsi" w:cstheme="minorBidi"/>
          <w:lang w:eastAsia="en-NZ"/>
        </w:rPr>
      </w:pPr>
      <w:hyperlink w:anchor="_Toc103778796" w:history="1">
        <w:r w:rsidRPr="00614575">
          <w:rPr>
            <w:rStyle w:val="Hyperlink"/>
          </w:rPr>
          <w:t>Recommendations 17–19:  Policy direction for transport</w:t>
        </w:r>
        <w:r>
          <w:rPr>
            <w:webHidden/>
          </w:rPr>
          <w:tab/>
        </w:r>
        <w:r>
          <w:rPr>
            <w:webHidden/>
          </w:rPr>
          <w:fldChar w:fldCharType="begin"/>
        </w:r>
        <w:r>
          <w:rPr>
            <w:webHidden/>
          </w:rPr>
          <w:instrText xml:space="preserve"> PAGEREF _Toc103778796 \h </w:instrText>
        </w:r>
        <w:r>
          <w:rPr>
            <w:webHidden/>
          </w:rPr>
        </w:r>
        <w:r>
          <w:rPr>
            <w:webHidden/>
          </w:rPr>
          <w:fldChar w:fldCharType="separate"/>
        </w:r>
        <w:r>
          <w:rPr>
            <w:webHidden/>
          </w:rPr>
          <w:t>30</w:t>
        </w:r>
        <w:r>
          <w:rPr>
            <w:webHidden/>
          </w:rPr>
          <w:fldChar w:fldCharType="end"/>
        </w:r>
      </w:hyperlink>
    </w:p>
    <w:p w14:paraId="527EB96D" w14:textId="6A4AD3FA" w:rsidR="00E73F32" w:rsidRDefault="00E73F32">
      <w:pPr>
        <w:pStyle w:val="TOC1"/>
        <w:rPr>
          <w:rFonts w:asciiTheme="minorHAnsi" w:eastAsiaTheme="minorEastAsia" w:hAnsiTheme="minorHAnsi" w:cstheme="minorBidi"/>
          <w:lang w:eastAsia="en-NZ"/>
        </w:rPr>
      </w:pPr>
      <w:hyperlink w:anchor="_Toc103778797" w:history="1">
        <w:r w:rsidRPr="00614575">
          <w:rPr>
            <w:rStyle w:val="Hyperlink"/>
          </w:rPr>
          <w:t>Recommendations 20–22:  Policy direction for energy, industry and buildings</w:t>
        </w:r>
        <w:r>
          <w:rPr>
            <w:webHidden/>
          </w:rPr>
          <w:tab/>
        </w:r>
        <w:r>
          <w:rPr>
            <w:webHidden/>
          </w:rPr>
          <w:fldChar w:fldCharType="begin"/>
        </w:r>
        <w:r>
          <w:rPr>
            <w:webHidden/>
          </w:rPr>
          <w:instrText xml:space="preserve"> PAGEREF _Toc103778797 \h </w:instrText>
        </w:r>
        <w:r>
          <w:rPr>
            <w:webHidden/>
          </w:rPr>
        </w:r>
        <w:r>
          <w:rPr>
            <w:webHidden/>
          </w:rPr>
          <w:fldChar w:fldCharType="separate"/>
        </w:r>
        <w:r>
          <w:rPr>
            <w:webHidden/>
          </w:rPr>
          <w:t>36</w:t>
        </w:r>
        <w:r>
          <w:rPr>
            <w:webHidden/>
          </w:rPr>
          <w:fldChar w:fldCharType="end"/>
        </w:r>
      </w:hyperlink>
    </w:p>
    <w:p w14:paraId="629C69AE" w14:textId="70CA4079" w:rsidR="00E73F32" w:rsidRDefault="00E73F32">
      <w:pPr>
        <w:pStyle w:val="TOC2"/>
        <w:rPr>
          <w:rFonts w:asciiTheme="minorHAnsi" w:eastAsiaTheme="minorEastAsia" w:hAnsiTheme="minorHAnsi" w:cstheme="minorBidi"/>
          <w:lang w:eastAsia="en-NZ"/>
        </w:rPr>
      </w:pPr>
      <w:hyperlink w:anchor="_Toc103778798" w:history="1">
        <w:r w:rsidRPr="00614575">
          <w:rPr>
            <w:rStyle w:val="Hyperlink"/>
          </w:rPr>
          <w:t>Energy</w:t>
        </w:r>
        <w:r>
          <w:rPr>
            <w:webHidden/>
          </w:rPr>
          <w:tab/>
        </w:r>
        <w:r>
          <w:rPr>
            <w:webHidden/>
          </w:rPr>
          <w:fldChar w:fldCharType="begin"/>
        </w:r>
        <w:r>
          <w:rPr>
            <w:webHidden/>
          </w:rPr>
          <w:instrText xml:space="preserve"> PAGEREF _Toc103778798 \h </w:instrText>
        </w:r>
        <w:r>
          <w:rPr>
            <w:webHidden/>
          </w:rPr>
        </w:r>
        <w:r>
          <w:rPr>
            <w:webHidden/>
          </w:rPr>
          <w:fldChar w:fldCharType="separate"/>
        </w:r>
        <w:r>
          <w:rPr>
            <w:webHidden/>
          </w:rPr>
          <w:t>36</w:t>
        </w:r>
        <w:r>
          <w:rPr>
            <w:webHidden/>
          </w:rPr>
          <w:fldChar w:fldCharType="end"/>
        </w:r>
      </w:hyperlink>
    </w:p>
    <w:p w14:paraId="258F254F" w14:textId="70734870" w:rsidR="00E73F32" w:rsidRDefault="00E73F32">
      <w:pPr>
        <w:pStyle w:val="TOC2"/>
        <w:rPr>
          <w:rFonts w:asciiTheme="minorHAnsi" w:eastAsiaTheme="minorEastAsia" w:hAnsiTheme="minorHAnsi" w:cstheme="minorBidi"/>
          <w:lang w:eastAsia="en-NZ"/>
        </w:rPr>
      </w:pPr>
      <w:hyperlink w:anchor="_Toc103778799" w:history="1">
        <w:r w:rsidRPr="00614575">
          <w:rPr>
            <w:rStyle w:val="Hyperlink"/>
          </w:rPr>
          <w:t>Industry</w:t>
        </w:r>
        <w:r>
          <w:rPr>
            <w:webHidden/>
          </w:rPr>
          <w:tab/>
        </w:r>
        <w:r>
          <w:rPr>
            <w:webHidden/>
          </w:rPr>
          <w:fldChar w:fldCharType="begin"/>
        </w:r>
        <w:r>
          <w:rPr>
            <w:webHidden/>
          </w:rPr>
          <w:instrText xml:space="preserve"> PAGEREF _Toc103778799 \h </w:instrText>
        </w:r>
        <w:r>
          <w:rPr>
            <w:webHidden/>
          </w:rPr>
        </w:r>
        <w:r>
          <w:rPr>
            <w:webHidden/>
          </w:rPr>
          <w:fldChar w:fldCharType="separate"/>
        </w:r>
        <w:r>
          <w:rPr>
            <w:webHidden/>
          </w:rPr>
          <w:t>43</w:t>
        </w:r>
        <w:r>
          <w:rPr>
            <w:webHidden/>
          </w:rPr>
          <w:fldChar w:fldCharType="end"/>
        </w:r>
      </w:hyperlink>
    </w:p>
    <w:p w14:paraId="7F970D27" w14:textId="298A08D8" w:rsidR="00E73F32" w:rsidRDefault="00E73F32">
      <w:pPr>
        <w:pStyle w:val="TOC2"/>
        <w:rPr>
          <w:rFonts w:asciiTheme="minorHAnsi" w:eastAsiaTheme="minorEastAsia" w:hAnsiTheme="minorHAnsi" w:cstheme="minorBidi"/>
          <w:lang w:eastAsia="en-NZ"/>
        </w:rPr>
      </w:pPr>
      <w:hyperlink w:anchor="_Toc103778800" w:history="1">
        <w:r w:rsidRPr="00614575">
          <w:rPr>
            <w:rStyle w:val="Hyperlink"/>
          </w:rPr>
          <w:t>Buildings</w:t>
        </w:r>
        <w:r>
          <w:rPr>
            <w:webHidden/>
          </w:rPr>
          <w:tab/>
        </w:r>
        <w:r>
          <w:rPr>
            <w:webHidden/>
          </w:rPr>
          <w:fldChar w:fldCharType="begin"/>
        </w:r>
        <w:r>
          <w:rPr>
            <w:webHidden/>
          </w:rPr>
          <w:instrText xml:space="preserve"> PAGEREF _Toc103778800 \h </w:instrText>
        </w:r>
        <w:r>
          <w:rPr>
            <w:webHidden/>
          </w:rPr>
        </w:r>
        <w:r>
          <w:rPr>
            <w:webHidden/>
          </w:rPr>
          <w:fldChar w:fldCharType="separate"/>
        </w:r>
        <w:r>
          <w:rPr>
            <w:webHidden/>
          </w:rPr>
          <w:t>45</w:t>
        </w:r>
        <w:r>
          <w:rPr>
            <w:webHidden/>
          </w:rPr>
          <w:fldChar w:fldCharType="end"/>
        </w:r>
      </w:hyperlink>
    </w:p>
    <w:p w14:paraId="60E09FFB" w14:textId="1BA80E82" w:rsidR="00E73F32" w:rsidRDefault="00E73F32">
      <w:pPr>
        <w:pStyle w:val="TOC1"/>
        <w:rPr>
          <w:rFonts w:asciiTheme="minorHAnsi" w:eastAsiaTheme="minorEastAsia" w:hAnsiTheme="minorHAnsi" w:cstheme="minorBidi"/>
          <w:lang w:eastAsia="en-NZ"/>
        </w:rPr>
      </w:pPr>
      <w:hyperlink w:anchor="_Toc103778801" w:history="1">
        <w:r w:rsidRPr="00614575">
          <w:rPr>
            <w:rStyle w:val="Hyperlink"/>
          </w:rPr>
          <w:t>Recommendation 23:  Policy direction for waste and fluorinated gases</w:t>
        </w:r>
        <w:r>
          <w:rPr>
            <w:webHidden/>
          </w:rPr>
          <w:tab/>
        </w:r>
        <w:r>
          <w:rPr>
            <w:webHidden/>
          </w:rPr>
          <w:fldChar w:fldCharType="begin"/>
        </w:r>
        <w:r>
          <w:rPr>
            <w:webHidden/>
          </w:rPr>
          <w:instrText xml:space="preserve"> PAGEREF _Toc103778801 \h </w:instrText>
        </w:r>
        <w:r>
          <w:rPr>
            <w:webHidden/>
          </w:rPr>
        </w:r>
        <w:r>
          <w:rPr>
            <w:webHidden/>
          </w:rPr>
          <w:fldChar w:fldCharType="separate"/>
        </w:r>
        <w:r>
          <w:rPr>
            <w:webHidden/>
          </w:rPr>
          <w:t>48</w:t>
        </w:r>
        <w:r>
          <w:rPr>
            <w:webHidden/>
          </w:rPr>
          <w:fldChar w:fldCharType="end"/>
        </w:r>
      </w:hyperlink>
    </w:p>
    <w:p w14:paraId="2466421E" w14:textId="72EBC63C" w:rsidR="00E73F32" w:rsidRDefault="00E73F32">
      <w:pPr>
        <w:pStyle w:val="TOC1"/>
        <w:rPr>
          <w:rFonts w:asciiTheme="minorHAnsi" w:eastAsiaTheme="minorEastAsia" w:hAnsiTheme="minorHAnsi" w:cstheme="minorBidi"/>
          <w:lang w:eastAsia="en-NZ"/>
        </w:rPr>
      </w:pPr>
      <w:hyperlink w:anchor="_Toc103778802" w:history="1">
        <w:r w:rsidRPr="00614575">
          <w:rPr>
            <w:rStyle w:val="Hyperlink"/>
          </w:rPr>
          <w:t>Recommendation 24:  Policy direction for agriculture</w:t>
        </w:r>
        <w:r>
          <w:rPr>
            <w:webHidden/>
          </w:rPr>
          <w:tab/>
        </w:r>
        <w:r>
          <w:rPr>
            <w:webHidden/>
          </w:rPr>
          <w:fldChar w:fldCharType="begin"/>
        </w:r>
        <w:r>
          <w:rPr>
            <w:webHidden/>
          </w:rPr>
          <w:instrText xml:space="preserve"> PAGEREF _Toc103778802 \h </w:instrText>
        </w:r>
        <w:r>
          <w:rPr>
            <w:webHidden/>
          </w:rPr>
        </w:r>
        <w:r>
          <w:rPr>
            <w:webHidden/>
          </w:rPr>
          <w:fldChar w:fldCharType="separate"/>
        </w:r>
        <w:r>
          <w:rPr>
            <w:webHidden/>
          </w:rPr>
          <w:t>52</w:t>
        </w:r>
        <w:r>
          <w:rPr>
            <w:webHidden/>
          </w:rPr>
          <w:fldChar w:fldCharType="end"/>
        </w:r>
      </w:hyperlink>
    </w:p>
    <w:p w14:paraId="02033BE3" w14:textId="0C863E32" w:rsidR="00E73F32" w:rsidRDefault="00E73F32">
      <w:pPr>
        <w:pStyle w:val="TOC1"/>
        <w:rPr>
          <w:rFonts w:asciiTheme="minorHAnsi" w:eastAsiaTheme="minorEastAsia" w:hAnsiTheme="minorHAnsi" w:cstheme="minorBidi"/>
          <w:lang w:eastAsia="en-NZ"/>
        </w:rPr>
      </w:pPr>
      <w:hyperlink w:anchor="_Toc103778803" w:history="1">
        <w:r w:rsidRPr="00614575">
          <w:rPr>
            <w:rStyle w:val="Hyperlink"/>
          </w:rPr>
          <w:t>Recommendation 25:  Policy direction for forests and other carbon stocks</w:t>
        </w:r>
        <w:r>
          <w:rPr>
            <w:webHidden/>
          </w:rPr>
          <w:tab/>
        </w:r>
        <w:r>
          <w:rPr>
            <w:webHidden/>
          </w:rPr>
          <w:fldChar w:fldCharType="begin"/>
        </w:r>
        <w:r>
          <w:rPr>
            <w:webHidden/>
          </w:rPr>
          <w:instrText xml:space="preserve"> PAGEREF _Toc103778803 \h </w:instrText>
        </w:r>
        <w:r>
          <w:rPr>
            <w:webHidden/>
          </w:rPr>
        </w:r>
        <w:r>
          <w:rPr>
            <w:webHidden/>
          </w:rPr>
          <w:fldChar w:fldCharType="separate"/>
        </w:r>
        <w:r>
          <w:rPr>
            <w:webHidden/>
          </w:rPr>
          <w:t>55</w:t>
        </w:r>
        <w:r>
          <w:rPr>
            <w:webHidden/>
          </w:rPr>
          <w:fldChar w:fldCharType="end"/>
        </w:r>
      </w:hyperlink>
    </w:p>
    <w:p w14:paraId="511D35C7" w14:textId="7B5907B7" w:rsidR="00E73F32" w:rsidRDefault="00E73F32">
      <w:pPr>
        <w:pStyle w:val="TOC1"/>
        <w:rPr>
          <w:rFonts w:asciiTheme="minorHAnsi" w:eastAsiaTheme="minorEastAsia" w:hAnsiTheme="minorHAnsi" w:cstheme="minorBidi"/>
          <w:lang w:eastAsia="en-NZ"/>
        </w:rPr>
      </w:pPr>
      <w:hyperlink w:anchor="_Toc103778804" w:history="1">
        <w:r w:rsidRPr="00614575">
          <w:rPr>
            <w:rStyle w:val="Hyperlink"/>
          </w:rPr>
          <w:t>Recommendations 26–27:  Policy direction for an equitable transition for Iwi/Māori</w:t>
        </w:r>
        <w:r>
          <w:rPr>
            <w:webHidden/>
          </w:rPr>
          <w:tab/>
        </w:r>
        <w:r>
          <w:rPr>
            <w:webHidden/>
          </w:rPr>
          <w:fldChar w:fldCharType="begin"/>
        </w:r>
        <w:r>
          <w:rPr>
            <w:webHidden/>
          </w:rPr>
          <w:instrText xml:space="preserve"> PAGEREF _Toc103778804 \h </w:instrText>
        </w:r>
        <w:r>
          <w:rPr>
            <w:webHidden/>
          </w:rPr>
        </w:r>
        <w:r>
          <w:rPr>
            <w:webHidden/>
          </w:rPr>
          <w:fldChar w:fldCharType="separate"/>
        </w:r>
        <w:r>
          <w:rPr>
            <w:webHidden/>
          </w:rPr>
          <w:t>59</w:t>
        </w:r>
        <w:r>
          <w:rPr>
            <w:webHidden/>
          </w:rPr>
          <w:fldChar w:fldCharType="end"/>
        </w:r>
      </w:hyperlink>
    </w:p>
    <w:p w14:paraId="68A4E39E" w14:textId="1BC41CA1" w:rsidR="00E73F32" w:rsidRDefault="00E73F32">
      <w:pPr>
        <w:pStyle w:val="TOC1"/>
        <w:rPr>
          <w:rFonts w:asciiTheme="minorHAnsi" w:eastAsiaTheme="minorEastAsia" w:hAnsiTheme="minorHAnsi" w:cstheme="minorBidi"/>
          <w:lang w:eastAsia="en-NZ"/>
        </w:rPr>
      </w:pPr>
      <w:hyperlink w:anchor="_Toc103778805" w:history="1">
        <w:r w:rsidRPr="00614575">
          <w:rPr>
            <w:rStyle w:val="Hyperlink"/>
          </w:rPr>
          <w:t>Recommendation 28:  Policy direction for a fair, inclusive and equitable transition</w:t>
        </w:r>
        <w:r>
          <w:rPr>
            <w:webHidden/>
          </w:rPr>
          <w:tab/>
        </w:r>
        <w:r>
          <w:rPr>
            <w:webHidden/>
          </w:rPr>
          <w:fldChar w:fldCharType="begin"/>
        </w:r>
        <w:r>
          <w:rPr>
            <w:webHidden/>
          </w:rPr>
          <w:instrText xml:space="preserve"> PAGEREF _Toc103778805 \h </w:instrText>
        </w:r>
        <w:r>
          <w:rPr>
            <w:webHidden/>
          </w:rPr>
        </w:r>
        <w:r>
          <w:rPr>
            <w:webHidden/>
          </w:rPr>
          <w:fldChar w:fldCharType="separate"/>
        </w:r>
        <w:r>
          <w:rPr>
            <w:webHidden/>
          </w:rPr>
          <w:t>63</w:t>
        </w:r>
        <w:r>
          <w:rPr>
            <w:webHidden/>
          </w:rPr>
          <w:fldChar w:fldCharType="end"/>
        </w:r>
      </w:hyperlink>
    </w:p>
    <w:p w14:paraId="18BD0A74" w14:textId="1098AAA2" w:rsidR="00E73F32" w:rsidRDefault="00E73F32">
      <w:pPr>
        <w:pStyle w:val="TOC1"/>
        <w:rPr>
          <w:rFonts w:asciiTheme="minorHAnsi" w:eastAsiaTheme="minorEastAsia" w:hAnsiTheme="minorHAnsi" w:cstheme="minorBidi"/>
          <w:lang w:eastAsia="en-NZ"/>
        </w:rPr>
      </w:pPr>
      <w:hyperlink w:anchor="_Toc103778806" w:history="1">
        <w:r w:rsidRPr="00614575">
          <w:rPr>
            <w:rStyle w:val="Hyperlink"/>
          </w:rPr>
          <w:t>Recommendations 29–33:  The global 1.5°C effort and Nationally Determined Contribution for Aotearoa</w:t>
        </w:r>
        <w:r>
          <w:rPr>
            <w:webHidden/>
          </w:rPr>
          <w:tab/>
        </w:r>
        <w:r>
          <w:rPr>
            <w:webHidden/>
          </w:rPr>
          <w:fldChar w:fldCharType="begin"/>
        </w:r>
        <w:r>
          <w:rPr>
            <w:webHidden/>
          </w:rPr>
          <w:instrText xml:space="preserve"> PAGEREF _Toc103778806 \h </w:instrText>
        </w:r>
        <w:r>
          <w:rPr>
            <w:webHidden/>
          </w:rPr>
        </w:r>
        <w:r>
          <w:rPr>
            <w:webHidden/>
          </w:rPr>
          <w:fldChar w:fldCharType="separate"/>
        </w:r>
        <w:r>
          <w:rPr>
            <w:webHidden/>
          </w:rPr>
          <w:t>65</w:t>
        </w:r>
        <w:r>
          <w:rPr>
            <w:webHidden/>
          </w:rPr>
          <w:fldChar w:fldCharType="end"/>
        </w:r>
      </w:hyperlink>
    </w:p>
    <w:p w14:paraId="2746C6C1" w14:textId="011B0FB5" w:rsidR="00E73F32" w:rsidRDefault="00E73F32">
      <w:pPr>
        <w:pStyle w:val="TOC1"/>
        <w:rPr>
          <w:rFonts w:asciiTheme="minorHAnsi" w:eastAsiaTheme="minorEastAsia" w:hAnsiTheme="minorHAnsi" w:cstheme="minorBidi"/>
          <w:lang w:eastAsia="en-NZ"/>
        </w:rPr>
      </w:pPr>
      <w:hyperlink w:anchor="_Toc103778807" w:history="1">
        <w:r w:rsidRPr="00614575">
          <w:rPr>
            <w:rStyle w:val="Hyperlink"/>
          </w:rPr>
          <w:t>Appendix</w:t>
        </w:r>
        <w:r>
          <w:rPr>
            <w:webHidden/>
          </w:rPr>
          <w:tab/>
        </w:r>
        <w:r>
          <w:rPr>
            <w:webHidden/>
          </w:rPr>
          <w:fldChar w:fldCharType="begin"/>
        </w:r>
        <w:r>
          <w:rPr>
            <w:webHidden/>
          </w:rPr>
          <w:instrText xml:space="preserve"> PAGEREF _Toc103778807 \h </w:instrText>
        </w:r>
        <w:r>
          <w:rPr>
            <w:webHidden/>
          </w:rPr>
        </w:r>
        <w:r>
          <w:rPr>
            <w:webHidden/>
          </w:rPr>
          <w:fldChar w:fldCharType="separate"/>
        </w:r>
        <w:r>
          <w:rPr>
            <w:webHidden/>
          </w:rPr>
          <w:t>68</w:t>
        </w:r>
        <w:r>
          <w:rPr>
            <w:webHidden/>
          </w:rPr>
          <w:fldChar w:fldCharType="end"/>
        </w:r>
      </w:hyperlink>
    </w:p>
    <w:p w14:paraId="5CA2FF5B" w14:textId="61439FF2" w:rsidR="001B0E0F" w:rsidRPr="00683FF0" w:rsidRDefault="00814013" w:rsidP="005F103F">
      <w:pPr>
        <w:pStyle w:val="Heading1"/>
      </w:pPr>
      <w:r w:rsidRPr="00683FF0">
        <w:rPr>
          <w:rFonts w:cs="Calibri"/>
          <w:color w:val="0092CF"/>
        </w:rPr>
        <w:fldChar w:fldCharType="end"/>
      </w:r>
      <w:r w:rsidR="00E978EA" w:rsidRPr="00683FF0">
        <w:br w:type="page"/>
      </w:r>
      <w:bookmarkStart w:id="0" w:name="_Toc103175817"/>
      <w:bookmarkStart w:id="1" w:name="_Toc103778780"/>
      <w:r w:rsidR="001B0E0F" w:rsidRPr="00683FF0">
        <w:lastRenderedPageBreak/>
        <w:t>The Climate Change Commission’s advice</w:t>
      </w:r>
      <w:bookmarkEnd w:id="0"/>
      <w:bookmarkEnd w:id="1"/>
    </w:p>
    <w:p w14:paraId="04D08E19" w14:textId="193F00CC" w:rsidR="007E7060" w:rsidRPr="00683FF0" w:rsidRDefault="00E22618" w:rsidP="00975650">
      <w:pPr>
        <w:pStyle w:val="BodyText"/>
      </w:pPr>
      <w:r w:rsidRPr="00683FF0">
        <w:t xml:space="preserve">On 31 May 2021, He Pou a Rangi – Climate Change Commission (Commission) provided the Minister of Climate Change with its </w:t>
      </w:r>
      <w:r w:rsidR="00442354" w:rsidRPr="00683FF0">
        <w:t xml:space="preserve">report, </w:t>
      </w:r>
      <w:hyperlink r:id="rId19" w:history="1">
        <w:r w:rsidR="004525DD" w:rsidRPr="001925A1">
          <w:rPr>
            <w:rStyle w:val="Hyperlink"/>
            <w:i/>
            <w:iCs/>
          </w:rPr>
          <w:t>In</w:t>
        </w:r>
        <w:r w:rsidR="005374CC" w:rsidRPr="001925A1">
          <w:rPr>
            <w:rStyle w:val="Hyperlink"/>
            <w:i/>
            <w:iCs/>
          </w:rPr>
          <w:t>āia tonu nei: a low emission</w:t>
        </w:r>
        <w:r w:rsidR="0052069B" w:rsidRPr="001925A1">
          <w:rPr>
            <w:rStyle w:val="Hyperlink"/>
            <w:i/>
            <w:iCs/>
          </w:rPr>
          <w:t>s</w:t>
        </w:r>
        <w:r w:rsidR="005374CC" w:rsidRPr="001925A1">
          <w:rPr>
            <w:rStyle w:val="Hyperlink"/>
            <w:i/>
            <w:iCs/>
          </w:rPr>
          <w:t xml:space="preserve"> future for Aotearoa</w:t>
        </w:r>
      </w:hyperlink>
      <w:r w:rsidR="00442354" w:rsidRPr="00683FF0">
        <w:t>.</w:t>
      </w:r>
      <w:r w:rsidR="005C112C" w:rsidRPr="00683FF0">
        <w:t xml:space="preserve"> </w:t>
      </w:r>
    </w:p>
    <w:p w14:paraId="3C6E3C32" w14:textId="3BA6D20B" w:rsidR="004037B6" w:rsidRPr="00683FF0" w:rsidRDefault="00442354" w:rsidP="00975650">
      <w:pPr>
        <w:pStyle w:val="BodyText"/>
      </w:pPr>
      <w:r w:rsidRPr="00683FF0">
        <w:t xml:space="preserve">This report included </w:t>
      </w:r>
      <w:r w:rsidR="007842B6" w:rsidRPr="00683FF0">
        <w:t>the Commission’s</w:t>
      </w:r>
      <w:r w:rsidR="00F0572D" w:rsidRPr="00683FF0">
        <w:t xml:space="preserve"> </w:t>
      </w:r>
      <w:r w:rsidR="007223F4" w:rsidRPr="00683FF0">
        <w:t>advice</w:t>
      </w:r>
      <w:r w:rsidR="00F0572D" w:rsidRPr="00683FF0">
        <w:t xml:space="preserve"> on</w:t>
      </w:r>
      <w:r w:rsidR="004037B6" w:rsidRPr="00683FF0">
        <w:t>:</w:t>
      </w:r>
    </w:p>
    <w:p w14:paraId="3F1785A5" w14:textId="62647A88" w:rsidR="004037B6" w:rsidRPr="00683FF0" w:rsidRDefault="00F0572D" w:rsidP="00975650">
      <w:pPr>
        <w:pStyle w:val="Bullet"/>
      </w:pPr>
      <w:r w:rsidRPr="00683FF0">
        <w:t xml:space="preserve">the first three emissions budgets </w:t>
      </w:r>
      <w:r w:rsidR="00D443A1" w:rsidRPr="00683FF0">
        <w:t>(2022–25</w:t>
      </w:r>
      <w:r w:rsidR="00E57853" w:rsidRPr="00683FF0">
        <w:t xml:space="preserve"> (EB1)</w:t>
      </w:r>
      <w:r w:rsidR="00D443A1" w:rsidRPr="00683FF0">
        <w:t>, 2026–30</w:t>
      </w:r>
      <w:r w:rsidR="00E57853" w:rsidRPr="00683FF0">
        <w:t xml:space="preserve"> (EB2)</w:t>
      </w:r>
      <w:r w:rsidR="00D443A1" w:rsidRPr="00683FF0">
        <w:t>, 2031–35</w:t>
      </w:r>
      <w:r w:rsidR="00E57853" w:rsidRPr="00683FF0">
        <w:t xml:space="preserve"> (EB3)</w:t>
      </w:r>
      <w:r w:rsidR="00D443A1" w:rsidRPr="00683FF0">
        <w:t xml:space="preserve">) </w:t>
      </w:r>
    </w:p>
    <w:p w14:paraId="4CD39E08" w14:textId="1D47568F" w:rsidR="004037B6" w:rsidRPr="00683FF0" w:rsidRDefault="00F0572D" w:rsidP="00975650">
      <w:pPr>
        <w:pStyle w:val="Bullet"/>
      </w:pPr>
      <w:r w:rsidRPr="00683FF0">
        <w:t xml:space="preserve">the </w:t>
      </w:r>
      <w:r w:rsidR="007223F4" w:rsidRPr="00683FF0">
        <w:t>recommended</w:t>
      </w:r>
      <w:r w:rsidRPr="00683FF0">
        <w:t xml:space="preserve"> </w:t>
      </w:r>
      <w:r w:rsidR="00C15D80" w:rsidRPr="00683FF0">
        <w:t xml:space="preserve">policy direction </w:t>
      </w:r>
      <w:r w:rsidR="00640843" w:rsidRPr="00683FF0">
        <w:t>of</w:t>
      </w:r>
      <w:r w:rsidR="00C15D80" w:rsidRPr="00683FF0">
        <w:t xml:space="preserve"> the first emissions reduction plan</w:t>
      </w:r>
    </w:p>
    <w:p w14:paraId="150C1E2A" w14:textId="5F49FD39" w:rsidR="004037B6" w:rsidRPr="00683FF0" w:rsidRDefault="00932D20" w:rsidP="00975650">
      <w:pPr>
        <w:pStyle w:val="Bullet"/>
      </w:pPr>
      <w:r w:rsidRPr="00683FF0">
        <w:t xml:space="preserve">our </w:t>
      </w:r>
      <w:r w:rsidR="004037B6" w:rsidRPr="00683FF0">
        <w:t>N</w:t>
      </w:r>
      <w:r w:rsidRPr="00683FF0">
        <w:t xml:space="preserve">ationally </w:t>
      </w:r>
      <w:r w:rsidR="004037B6" w:rsidRPr="00683FF0">
        <w:t>D</w:t>
      </w:r>
      <w:r w:rsidRPr="00683FF0">
        <w:t xml:space="preserve">etermined </w:t>
      </w:r>
      <w:r w:rsidR="004037B6" w:rsidRPr="00683FF0">
        <w:t>C</w:t>
      </w:r>
      <w:r w:rsidRPr="00683FF0">
        <w:t>ontribution for 2021</w:t>
      </w:r>
      <w:r w:rsidR="0052069B" w:rsidRPr="00683FF0">
        <w:t>–</w:t>
      </w:r>
      <w:r w:rsidRPr="00683FF0">
        <w:t>30 (NDC)</w:t>
      </w:r>
    </w:p>
    <w:p w14:paraId="14CDACBA" w14:textId="75F9FE12" w:rsidR="005C112C" w:rsidRPr="00683FF0" w:rsidRDefault="007E7060" w:rsidP="00975650">
      <w:pPr>
        <w:pStyle w:val="Bullet"/>
      </w:pPr>
      <w:r w:rsidRPr="00683FF0">
        <w:t>the reductions in biogenic methane that may eventually be required</w:t>
      </w:r>
      <w:r w:rsidR="00F0572D" w:rsidRPr="00683FF0">
        <w:t>.</w:t>
      </w:r>
      <w:r w:rsidR="005C112C" w:rsidRPr="00683FF0">
        <w:t xml:space="preserve"> </w:t>
      </w:r>
    </w:p>
    <w:p w14:paraId="4BB6CCA6" w14:textId="29C6732F" w:rsidR="00A41179" w:rsidRPr="00683FF0" w:rsidRDefault="007223F4" w:rsidP="00975650">
      <w:pPr>
        <w:pStyle w:val="BodyText"/>
      </w:pPr>
      <w:r w:rsidRPr="00683FF0">
        <w:t xml:space="preserve">This document provides more information </w:t>
      </w:r>
      <w:r w:rsidR="008821CB" w:rsidRPr="00683FF0">
        <w:t xml:space="preserve">about how the Commission’s 33 recommendations have shaped Aotearoa New Zealand’s first emissions reduction plan </w:t>
      </w:r>
      <w:r w:rsidR="004037B6" w:rsidRPr="00683FF0">
        <w:t xml:space="preserve">– </w:t>
      </w:r>
      <w:r w:rsidR="008821CB" w:rsidRPr="00683FF0">
        <w:t xml:space="preserve">and our climate response more generally. It </w:t>
      </w:r>
      <w:r w:rsidR="008247E4" w:rsidRPr="00683FF0">
        <w:t xml:space="preserve">does this </w:t>
      </w:r>
      <w:r w:rsidR="00F130D8" w:rsidRPr="00683FF0">
        <w:t xml:space="preserve">by </w:t>
      </w:r>
      <w:r w:rsidR="000223F5" w:rsidRPr="00683FF0">
        <w:t>setting each recommendation alongside the Government’s response</w:t>
      </w:r>
      <w:r w:rsidR="00754CA2" w:rsidRPr="00683FF0">
        <w:t xml:space="preserve"> and cross-referencing </w:t>
      </w:r>
      <w:r w:rsidR="00426B83" w:rsidRPr="00683FF0">
        <w:t xml:space="preserve">to </w:t>
      </w:r>
      <w:r w:rsidR="00754CA2" w:rsidRPr="00683FF0">
        <w:t>the actions within the plan</w:t>
      </w:r>
      <w:r w:rsidR="000223F5" w:rsidRPr="00683FF0">
        <w:t>.</w:t>
      </w:r>
      <w:r w:rsidR="000810D2" w:rsidRPr="00683FF0">
        <w:rPr>
          <w:rStyle w:val="FootnoteReference"/>
        </w:rPr>
        <w:footnoteReference w:id="2"/>
      </w:r>
    </w:p>
    <w:p w14:paraId="6ABAAFC5" w14:textId="5E3F2FD3" w:rsidR="001B0E0F" w:rsidRPr="00683FF0" w:rsidRDefault="001B0E0F" w:rsidP="00975650">
      <w:pPr>
        <w:pStyle w:val="BodyText"/>
      </w:pPr>
    </w:p>
    <w:p w14:paraId="4CBC178C" w14:textId="77777777" w:rsidR="00BE71A7" w:rsidRPr="00683FF0" w:rsidRDefault="00BE71A7" w:rsidP="00975650">
      <w:pPr>
        <w:pStyle w:val="Heading1"/>
        <w:sectPr w:rsidR="00BE71A7" w:rsidRPr="00683FF0" w:rsidSect="005F103F">
          <w:headerReference w:type="even" r:id="rId20"/>
          <w:headerReference w:type="default" r:id="rId21"/>
          <w:footerReference w:type="even" r:id="rId22"/>
          <w:footerReference w:type="default" r:id="rId23"/>
          <w:headerReference w:type="first" r:id="rId24"/>
          <w:footerReference w:type="first" r:id="rId25"/>
          <w:pgSz w:w="11906" w:h="16838" w:code="9"/>
          <w:pgMar w:top="1134" w:right="1701" w:bottom="1134" w:left="1701" w:header="567" w:footer="567" w:gutter="0"/>
          <w:cols w:space="708"/>
          <w:docGrid w:linePitch="360"/>
        </w:sectPr>
      </w:pPr>
      <w:bookmarkStart w:id="2" w:name="_Toc103175818"/>
    </w:p>
    <w:p w14:paraId="13B9AD55" w14:textId="348455A4" w:rsidR="00F74DBB" w:rsidRPr="00683FF0" w:rsidRDefault="00B64191" w:rsidP="00975650">
      <w:pPr>
        <w:pStyle w:val="Heading1"/>
      </w:pPr>
      <w:bookmarkStart w:id="3" w:name="_Toc103778781"/>
      <w:r w:rsidRPr="00683FF0">
        <w:lastRenderedPageBreak/>
        <w:t>Recommendations 1</w:t>
      </w:r>
      <w:r w:rsidR="00E54485" w:rsidRPr="00683FF0">
        <w:t>–</w:t>
      </w:r>
      <w:r w:rsidRPr="00683FF0">
        <w:t xml:space="preserve">4: </w:t>
      </w:r>
      <w:r w:rsidR="008E5E76" w:rsidRPr="00683FF0">
        <w:t>Recommended e</w:t>
      </w:r>
      <w:r w:rsidR="00790220" w:rsidRPr="00683FF0">
        <w:t>missions budgets</w:t>
      </w:r>
      <w:bookmarkEnd w:id="2"/>
      <w:bookmarkEnd w:id="3"/>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7258"/>
        <w:gridCol w:w="7257"/>
      </w:tblGrid>
      <w:tr w:rsidR="00515FE1" w:rsidRPr="00683FF0" w14:paraId="42D18CA2" w14:textId="77777777" w:rsidTr="00BE71A7">
        <w:trPr>
          <w:tblHeader/>
        </w:trPr>
        <w:tc>
          <w:tcPr>
            <w:tcW w:w="7371" w:type="dxa"/>
            <w:shd w:val="clear" w:color="auto" w:fill="1B556B" w:themeFill="text2"/>
          </w:tcPr>
          <w:p w14:paraId="01017E02" w14:textId="76D60477" w:rsidR="00790220" w:rsidRPr="00683FF0" w:rsidRDefault="00790220" w:rsidP="00515FE1">
            <w:pPr>
              <w:pStyle w:val="TableTextbold"/>
              <w:rPr>
                <w:color w:val="FFFFFF" w:themeColor="background1"/>
              </w:rPr>
            </w:pPr>
            <w:bookmarkStart w:id="4" w:name="_Hlk99464807"/>
            <w:r w:rsidRPr="00683FF0">
              <w:rPr>
                <w:color w:val="FFFFFF" w:themeColor="background1"/>
              </w:rPr>
              <w:t xml:space="preserve">Report </w:t>
            </w:r>
            <w:r w:rsidR="00426B83" w:rsidRPr="00683FF0">
              <w:rPr>
                <w:color w:val="FFFFFF" w:themeColor="background1"/>
              </w:rPr>
              <w:t>r</w:t>
            </w:r>
            <w:r w:rsidRPr="00683FF0">
              <w:rPr>
                <w:color w:val="FFFFFF" w:themeColor="background1"/>
              </w:rPr>
              <w:t>ecommendation</w:t>
            </w:r>
          </w:p>
        </w:tc>
        <w:tc>
          <w:tcPr>
            <w:tcW w:w="7371" w:type="dxa"/>
            <w:shd w:val="clear" w:color="auto" w:fill="1B556B" w:themeFill="text2"/>
          </w:tcPr>
          <w:p w14:paraId="314BC501" w14:textId="0B763787" w:rsidR="00790220" w:rsidRPr="00683FF0" w:rsidRDefault="00790220" w:rsidP="00515FE1">
            <w:pPr>
              <w:pStyle w:val="TableTextbold"/>
              <w:rPr>
                <w:color w:val="FFFFFF" w:themeColor="background1"/>
              </w:rPr>
            </w:pPr>
            <w:r w:rsidRPr="00683FF0">
              <w:rPr>
                <w:color w:val="FFFFFF" w:themeColor="background1"/>
              </w:rPr>
              <w:t xml:space="preserve">Government </w:t>
            </w:r>
            <w:r w:rsidR="00426B83" w:rsidRPr="00683FF0">
              <w:rPr>
                <w:color w:val="FFFFFF" w:themeColor="background1"/>
              </w:rPr>
              <w:t>r</w:t>
            </w:r>
            <w:r w:rsidRPr="00683FF0">
              <w:rPr>
                <w:color w:val="FFFFFF" w:themeColor="background1"/>
              </w:rPr>
              <w:t>esponse</w:t>
            </w:r>
          </w:p>
        </w:tc>
      </w:tr>
      <w:bookmarkEnd w:id="4"/>
      <w:tr w:rsidR="004D291D" w:rsidRPr="00683FF0" w14:paraId="7C69C0B5" w14:textId="77777777" w:rsidTr="00BE71A7">
        <w:tc>
          <w:tcPr>
            <w:tcW w:w="7371" w:type="dxa"/>
            <w:shd w:val="clear" w:color="auto" w:fill="FFFFFF" w:themeFill="background1"/>
          </w:tcPr>
          <w:p w14:paraId="7C0CFCF3" w14:textId="21F07783" w:rsidR="00790220" w:rsidRPr="00683FF0" w:rsidRDefault="00790220" w:rsidP="00F10B4D">
            <w:pPr>
              <w:pStyle w:val="TableTextbold"/>
              <w:spacing w:after="0"/>
            </w:pPr>
            <w:r w:rsidRPr="00683FF0">
              <w:t>Recommendation 1</w:t>
            </w:r>
            <w:r w:rsidR="00094A43" w:rsidRPr="00683FF0">
              <w:t xml:space="preserve"> – Emissions budget levels </w:t>
            </w:r>
          </w:p>
          <w:p w14:paraId="1230521B" w14:textId="47440EE2" w:rsidR="00094A43" w:rsidRPr="00683FF0" w:rsidRDefault="00094A43" w:rsidP="00D35630">
            <w:pPr>
              <w:pStyle w:val="TableText"/>
            </w:pPr>
            <w:r w:rsidRPr="00683FF0">
              <w:t xml:space="preserve">We recommend the Government set and meet the emissions budgets as outlined in </w:t>
            </w:r>
            <w:r w:rsidR="004B26C2">
              <w:rPr>
                <w:szCs w:val="18"/>
              </w:rPr>
              <w:t xml:space="preserve">the </w:t>
            </w:r>
            <w:hyperlink w:anchor="Table1" w:history="1">
              <w:r w:rsidR="004B26C2" w:rsidRPr="00AC7960">
                <w:rPr>
                  <w:rStyle w:val="Hyperlink"/>
                  <w:szCs w:val="18"/>
                </w:rPr>
                <w:t xml:space="preserve">Climate Change </w:t>
              </w:r>
              <w:r w:rsidR="004B26C2">
                <w:rPr>
                  <w:rStyle w:val="Hyperlink"/>
                  <w:szCs w:val="18"/>
                </w:rPr>
                <w:t>C</w:t>
              </w:r>
              <w:r w:rsidR="004B26C2" w:rsidRPr="00AC7960">
                <w:rPr>
                  <w:rStyle w:val="Hyperlink"/>
                  <w:szCs w:val="18"/>
                </w:rPr>
                <w:t>ommission emissions budgets 1</w:t>
              </w:r>
            </w:hyperlink>
            <w:r w:rsidR="004B26C2">
              <w:rPr>
                <w:szCs w:val="18"/>
              </w:rPr>
              <w:t xml:space="preserve"> in the appendix</w:t>
            </w:r>
            <w:r w:rsidRPr="00683FF0">
              <w:t xml:space="preserve">. </w:t>
            </w:r>
          </w:p>
          <w:p w14:paraId="1950F38F" w14:textId="6DA9D829" w:rsidR="00094A43" w:rsidRPr="004B26C2" w:rsidRDefault="00094A43" w:rsidP="004B26C2">
            <w:pPr>
              <w:pStyle w:val="TableText"/>
            </w:pPr>
            <w:r w:rsidRPr="00683FF0">
              <w:t xml:space="preserve">These emissions budgets are expressed using GWP100 values from the IPCC’s </w:t>
            </w:r>
            <w:r w:rsidRPr="00683FF0">
              <w:rPr>
                <w:i/>
                <w:iCs/>
              </w:rPr>
              <w:t>Fifth Assessment Report</w:t>
            </w:r>
            <w:r w:rsidRPr="00683FF0">
              <w:t xml:space="preserve"> (AR5) for consistency with international obligations relating to Inventory reporting.</w:t>
            </w:r>
          </w:p>
        </w:tc>
        <w:tc>
          <w:tcPr>
            <w:tcW w:w="7371" w:type="dxa"/>
            <w:shd w:val="clear" w:color="auto" w:fill="FFFFFF" w:themeFill="background1"/>
          </w:tcPr>
          <w:p w14:paraId="258D7AC0" w14:textId="5D181F86" w:rsidR="00245256" w:rsidRPr="00683FF0" w:rsidRDefault="001851E3" w:rsidP="00F10B4D">
            <w:pPr>
              <w:pStyle w:val="TableTextbold"/>
              <w:spacing w:after="0"/>
            </w:pPr>
            <w:r w:rsidRPr="00683FF0">
              <w:t xml:space="preserve">Emissions </w:t>
            </w:r>
            <w:r w:rsidR="009110C9" w:rsidRPr="00683FF0">
              <w:t>b</w:t>
            </w:r>
            <w:r w:rsidRPr="00683FF0">
              <w:t>udgets</w:t>
            </w:r>
            <w:r w:rsidR="00603720" w:rsidRPr="00683FF0">
              <w:t xml:space="preserve"> </w:t>
            </w:r>
            <w:r w:rsidR="004505BF" w:rsidRPr="00683FF0">
              <w:t>for 2022</w:t>
            </w:r>
            <w:r w:rsidR="009110C9" w:rsidRPr="00683FF0">
              <w:t>–</w:t>
            </w:r>
            <w:r w:rsidR="004505BF" w:rsidRPr="00683FF0">
              <w:t>25, 2026</w:t>
            </w:r>
            <w:r w:rsidR="009110C9" w:rsidRPr="00683FF0">
              <w:t>–</w:t>
            </w:r>
            <w:r w:rsidR="004505BF" w:rsidRPr="00683FF0">
              <w:t>30 and 2031</w:t>
            </w:r>
            <w:r w:rsidR="009110C9" w:rsidRPr="00683FF0">
              <w:t>–</w:t>
            </w:r>
            <w:r w:rsidR="004505BF" w:rsidRPr="00683FF0">
              <w:t>35</w:t>
            </w:r>
            <w:r w:rsidR="00C91608" w:rsidRPr="00683FF0">
              <w:rPr>
                <w:rStyle w:val="FootnoteReference"/>
                <w:rFonts w:eastAsia="Times New Roman" w:cs="Calibri"/>
                <w:bCs/>
                <w:sz w:val="18"/>
                <w:szCs w:val="18"/>
              </w:rPr>
              <w:footnoteReference w:id="3"/>
            </w:r>
          </w:p>
          <w:p w14:paraId="6F47E8D8" w14:textId="5C320A8A" w:rsidR="00BD19DE" w:rsidRPr="00683FF0" w:rsidRDefault="00B32400" w:rsidP="00D322E4">
            <w:pPr>
              <w:pStyle w:val="TableText"/>
            </w:pPr>
            <w:r w:rsidRPr="00683FF0">
              <w:t>T</w:t>
            </w:r>
            <w:r w:rsidR="00BC2FF2" w:rsidRPr="00683FF0">
              <w:t>he Minister of Climate Change</w:t>
            </w:r>
            <w:r w:rsidRPr="00683FF0">
              <w:t xml:space="preserve"> has </w:t>
            </w:r>
            <w:r w:rsidR="00BC2FF2" w:rsidRPr="00683FF0">
              <w:t xml:space="preserve">set the first three emissions budgets under the CCRA as </w:t>
            </w:r>
            <w:r w:rsidR="00603D87" w:rsidRPr="00683FF0">
              <w:t xml:space="preserve">shown </w:t>
            </w:r>
            <w:r w:rsidR="009110C9" w:rsidRPr="00683FF0">
              <w:t>in</w:t>
            </w:r>
            <w:r w:rsidR="009010A2">
              <w:t xml:space="preserve"> the</w:t>
            </w:r>
            <w:r w:rsidR="009110C9" w:rsidRPr="00683FF0">
              <w:t xml:space="preserve"> </w:t>
            </w:r>
            <w:hyperlink w:anchor="Table2" w:history="1">
              <w:r w:rsidR="009010A2" w:rsidRPr="00975A89">
                <w:rPr>
                  <w:rStyle w:val="Hyperlink"/>
                  <w:rFonts w:eastAsia="Times New Roman"/>
                  <w:szCs w:val="18"/>
                </w:rPr>
                <w:t xml:space="preserve">Government response to </w:t>
              </w:r>
              <w:r w:rsidR="009010A2">
                <w:rPr>
                  <w:rStyle w:val="Hyperlink"/>
                  <w:rFonts w:eastAsia="Times New Roman"/>
                  <w:szCs w:val="18"/>
                </w:rPr>
                <w:t xml:space="preserve">the </w:t>
              </w:r>
              <w:r w:rsidR="009010A2" w:rsidRPr="00975A89">
                <w:rPr>
                  <w:rStyle w:val="Hyperlink"/>
                  <w:rFonts w:eastAsia="Times New Roman"/>
                  <w:szCs w:val="18"/>
                </w:rPr>
                <w:t>Commission’s budgets 1</w:t>
              </w:r>
            </w:hyperlink>
            <w:r w:rsidR="009010A2">
              <w:rPr>
                <w:rFonts w:eastAsia="Times New Roman"/>
                <w:szCs w:val="18"/>
              </w:rPr>
              <w:t xml:space="preserve"> in the appendix</w:t>
            </w:r>
            <w:r w:rsidR="009110C9" w:rsidRPr="00683FF0">
              <w:t>.</w:t>
            </w:r>
          </w:p>
          <w:p w14:paraId="49C38769" w14:textId="78E87676" w:rsidR="003C1D25" w:rsidRPr="00683FF0" w:rsidRDefault="007D6BA3" w:rsidP="00033E04">
            <w:pPr>
              <w:pStyle w:val="TableText"/>
              <w:spacing w:before="120"/>
            </w:pPr>
            <w:r w:rsidRPr="00683FF0">
              <w:t>The first emissions budget</w:t>
            </w:r>
            <w:r w:rsidR="003C1D25" w:rsidRPr="00683FF0">
              <w:t xml:space="preserve"> </w:t>
            </w:r>
            <w:r w:rsidR="00381B98" w:rsidRPr="00683FF0">
              <w:t>of 290 Mt CO</w:t>
            </w:r>
            <w:r w:rsidR="00381B98" w:rsidRPr="00683FF0">
              <w:rPr>
                <w:vertAlign w:val="subscript"/>
              </w:rPr>
              <w:t>2</w:t>
            </w:r>
            <w:r w:rsidR="00381B98" w:rsidRPr="00683FF0">
              <w:t xml:space="preserve">-e </w:t>
            </w:r>
            <w:r w:rsidR="003C1D25" w:rsidRPr="00683FF0">
              <w:t xml:space="preserve">is the same as that recommended by the Commission. </w:t>
            </w:r>
          </w:p>
          <w:p w14:paraId="6D2EA5C7" w14:textId="18B3BC8C" w:rsidR="003C1D25" w:rsidRPr="00683FF0" w:rsidRDefault="003C1D25" w:rsidP="00033E04">
            <w:pPr>
              <w:pStyle w:val="TableText"/>
            </w:pPr>
            <w:r w:rsidRPr="00683FF0">
              <w:t>The emissions budgets for 2026–30 and 2031–35 are</w:t>
            </w:r>
            <w:r w:rsidR="00FA69EC" w:rsidRPr="00683FF0">
              <w:t xml:space="preserve"> both</w:t>
            </w:r>
            <w:r w:rsidRPr="00683FF0">
              <w:t xml:space="preserve"> lower than the emissions budgets recommended by the Commission</w:t>
            </w:r>
            <w:r w:rsidR="002D169E" w:rsidRPr="00683FF0">
              <w:t>. There is a</w:t>
            </w:r>
            <w:r w:rsidRPr="00683FF0">
              <w:t xml:space="preserve"> reduction of 7</w:t>
            </w:r>
            <w:r w:rsidR="00603D87" w:rsidRPr="00683FF0">
              <w:t xml:space="preserve"> </w:t>
            </w:r>
            <w:r w:rsidRPr="00683FF0">
              <w:t>Mt CO</w:t>
            </w:r>
            <w:r w:rsidRPr="00683FF0">
              <w:rPr>
                <w:vertAlign w:val="subscript"/>
              </w:rPr>
              <w:t>2</w:t>
            </w:r>
            <w:r w:rsidRPr="00683FF0">
              <w:t xml:space="preserve">-e for </w:t>
            </w:r>
            <w:r w:rsidR="009E237A" w:rsidRPr="00683FF0">
              <w:t>B</w:t>
            </w:r>
            <w:r w:rsidRPr="00683FF0">
              <w:t>udget period</w:t>
            </w:r>
            <w:r w:rsidR="009E237A" w:rsidRPr="00683FF0">
              <w:t xml:space="preserve"> 2</w:t>
            </w:r>
            <w:r w:rsidRPr="00683FF0">
              <w:t xml:space="preserve"> and a reduction of 13</w:t>
            </w:r>
            <w:r w:rsidR="00FD50B6" w:rsidRPr="00683FF0">
              <w:t> </w:t>
            </w:r>
            <w:r w:rsidRPr="00683FF0">
              <w:t>Mt</w:t>
            </w:r>
            <w:r w:rsidR="00FD50B6" w:rsidRPr="00683FF0">
              <w:t> </w:t>
            </w:r>
            <w:r w:rsidRPr="00683FF0">
              <w:t>CO</w:t>
            </w:r>
            <w:r w:rsidRPr="00683FF0">
              <w:rPr>
                <w:vertAlign w:val="subscript"/>
              </w:rPr>
              <w:t>2</w:t>
            </w:r>
            <w:r w:rsidRPr="00683FF0">
              <w:t xml:space="preserve">-e for </w:t>
            </w:r>
            <w:r w:rsidR="009E237A" w:rsidRPr="00683FF0">
              <w:t>B</w:t>
            </w:r>
            <w:r w:rsidRPr="00683FF0">
              <w:t>udget period</w:t>
            </w:r>
            <w:r w:rsidR="009E237A" w:rsidRPr="00683FF0">
              <w:t xml:space="preserve"> 3</w:t>
            </w:r>
            <w:r w:rsidRPr="00683FF0">
              <w:t xml:space="preserve">, </w:t>
            </w:r>
            <w:r w:rsidR="00B524E1" w:rsidRPr="00683FF0">
              <w:t xml:space="preserve">compared </w:t>
            </w:r>
            <w:r w:rsidR="00FD50B6" w:rsidRPr="00683FF0">
              <w:t xml:space="preserve">with </w:t>
            </w:r>
            <w:r w:rsidR="00362CF6" w:rsidRPr="00683FF0">
              <w:t xml:space="preserve">what </w:t>
            </w:r>
            <w:r w:rsidR="00320C98" w:rsidRPr="00683FF0">
              <w:t>the Commission</w:t>
            </w:r>
            <w:r w:rsidR="00A94E4D" w:rsidRPr="00683FF0">
              <w:t xml:space="preserve"> </w:t>
            </w:r>
            <w:r w:rsidR="00320C98" w:rsidRPr="00683FF0">
              <w:t>recommended</w:t>
            </w:r>
            <w:r w:rsidRPr="00683FF0">
              <w:t>.</w:t>
            </w:r>
          </w:p>
          <w:p w14:paraId="319AACF1" w14:textId="4255068C" w:rsidR="003C1D25" w:rsidRPr="00683FF0" w:rsidRDefault="003C1D25" w:rsidP="00033E04">
            <w:pPr>
              <w:pStyle w:val="TableText"/>
            </w:pPr>
            <w:r w:rsidRPr="00683FF0">
              <w:t xml:space="preserve">Since the Commission provided its advice and recommended emissions budgets in May 2021, new forestry intentions survey information became available </w:t>
            </w:r>
            <w:r w:rsidR="00AA112E" w:rsidRPr="00683FF0">
              <w:t xml:space="preserve">that </w:t>
            </w:r>
            <w:r w:rsidRPr="00683FF0">
              <w:t xml:space="preserve">changed the </w:t>
            </w:r>
            <w:r w:rsidR="002D169E" w:rsidRPr="00683FF0">
              <w:t>Government’s forestry</w:t>
            </w:r>
            <w:r w:rsidRPr="00683FF0">
              <w:t xml:space="preserve"> projections.</w:t>
            </w:r>
          </w:p>
          <w:p w14:paraId="15E977E3" w14:textId="5E76A042" w:rsidR="003C1D25" w:rsidRPr="00683FF0" w:rsidRDefault="003C1D25" w:rsidP="00033E04">
            <w:pPr>
              <w:pStyle w:val="TableText"/>
            </w:pPr>
            <w:r w:rsidRPr="00683FF0">
              <w:t xml:space="preserve">The emissions budgets in </w:t>
            </w:r>
            <w:r w:rsidR="009010A2">
              <w:t>the</w:t>
            </w:r>
            <w:r w:rsidR="009010A2" w:rsidRPr="00683FF0">
              <w:t xml:space="preserve"> </w:t>
            </w:r>
            <w:hyperlink w:anchor="Table2" w:history="1">
              <w:r w:rsidR="009010A2" w:rsidRPr="00975A89">
                <w:rPr>
                  <w:rStyle w:val="Hyperlink"/>
                  <w:rFonts w:eastAsia="Times New Roman"/>
                  <w:szCs w:val="18"/>
                </w:rPr>
                <w:t xml:space="preserve">Government response to </w:t>
              </w:r>
              <w:r w:rsidR="009010A2">
                <w:rPr>
                  <w:rStyle w:val="Hyperlink"/>
                  <w:rFonts w:eastAsia="Times New Roman"/>
                  <w:szCs w:val="18"/>
                </w:rPr>
                <w:t xml:space="preserve">the </w:t>
              </w:r>
              <w:r w:rsidR="009010A2" w:rsidRPr="00975A89">
                <w:rPr>
                  <w:rStyle w:val="Hyperlink"/>
                  <w:rFonts w:eastAsia="Times New Roman"/>
                  <w:szCs w:val="18"/>
                </w:rPr>
                <w:t>Commission’s budgets 1</w:t>
              </w:r>
            </w:hyperlink>
            <w:r w:rsidR="009010A2">
              <w:rPr>
                <w:rFonts w:eastAsia="Times New Roman"/>
                <w:szCs w:val="18"/>
              </w:rPr>
              <w:t xml:space="preserve"> in the appendix</w:t>
            </w:r>
            <w:r w:rsidRPr="00683FF0">
              <w:t xml:space="preserve"> reflect the impact of the afforestation component of the new forestry projections. </w:t>
            </w:r>
          </w:p>
          <w:p w14:paraId="3D83C808" w14:textId="77777777" w:rsidR="004D291D" w:rsidRPr="00683FF0" w:rsidRDefault="004D291D" w:rsidP="00033E04">
            <w:pPr>
              <w:pStyle w:val="TableText"/>
            </w:pPr>
            <w:r w:rsidRPr="00683FF0">
              <w:rPr>
                <w:b/>
                <w:bCs/>
              </w:rPr>
              <w:t>Responsible agency:</w:t>
            </w:r>
            <w:r w:rsidRPr="00683FF0">
              <w:t xml:space="preserve"> Ministry for the Environment</w:t>
            </w:r>
          </w:p>
          <w:p w14:paraId="6EB90EB1" w14:textId="1F98009E" w:rsidR="004D291D" w:rsidRPr="00683FF0" w:rsidRDefault="004D291D" w:rsidP="00F10B4D">
            <w:pPr>
              <w:pStyle w:val="TableText"/>
              <w:spacing w:before="0"/>
            </w:pPr>
            <w:r w:rsidRPr="00683FF0">
              <w:rPr>
                <w:b/>
                <w:bCs/>
              </w:rPr>
              <w:t>Responsible Minister:</w:t>
            </w:r>
            <w:r w:rsidRPr="00683FF0">
              <w:t xml:space="preserve"> Minister o</w:t>
            </w:r>
            <w:r w:rsidR="00BD19DE" w:rsidRPr="00683FF0">
              <w:t>f</w:t>
            </w:r>
            <w:r w:rsidRPr="00683FF0">
              <w:t xml:space="preserve"> Climate Change</w:t>
            </w:r>
          </w:p>
          <w:p w14:paraId="519C8366" w14:textId="36966A0E" w:rsidR="004D291D" w:rsidRPr="00683FF0" w:rsidRDefault="004D291D" w:rsidP="00F10B4D">
            <w:pPr>
              <w:pStyle w:val="TableText"/>
              <w:spacing w:before="0"/>
              <w:rPr>
                <w:b/>
                <w:bCs/>
              </w:rPr>
            </w:pPr>
            <w:r w:rsidRPr="00683FF0">
              <w:rPr>
                <w:b/>
                <w:bCs/>
              </w:rPr>
              <w:t xml:space="preserve">Timeline: </w:t>
            </w:r>
            <w:r w:rsidRPr="00683FF0">
              <w:t>2022–25 (EB1)</w:t>
            </w:r>
          </w:p>
        </w:tc>
      </w:tr>
      <w:tr w:rsidR="004D291D" w:rsidRPr="00683FF0" w14:paraId="1292E274" w14:textId="77777777" w:rsidTr="00BE71A7">
        <w:tc>
          <w:tcPr>
            <w:tcW w:w="7371" w:type="dxa"/>
            <w:tcBorders>
              <w:bottom w:val="nil"/>
            </w:tcBorders>
          </w:tcPr>
          <w:p w14:paraId="24961AFA" w14:textId="15C5E032" w:rsidR="00790220" w:rsidRPr="00683FF0" w:rsidRDefault="00094A43" w:rsidP="00F90F51">
            <w:pPr>
              <w:pStyle w:val="TableTextbold"/>
              <w:keepNext/>
              <w:spacing w:after="0"/>
            </w:pPr>
            <w:r w:rsidRPr="00683FF0">
              <w:lastRenderedPageBreak/>
              <w:t xml:space="preserve">Recommendation 2 </w:t>
            </w:r>
            <w:r w:rsidR="00332904" w:rsidRPr="00683FF0">
              <w:t xml:space="preserve">– </w:t>
            </w:r>
            <w:r w:rsidRPr="00683FF0">
              <w:t>Break down of emissions budgets</w:t>
            </w:r>
          </w:p>
          <w:p w14:paraId="0012EC19" w14:textId="08557883" w:rsidR="004D291D" w:rsidRPr="009010A2" w:rsidRDefault="00094A43" w:rsidP="009010A2">
            <w:pPr>
              <w:pStyle w:val="TableText"/>
            </w:pPr>
            <w:r w:rsidRPr="00683FF0">
              <w:t>We recommend that the Government implement policies that will meet emissions budgets based on the balance of emissions and removals as outlined in</w:t>
            </w:r>
            <w:r w:rsidR="009010A2">
              <w:rPr>
                <w:szCs w:val="18"/>
              </w:rPr>
              <w:t xml:space="preserve"> the </w:t>
            </w:r>
            <w:hyperlink w:anchor="Table3" w:history="1">
              <w:r w:rsidR="009010A2" w:rsidRPr="00FA2C9A">
                <w:rPr>
                  <w:rStyle w:val="Hyperlink"/>
                  <w:szCs w:val="18"/>
                </w:rPr>
                <w:t>Climate Change Commission emissions budgets 2</w:t>
              </w:r>
            </w:hyperlink>
            <w:r w:rsidR="009010A2">
              <w:rPr>
                <w:szCs w:val="18"/>
              </w:rPr>
              <w:t xml:space="preserve"> in the appendix</w:t>
            </w:r>
            <w:r w:rsidRPr="00683FF0">
              <w:t>.</w:t>
            </w:r>
          </w:p>
        </w:tc>
        <w:tc>
          <w:tcPr>
            <w:tcW w:w="7371" w:type="dxa"/>
            <w:tcBorders>
              <w:bottom w:val="nil"/>
            </w:tcBorders>
          </w:tcPr>
          <w:p w14:paraId="6AB9BCF2" w14:textId="3F071F09" w:rsidR="000549AF" w:rsidRPr="00683FF0" w:rsidRDefault="004441C9" w:rsidP="00A139B0">
            <w:pPr>
              <w:pStyle w:val="TableText"/>
            </w:pPr>
            <w:r w:rsidRPr="00683FF0">
              <w:rPr>
                <w:b/>
                <w:bCs/>
              </w:rPr>
              <w:t xml:space="preserve">The Government agrees in part </w:t>
            </w:r>
            <w:r w:rsidR="00A27096" w:rsidRPr="00683FF0">
              <w:rPr>
                <w:b/>
                <w:bCs/>
              </w:rPr>
              <w:t xml:space="preserve">with </w:t>
            </w:r>
            <w:r w:rsidRPr="00683FF0">
              <w:rPr>
                <w:b/>
                <w:bCs/>
              </w:rPr>
              <w:t>this recommendation</w:t>
            </w:r>
            <w:r w:rsidR="005B4799" w:rsidRPr="00683FF0">
              <w:rPr>
                <w:b/>
                <w:bCs/>
              </w:rPr>
              <w:t>.</w:t>
            </w:r>
            <w:r w:rsidRPr="00683FF0">
              <w:rPr>
                <w:b/>
                <w:bCs/>
              </w:rPr>
              <w:t xml:space="preserve"> </w:t>
            </w:r>
            <w:r w:rsidR="00677708" w:rsidRPr="00683FF0">
              <w:t xml:space="preserve">The </w:t>
            </w:r>
            <w:r w:rsidR="00EC505C" w:rsidRPr="00683FF0">
              <w:t>G</w:t>
            </w:r>
            <w:r w:rsidR="00677708" w:rsidRPr="00683FF0">
              <w:t>overnment</w:t>
            </w:r>
            <w:r w:rsidR="00551995" w:rsidRPr="00683FF0">
              <w:t xml:space="preserve"> </w:t>
            </w:r>
            <w:r w:rsidR="00396965" w:rsidRPr="00683FF0">
              <w:t xml:space="preserve">will </w:t>
            </w:r>
            <w:r w:rsidR="00551995" w:rsidRPr="00683FF0">
              <w:t xml:space="preserve">implement </w:t>
            </w:r>
            <w:r w:rsidR="0007222B" w:rsidRPr="00683FF0">
              <w:t xml:space="preserve">the </w:t>
            </w:r>
            <w:r w:rsidR="00296A42" w:rsidRPr="00683FF0">
              <w:t xml:space="preserve">policies </w:t>
            </w:r>
            <w:r w:rsidR="0007222B" w:rsidRPr="00683FF0">
              <w:t xml:space="preserve">necessary </w:t>
            </w:r>
            <w:r w:rsidR="00BB5A4F" w:rsidRPr="00683FF0">
              <w:t>t</w:t>
            </w:r>
            <w:r w:rsidR="00396965" w:rsidRPr="00683FF0">
              <w:t xml:space="preserve">o </w:t>
            </w:r>
            <w:r w:rsidR="00BB5A4F" w:rsidRPr="00683FF0">
              <w:t xml:space="preserve">meet </w:t>
            </w:r>
            <w:r w:rsidR="0007222B" w:rsidRPr="00683FF0">
              <w:t xml:space="preserve">the </w:t>
            </w:r>
            <w:r w:rsidR="00BB5A4F" w:rsidRPr="00683FF0">
              <w:t>emissions budgets</w:t>
            </w:r>
            <w:r w:rsidR="00396965" w:rsidRPr="00683FF0">
              <w:t xml:space="preserve"> </w:t>
            </w:r>
            <w:r w:rsidR="0007222B" w:rsidRPr="00683FF0">
              <w:t xml:space="preserve">set out in </w:t>
            </w:r>
            <w:r w:rsidR="00DC45DF">
              <w:rPr>
                <w:rFonts w:eastAsia="Times New Roman"/>
                <w:szCs w:val="18"/>
              </w:rPr>
              <w:t xml:space="preserve">the </w:t>
            </w:r>
            <w:hyperlink w:anchor="Table2" w:history="1">
              <w:r w:rsidR="00DC45DF" w:rsidRPr="00975A89">
                <w:rPr>
                  <w:rStyle w:val="Hyperlink"/>
                  <w:szCs w:val="18"/>
                </w:rPr>
                <w:t>Government response to</w:t>
              </w:r>
              <w:r w:rsidR="00DC45DF">
                <w:rPr>
                  <w:rStyle w:val="Hyperlink"/>
                  <w:szCs w:val="18"/>
                </w:rPr>
                <w:t xml:space="preserve"> the</w:t>
              </w:r>
              <w:r w:rsidR="00DC45DF" w:rsidRPr="00975A89">
                <w:rPr>
                  <w:rStyle w:val="Hyperlink"/>
                  <w:szCs w:val="18"/>
                </w:rPr>
                <w:t xml:space="preserve"> Commission’s budgets 1</w:t>
              </w:r>
            </w:hyperlink>
            <w:r w:rsidR="00DC45DF">
              <w:rPr>
                <w:szCs w:val="18"/>
              </w:rPr>
              <w:t xml:space="preserve"> in the appendix</w:t>
            </w:r>
            <w:r w:rsidR="00422E90" w:rsidRPr="00683FF0">
              <w:t>.</w:t>
            </w:r>
            <w:r w:rsidR="00265417" w:rsidRPr="00683FF0">
              <w:t xml:space="preserve"> </w:t>
            </w:r>
          </w:p>
          <w:p w14:paraId="670740B6" w14:textId="4B04F376" w:rsidR="00FF06B3" w:rsidRPr="00683FF0" w:rsidRDefault="000549AF" w:rsidP="00A139B0">
            <w:pPr>
              <w:pStyle w:val="TableText"/>
            </w:pPr>
            <w:r w:rsidRPr="00683FF0">
              <w:t>This will result in a</w:t>
            </w:r>
            <w:r w:rsidR="00396965" w:rsidRPr="00683FF0">
              <w:t xml:space="preserve"> </w:t>
            </w:r>
            <w:r w:rsidR="004D6B53" w:rsidRPr="00683FF0">
              <w:t xml:space="preserve">balance </w:t>
            </w:r>
            <w:r w:rsidRPr="00683FF0">
              <w:t xml:space="preserve">of </w:t>
            </w:r>
            <w:r w:rsidR="00396965" w:rsidRPr="00683FF0">
              <w:t>e</w:t>
            </w:r>
            <w:r w:rsidR="004D6B53" w:rsidRPr="00683FF0">
              <w:t xml:space="preserve">missions </w:t>
            </w:r>
            <w:r w:rsidR="00274685" w:rsidRPr="00683FF0">
              <w:t xml:space="preserve">reductions </w:t>
            </w:r>
            <w:r w:rsidR="00396965" w:rsidRPr="00683FF0">
              <w:t xml:space="preserve">and </w:t>
            </w:r>
            <w:r w:rsidR="00B14499" w:rsidRPr="00683FF0">
              <w:t>removals</w:t>
            </w:r>
            <w:r w:rsidR="002102BE" w:rsidRPr="00683FF0">
              <w:t xml:space="preserve"> and </w:t>
            </w:r>
            <w:r w:rsidR="00A3414D" w:rsidRPr="00683FF0">
              <w:t>gas</w:t>
            </w:r>
            <w:r w:rsidR="00A27096" w:rsidRPr="00683FF0">
              <w:t>-</w:t>
            </w:r>
            <w:r w:rsidR="00A3414D" w:rsidRPr="00683FF0">
              <w:t>by</w:t>
            </w:r>
            <w:r w:rsidR="00A27096" w:rsidRPr="00683FF0">
              <w:t>-</w:t>
            </w:r>
            <w:r w:rsidR="00A3414D" w:rsidRPr="00683FF0">
              <w:t xml:space="preserve">gas breakdowns </w:t>
            </w:r>
            <w:r w:rsidR="00FA7234" w:rsidRPr="00683FF0">
              <w:t xml:space="preserve">along similar lines to </w:t>
            </w:r>
            <w:r w:rsidR="008F4EA9" w:rsidRPr="00683FF0">
              <w:t>those produced by</w:t>
            </w:r>
            <w:r w:rsidR="00725559" w:rsidRPr="00683FF0">
              <w:t xml:space="preserve"> </w:t>
            </w:r>
            <w:r w:rsidR="00D21D32" w:rsidRPr="00683FF0">
              <w:t xml:space="preserve">the </w:t>
            </w:r>
            <w:r w:rsidR="00B14499" w:rsidRPr="00683FF0">
              <w:t>Commission</w:t>
            </w:r>
            <w:r w:rsidR="008F4EA9" w:rsidRPr="00683FF0">
              <w:t xml:space="preserve"> in it</w:t>
            </w:r>
            <w:r w:rsidR="003B4723" w:rsidRPr="00683FF0">
              <w:t>s</w:t>
            </w:r>
            <w:r w:rsidR="00D21D32" w:rsidRPr="00683FF0">
              <w:t xml:space="preserve"> modell</w:t>
            </w:r>
            <w:r w:rsidR="003B4723" w:rsidRPr="00683FF0">
              <w:t>ing.</w:t>
            </w:r>
            <w:r w:rsidR="00F57157" w:rsidRPr="00683FF0">
              <w:rPr>
                <w:rStyle w:val="FootnoteReference"/>
                <w:rFonts w:eastAsia="Times New Roman" w:cs="Calibri"/>
                <w:sz w:val="18"/>
                <w:szCs w:val="18"/>
              </w:rPr>
              <w:footnoteReference w:id="4"/>
            </w:r>
          </w:p>
          <w:p w14:paraId="25DB7D5D" w14:textId="5BB2E227" w:rsidR="005A05C8" w:rsidRPr="00683FF0" w:rsidRDefault="0034506B" w:rsidP="6791515E">
            <w:pPr>
              <w:spacing w:after="120"/>
              <w:rPr>
                <w:rFonts w:ascii="Calibri" w:eastAsia="Times New Roman" w:hAnsi="Calibri" w:cs="Calibri"/>
                <w:sz w:val="18"/>
                <w:szCs w:val="18"/>
                <w:lang w:eastAsia="en-NZ"/>
              </w:rPr>
            </w:pPr>
            <w:r w:rsidRPr="00683FF0">
              <w:rPr>
                <w:rFonts w:ascii="Calibri" w:eastAsia="Times New Roman" w:hAnsi="Calibri" w:cs="Calibri"/>
                <w:sz w:val="18"/>
                <w:szCs w:val="18"/>
                <w:lang w:eastAsia="en-NZ"/>
              </w:rPr>
              <w:t>T</w:t>
            </w:r>
            <w:r w:rsidR="0062218D" w:rsidRPr="00683FF0">
              <w:rPr>
                <w:rFonts w:ascii="Calibri" w:eastAsia="Times New Roman" w:hAnsi="Calibri" w:cs="Calibri"/>
                <w:sz w:val="18"/>
                <w:szCs w:val="18"/>
                <w:lang w:eastAsia="en-NZ"/>
              </w:rPr>
              <w:t>o date</w:t>
            </w:r>
            <w:r w:rsidR="00A27096" w:rsidRPr="00683FF0">
              <w:rPr>
                <w:rFonts w:ascii="Calibri" w:eastAsia="Times New Roman" w:hAnsi="Calibri" w:cs="Calibri"/>
                <w:sz w:val="18"/>
                <w:szCs w:val="18"/>
                <w:lang w:eastAsia="en-NZ"/>
              </w:rPr>
              <w:t>,</w:t>
            </w:r>
            <w:r w:rsidR="0062218D" w:rsidRPr="00683FF0">
              <w:rPr>
                <w:rFonts w:ascii="Calibri" w:eastAsia="Times New Roman" w:hAnsi="Calibri" w:cs="Calibri"/>
                <w:sz w:val="18"/>
                <w:szCs w:val="18"/>
                <w:lang w:eastAsia="en-NZ"/>
              </w:rPr>
              <w:t xml:space="preserve"> </w:t>
            </w:r>
            <w:r w:rsidR="00A2024F" w:rsidRPr="00683FF0">
              <w:rPr>
                <w:rFonts w:ascii="Calibri" w:eastAsia="Times New Roman" w:hAnsi="Calibri" w:cs="Calibri"/>
                <w:sz w:val="18"/>
                <w:szCs w:val="18"/>
                <w:lang w:eastAsia="en-NZ"/>
              </w:rPr>
              <w:t xml:space="preserve">the </w:t>
            </w:r>
            <w:r w:rsidR="000D7F3C" w:rsidRPr="00683FF0">
              <w:rPr>
                <w:rFonts w:ascii="Calibri" w:eastAsia="Times New Roman" w:hAnsi="Calibri" w:cs="Calibri"/>
                <w:sz w:val="18"/>
                <w:szCs w:val="18"/>
                <w:lang w:eastAsia="en-NZ"/>
              </w:rPr>
              <w:t>Government</w:t>
            </w:r>
            <w:r w:rsidR="00A27096" w:rsidRPr="00683FF0">
              <w:rPr>
                <w:rFonts w:ascii="Calibri" w:eastAsia="Times New Roman" w:hAnsi="Calibri" w:cs="Calibri"/>
                <w:sz w:val="18"/>
                <w:szCs w:val="18"/>
                <w:lang w:eastAsia="en-NZ"/>
              </w:rPr>
              <w:t>’</w:t>
            </w:r>
            <w:r w:rsidR="000D7F3C" w:rsidRPr="00683FF0">
              <w:rPr>
                <w:rFonts w:ascii="Calibri" w:eastAsia="Times New Roman" w:hAnsi="Calibri" w:cs="Calibri"/>
                <w:sz w:val="18"/>
                <w:szCs w:val="18"/>
                <w:lang w:eastAsia="en-NZ"/>
              </w:rPr>
              <w:t xml:space="preserve">s </w:t>
            </w:r>
            <w:r w:rsidR="00903FFD" w:rsidRPr="00683FF0">
              <w:rPr>
                <w:rFonts w:ascii="Calibri" w:eastAsia="Times New Roman" w:hAnsi="Calibri" w:cs="Calibri"/>
                <w:sz w:val="18"/>
                <w:szCs w:val="18"/>
                <w:lang w:eastAsia="en-NZ"/>
              </w:rPr>
              <w:t xml:space="preserve">modelling </w:t>
            </w:r>
            <w:r w:rsidR="00331DE1" w:rsidRPr="00683FF0">
              <w:rPr>
                <w:rFonts w:ascii="Calibri" w:eastAsia="Times New Roman" w:hAnsi="Calibri" w:cs="Calibri"/>
                <w:sz w:val="18"/>
                <w:szCs w:val="18"/>
                <w:lang w:eastAsia="en-NZ"/>
              </w:rPr>
              <w:t xml:space="preserve">of </w:t>
            </w:r>
            <w:r w:rsidR="00521A5A" w:rsidRPr="00683FF0">
              <w:rPr>
                <w:rFonts w:ascii="Calibri" w:eastAsia="Times New Roman" w:hAnsi="Calibri" w:cs="Calibri"/>
                <w:sz w:val="18"/>
                <w:szCs w:val="18"/>
                <w:lang w:eastAsia="en-NZ"/>
              </w:rPr>
              <w:t xml:space="preserve">expected policy impacts </w:t>
            </w:r>
            <w:r w:rsidR="00452EDF" w:rsidRPr="00683FF0">
              <w:rPr>
                <w:rFonts w:ascii="Calibri" w:eastAsia="Times New Roman" w:hAnsi="Calibri" w:cs="Calibri"/>
                <w:sz w:val="18"/>
                <w:szCs w:val="18"/>
                <w:lang w:eastAsia="en-NZ"/>
              </w:rPr>
              <w:t xml:space="preserve">has been </w:t>
            </w:r>
            <w:r w:rsidR="00450FE1" w:rsidRPr="00683FF0">
              <w:rPr>
                <w:rFonts w:ascii="Calibri" w:eastAsia="Times New Roman" w:hAnsi="Calibri" w:cs="Calibri"/>
                <w:sz w:val="18"/>
                <w:szCs w:val="18"/>
                <w:lang w:eastAsia="en-NZ"/>
              </w:rPr>
              <w:t>sector</w:t>
            </w:r>
            <w:r w:rsidR="00A27096" w:rsidRPr="00683FF0">
              <w:rPr>
                <w:rFonts w:ascii="Calibri" w:eastAsia="Times New Roman" w:hAnsi="Calibri" w:cs="Calibri"/>
                <w:sz w:val="18"/>
                <w:szCs w:val="18"/>
                <w:lang w:eastAsia="en-NZ"/>
              </w:rPr>
              <w:t>-</w:t>
            </w:r>
            <w:r w:rsidR="000065A0" w:rsidRPr="00683FF0">
              <w:rPr>
                <w:rFonts w:ascii="Calibri" w:eastAsia="Times New Roman" w:hAnsi="Calibri" w:cs="Calibri"/>
                <w:sz w:val="18"/>
                <w:szCs w:val="18"/>
                <w:lang w:eastAsia="en-NZ"/>
              </w:rPr>
              <w:t xml:space="preserve"> and </w:t>
            </w:r>
            <w:r w:rsidR="00014BA7" w:rsidRPr="00683FF0">
              <w:rPr>
                <w:rFonts w:ascii="Calibri" w:eastAsia="Times New Roman" w:hAnsi="Calibri" w:cs="Calibri"/>
                <w:sz w:val="18"/>
                <w:szCs w:val="18"/>
                <w:lang w:eastAsia="en-NZ"/>
              </w:rPr>
              <w:t>policy</w:t>
            </w:r>
            <w:r w:rsidR="00A27096" w:rsidRPr="00683FF0">
              <w:rPr>
                <w:rFonts w:ascii="Calibri" w:eastAsia="Times New Roman" w:hAnsi="Calibri" w:cs="Calibri"/>
                <w:sz w:val="18"/>
                <w:szCs w:val="18"/>
                <w:lang w:eastAsia="en-NZ"/>
              </w:rPr>
              <w:t>-</w:t>
            </w:r>
            <w:r w:rsidR="00A71F43" w:rsidRPr="00683FF0">
              <w:rPr>
                <w:rFonts w:ascii="Calibri" w:eastAsia="Times New Roman" w:hAnsi="Calibri" w:cs="Calibri"/>
                <w:sz w:val="18"/>
                <w:szCs w:val="18"/>
                <w:lang w:eastAsia="en-NZ"/>
              </w:rPr>
              <w:t xml:space="preserve">based </w:t>
            </w:r>
            <w:r w:rsidR="009347A3" w:rsidRPr="00683FF0">
              <w:rPr>
                <w:rFonts w:ascii="Calibri" w:eastAsia="Times New Roman" w:hAnsi="Calibri" w:cs="Calibri"/>
                <w:sz w:val="18"/>
                <w:szCs w:val="18"/>
                <w:lang w:eastAsia="en-NZ"/>
              </w:rPr>
              <w:t>and comp</w:t>
            </w:r>
            <w:r w:rsidR="00CA70DA" w:rsidRPr="00683FF0">
              <w:rPr>
                <w:rFonts w:ascii="Calibri" w:eastAsia="Times New Roman" w:hAnsi="Calibri" w:cs="Calibri"/>
                <w:sz w:val="18"/>
                <w:szCs w:val="18"/>
                <w:lang w:eastAsia="en-NZ"/>
              </w:rPr>
              <w:t>i</w:t>
            </w:r>
            <w:r w:rsidR="009347A3" w:rsidRPr="00683FF0">
              <w:rPr>
                <w:rFonts w:ascii="Calibri" w:eastAsia="Times New Roman" w:hAnsi="Calibri" w:cs="Calibri"/>
                <w:sz w:val="18"/>
                <w:szCs w:val="18"/>
                <w:lang w:eastAsia="en-NZ"/>
              </w:rPr>
              <w:t xml:space="preserve">led in </w:t>
            </w:r>
            <w:r w:rsidR="004169B0" w:rsidRPr="00683FF0">
              <w:rPr>
                <w:rFonts w:ascii="Calibri" w:eastAsia="Times New Roman" w:hAnsi="Calibri" w:cs="Calibri"/>
                <w:sz w:val="18"/>
                <w:szCs w:val="18"/>
                <w:lang w:eastAsia="en-NZ"/>
              </w:rPr>
              <w:t xml:space="preserve">aggregate </w:t>
            </w:r>
            <w:r w:rsidR="00A2024F" w:rsidRPr="00683FF0">
              <w:rPr>
                <w:rFonts w:ascii="Calibri" w:eastAsia="Times New Roman" w:hAnsi="Calibri" w:cs="Calibri"/>
                <w:sz w:val="18"/>
                <w:szCs w:val="18"/>
                <w:lang w:eastAsia="en-NZ"/>
              </w:rPr>
              <w:t>CO</w:t>
            </w:r>
            <w:r w:rsidR="00A2024F" w:rsidRPr="00683FF0">
              <w:rPr>
                <w:rFonts w:ascii="Calibri" w:eastAsia="Times New Roman" w:hAnsi="Calibri" w:cs="Calibri"/>
                <w:sz w:val="18"/>
                <w:szCs w:val="18"/>
                <w:vertAlign w:val="subscript"/>
                <w:lang w:eastAsia="en-NZ"/>
              </w:rPr>
              <w:t>2</w:t>
            </w:r>
            <w:r w:rsidR="009347A3" w:rsidRPr="00683FF0">
              <w:rPr>
                <w:rFonts w:ascii="Calibri" w:eastAsia="Times New Roman" w:hAnsi="Calibri" w:cs="Calibri"/>
                <w:sz w:val="18"/>
                <w:szCs w:val="18"/>
                <w:lang w:eastAsia="en-NZ"/>
              </w:rPr>
              <w:t xml:space="preserve"> equivalent terms</w:t>
            </w:r>
            <w:r w:rsidR="00521A5A" w:rsidRPr="00683FF0">
              <w:rPr>
                <w:rFonts w:ascii="Calibri" w:eastAsia="Times New Roman" w:hAnsi="Calibri" w:cs="Calibri"/>
                <w:sz w:val="18"/>
                <w:szCs w:val="18"/>
                <w:lang w:eastAsia="en-NZ"/>
              </w:rPr>
              <w:t xml:space="preserve"> only</w:t>
            </w:r>
            <w:r w:rsidR="009F11EC" w:rsidRPr="00683FF0">
              <w:rPr>
                <w:rFonts w:ascii="Calibri" w:eastAsia="Times New Roman" w:hAnsi="Calibri" w:cs="Calibri"/>
                <w:sz w:val="18"/>
                <w:szCs w:val="18"/>
                <w:lang w:eastAsia="en-NZ"/>
              </w:rPr>
              <w:t>.</w:t>
            </w:r>
            <w:r w:rsidR="0084267A" w:rsidRPr="00683FF0">
              <w:rPr>
                <w:rFonts w:ascii="Calibri" w:eastAsia="Times New Roman" w:hAnsi="Calibri" w:cs="Calibri"/>
                <w:sz w:val="18"/>
                <w:szCs w:val="18"/>
                <w:lang w:eastAsia="en-NZ"/>
              </w:rPr>
              <w:t xml:space="preserve"> </w:t>
            </w:r>
          </w:p>
          <w:p w14:paraId="15182E2C" w14:textId="77777777" w:rsidR="004D291D" w:rsidRPr="00683FF0" w:rsidRDefault="004D291D" w:rsidP="00B73FAA">
            <w:pPr>
              <w:pStyle w:val="TableText"/>
              <w:spacing w:before="0"/>
            </w:pPr>
            <w:r w:rsidRPr="00683FF0">
              <w:rPr>
                <w:b/>
                <w:bCs/>
              </w:rPr>
              <w:t>Responsible agency:</w:t>
            </w:r>
            <w:r w:rsidRPr="00683FF0">
              <w:t xml:space="preserve"> Ministry for the Environment</w:t>
            </w:r>
          </w:p>
          <w:p w14:paraId="5BB008F4" w14:textId="0A9AA9A4" w:rsidR="004D291D" w:rsidRPr="00683FF0" w:rsidRDefault="004D291D" w:rsidP="00B73FAA">
            <w:pPr>
              <w:pStyle w:val="TableText"/>
              <w:spacing w:before="0"/>
            </w:pPr>
            <w:r w:rsidRPr="00683FF0">
              <w:rPr>
                <w:b/>
                <w:bCs/>
              </w:rPr>
              <w:t>Responsible Minister:</w:t>
            </w:r>
            <w:r w:rsidRPr="00683FF0">
              <w:t xml:space="preserve"> Minister o</w:t>
            </w:r>
            <w:r w:rsidR="00BD19DE" w:rsidRPr="00683FF0">
              <w:t>f</w:t>
            </w:r>
            <w:r w:rsidRPr="00683FF0">
              <w:t xml:space="preserve"> Climate Change</w:t>
            </w:r>
          </w:p>
          <w:p w14:paraId="52C960C9" w14:textId="12EAA554" w:rsidR="00790220" w:rsidRPr="00683FF0" w:rsidRDefault="004D291D" w:rsidP="00B73FAA">
            <w:pPr>
              <w:pStyle w:val="TableText"/>
              <w:spacing w:before="0"/>
            </w:pPr>
            <w:r w:rsidRPr="00683FF0">
              <w:rPr>
                <w:b/>
                <w:bCs/>
              </w:rPr>
              <w:t xml:space="preserve">Timeline: </w:t>
            </w:r>
            <w:r w:rsidRPr="00683FF0">
              <w:t>2022–25 (EB1)</w:t>
            </w:r>
          </w:p>
        </w:tc>
      </w:tr>
      <w:tr w:rsidR="00411206" w:rsidRPr="00683FF0" w14:paraId="0D4AB327" w14:textId="77777777" w:rsidTr="00BE71A7">
        <w:tc>
          <w:tcPr>
            <w:tcW w:w="7371" w:type="dxa"/>
            <w:tcBorders>
              <w:top w:val="nil"/>
              <w:bottom w:val="single" w:sz="4" w:space="0" w:color="1B556B" w:themeColor="text2"/>
            </w:tcBorders>
          </w:tcPr>
          <w:p w14:paraId="472D6C0A" w14:textId="77777777" w:rsidR="00411206" w:rsidRPr="00683FF0" w:rsidRDefault="00411206" w:rsidP="00816901">
            <w:pPr>
              <w:pStyle w:val="TableText"/>
              <w:spacing w:before="0" w:after="0" w:line="240" w:lineRule="auto"/>
              <w:rPr>
                <w:sz w:val="14"/>
                <w:szCs w:val="18"/>
              </w:rPr>
            </w:pPr>
          </w:p>
        </w:tc>
        <w:tc>
          <w:tcPr>
            <w:tcW w:w="7371" w:type="dxa"/>
            <w:tcBorders>
              <w:top w:val="nil"/>
              <w:bottom w:val="single" w:sz="4" w:space="0" w:color="1B556B" w:themeColor="text2"/>
            </w:tcBorders>
          </w:tcPr>
          <w:p w14:paraId="349683CA" w14:textId="77777777" w:rsidR="00411206" w:rsidRPr="00683FF0" w:rsidRDefault="00411206" w:rsidP="00816901">
            <w:pPr>
              <w:pStyle w:val="TableText"/>
              <w:spacing w:before="0" w:after="0" w:line="240" w:lineRule="auto"/>
              <w:rPr>
                <w:b/>
                <w:bCs/>
                <w:sz w:val="14"/>
                <w:szCs w:val="18"/>
              </w:rPr>
            </w:pPr>
          </w:p>
        </w:tc>
      </w:tr>
      <w:tr w:rsidR="00276F45" w:rsidRPr="00683FF0" w14:paraId="1FF371DA" w14:textId="77777777" w:rsidTr="00BE71A7">
        <w:tc>
          <w:tcPr>
            <w:tcW w:w="7371" w:type="dxa"/>
          </w:tcPr>
          <w:p w14:paraId="56378F08" w14:textId="21A4E81D" w:rsidR="00276F45" w:rsidRPr="00683FF0" w:rsidRDefault="00276F45" w:rsidP="007B037B">
            <w:pPr>
              <w:pStyle w:val="TableTextbold"/>
              <w:keepNext/>
              <w:spacing w:after="0"/>
            </w:pPr>
            <w:r w:rsidRPr="00683FF0">
              <w:t>Recommendation 3 – Reductions by greenhouse gas to meet the emissions budgets</w:t>
            </w:r>
          </w:p>
          <w:p w14:paraId="2806310B" w14:textId="7AAA7ADF" w:rsidR="00276F45" w:rsidRPr="00683FF0" w:rsidRDefault="00276F45" w:rsidP="00DC45DF">
            <w:pPr>
              <w:pStyle w:val="TableText"/>
              <w:keepNext/>
              <w:rPr>
                <w:b/>
                <w:bCs/>
              </w:rPr>
            </w:pPr>
            <w:r w:rsidRPr="00683FF0">
              <w:t xml:space="preserve">We recommend that the Government implement policies that deliver emissions reductions of each greenhouse gas as outlined in </w:t>
            </w:r>
            <w:r w:rsidR="00DC45DF">
              <w:rPr>
                <w:szCs w:val="18"/>
              </w:rPr>
              <w:t>the</w:t>
            </w:r>
            <w:r w:rsidR="00DC45DF">
              <w:t xml:space="preserve"> </w:t>
            </w:r>
            <w:hyperlink w:anchor="Table4" w:history="1">
              <w:r w:rsidR="00DC45DF" w:rsidRPr="00FA2C9A">
                <w:rPr>
                  <w:rStyle w:val="Hyperlink"/>
                  <w:szCs w:val="18"/>
                </w:rPr>
                <w:t>Climate Change Commission emissions budgets 3</w:t>
              </w:r>
            </w:hyperlink>
            <w:r w:rsidR="00DC45DF">
              <w:rPr>
                <w:szCs w:val="18"/>
              </w:rPr>
              <w:t xml:space="preserve"> in the appendix</w:t>
            </w:r>
            <w:r w:rsidRPr="00683FF0">
              <w:t>.</w:t>
            </w:r>
          </w:p>
        </w:tc>
        <w:tc>
          <w:tcPr>
            <w:tcW w:w="7371" w:type="dxa"/>
          </w:tcPr>
          <w:p w14:paraId="15F9E7A9" w14:textId="185087B2" w:rsidR="00276F45" w:rsidRPr="00683FF0" w:rsidRDefault="00276F45" w:rsidP="00125AC0">
            <w:pPr>
              <w:pStyle w:val="TableText"/>
              <w:keepNext/>
            </w:pPr>
            <w:r w:rsidRPr="00683FF0">
              <w:rPr>
                <w:b/>
              </w:rPr>
              <w:t xml:space="preserve">The Government agrees in part with this recommendation. </w:t>
            </w:r>
            <w:r w:rsidRPr="00683FF0">
              <w:t xml:space="preserve">The Government will implement the policies necessary to meet the emissions budgets set out in </w:t>
            </w:r>
            <w:r w:rsidR="00DC45DF">
              <w:rPr>
                <w:rFonts w:eastAsia="Times New Roman"/>
                <w:szCs w:val="18"/>
              </w:rPr>
              <w:t xml:space="preserve">the </w:t>
            </w:r>
            <w:hyperlink w:anchor="Table2" w:history="1">
              <w:r w:rsidR="00DC45DF" w:rsidRPr="00975A89">
                <w:rPr>
                  <w:rStyle w:val="Hyperlink"/>
                  <w:rFonts w:eastAsia="Times New Roman"/>
                  <w:szCs w:val="18"/>
                </w:rPr>
                <w:t>Government response to</w:t>
              </w:r>
              <w:r w:rsidR="00DC45DF">
                <w:rPr>
                  <w:rStyle w:val="Hyperlink"/>
                  <w:rFonts w:eastAsia="Times New Roman"/>
                  <w:szCs w:val="18"/>
                </w:rPr>
                <w:t xml:space="preserve"> the</w:t>
              </w:r>
              <w:r w:rsidR="00DC45DF" w:rsidRPr="00975A89">
                <w:rPr>
                  <w:rStyle w:val="Hyperlink"/>
                  <w:rFonts w:eastAsia="Times New Roman"/>
                  <w:szCs w:val="18"/>
                </w:rPr>
                <w:t xml:space="preserve"> Commission’s budgets 1</w:t>
              </w:r>
            </w:hyperlink>
            <w:r w:rsidR="00DC45DF">
              <w:rPr>
                <w:rFonts w:eastAsia="Times New Roman"/>
                <w:szCs w:val="18"/>
              </w:rPr>
              <w:t xml:space="preserve"> in the appendix</w:t>
            </w:r>
            <w:r w:rsidRPr="00683FF0">
              <w:t xml:space="preserve">. </w:t>
            </w:r>
          </w:p>
          <w:p w14:paraId="2F39086D" w14:textId="77777777" w:rsidR="00276F45" w:rsidRPr="00683FF0" w:rsidRDefault="00276F45" w:rsidP="00980400">
            <w:pPr>
              <w:pStyle w:val="TableText"/>
            </w:pPr>
            <w:r w:rsidRPr="00683FF0">
              <w:t>This will result in a balance of emissions reductions and removals and gas-by-gas breakdowns along similar lines to those produced by the Commission in its modelling.</w:t>
            </w:r>
            <w:r w:rsidRPr="00683FF0">
              <w:rPr>
                <w:rStyle w:val="FootnoteReference"/>
                <w:rFonts w:eastAsia="Times New Roman" w:cs="Calibri"/>
                <w:sz w:val="18"/>
                <w:szCs w:val="18"/>
              </w:rPr>
              <w:footnoteReference w:id="5"/>
            </w:r>
          </w:p>
          <w:p w14:paraId="3A0519C3" w14:textId="77777777" w:rsidR="00276F45" w:rsidRPr="00683FF0" w:rsidRDefault="00276F45" w:rsidP="00980400">
            <w:pPr>
              <w:pStyle w:val="TableText"/>
            </w:pPr>
            <w:r w:rsidRPr="00683FF0">
              <w:t>To date, the Government’s modelling of expected policy impacts has been sector- and policy-based and compiled in aggregate CO</w:t>
            </w:r>
            <w:r w:rsidRPr="00683FF0">
              <w:rPr>
                <w:vertAlign w:val="subscript"/>
              </w:rPr>
              <w:t>2</w:t>
            </w:r>
            <w:r w:rsidRPr="00683FF0">
              <w:t xml:space="preserve"> equivalent terms only. </w:t>
            </w:r>
          </w:p>
          <w:p w14:paraId="70BA1159" w14:textId="77777777" w:rsidR="00276F45" w:rsidRPr="00683FF0" w:rsidRDefault="00276F45" w:rsidP="007B037B">
            <w:pPr>
              <w:pStyle w:val="TableText"/>
              <w:spacing w:before="0"/>
            </w:pPr>
            <w:r w:rsidRPr="00683FF0">
              <w:rPr>
                <w:b/>
                <w:bCs/>
              </w:rPr>
              <w:t>Responsible agency:</w:t>
            </w:r>
            <w:r w:rsidRPr="00683FF0">
              <w:t xml:space="preserve"> Ministry for the Environment</w:t>
            </w:r>
          </w:p>
          <w:p w14:paraId="2D38766C" w14:textId="77777777" w:rsidR="00276F45" w:rsidRPr="00683FF0" w:rsidRDefault="00276F45" w:rsidP="007B037B">
            <w:pPr>
              <w:pStyle w:val="TableText"/>
              <w:spacing w:before="0"/>
            </w:pPr>
            <w:r w:rsidRPr="00683FF0">
              <w:rPr>
                <w:b/>
                <w:bCs/>
              </w:rPr>
              <w:t>Responsible Minister:</w:t>
            </w:r>
            <w:r w:rsidRPr="00683FF0">
              <w:t xml:space="preserve"> Minister of Climate Change</w:t>
            </w:r>
          </w:p>
          <w:p w14:paraId="10942F9E" w14:textId="6A23E712" w:rsidR="00276F45" w:rsidRPr="00683FF0" w:rsidRDefault="00276F45" w:rsidP="007B037B">
            <w:pPr>
              <w:pStyle w:val="TableText"/>
              <w:spacing w:before="0"/>
            </w:pPr>
            <w:r w:rsidRPr="00683FF0">
              <w:rPr>
                <w:b/>
                <w:bCs/>
              </w:rPr>
              <w:t xml:space="preserve">Timeline: </w:t>
            </w:r>
            <w:r w:rsidRPr="00683FF0">
              <w:t>2022–25 (EB1)</w:t>
            </w:r>
          </w:p>
        </w:tc>
      </w:tr>
      <w:tr w:rsidR="004D291D" w:rsidRPr="00683FF0" w14:paraId="51090980" w14:textId="77777777" w:rsidTr="00BE71A7">
        <w:tc>
          <w:tcPr>
            <w:tcW w:w="7371" w:type="dxa"/>
          </w:tcPr>
          <w:p w14:paraId="578D9B76" w14:textId="005E31DC" w:rsidR="00790220" w:rsidRPr="00683FF0" w:rsidRDefault="001A1A4A" w:rsidP="007B037B">
            <w:pPr>
              <w:pStyle w:val="TableTextbold"/>
              <w:spacing w:after="0"/>
            </w:pPr>
            <w:r w:rsidRPr="00683FF0">
              <w:t xml:space="preserve">Recommendation 4 </w:t>
            </w:r>
            <w:r w:rsidR="00695A60" w:rsidRPr="00683FF0">
              <w:t xml:space="preserve">– </w:t>
            </w:r>
            <w:r w:rsidRPr="00683FF0">
              <w:t>Limit on offshore mitigation for emissions budgets and circumstances justifying its use</w:t>
            </w:r>
          </w:p>
          <w:p w14:paraId="04E035AA" w14:textId="772FC196" w:rsidR="00E91F3D" w:rsidRPr="00683FF0" w:rsidRDefault="00D27DD4" w:rsidP="007A46BB">
            <w:pPr>
              <w:pStyle w:val="TableText"/>
            </w:pPr>
            <w:r w:rsidRPr="00683FF0">
              <w:lastRenderedPageBreak/>
              <w:t xml:space="preserve">We recommend that, given that emissions budgets must be met as far as possible through domestic action, for the purposes of meeting emissions budgets: </w:t>
            </w:r>
          </w:p>
          <w:p w14:paraId="19EA0A1D" w14:textId="3C965CB1" w:rsidR="00E91F3D" w:rsidRPr="00683FF0" w:rsidRDefault="00E91F3D" w:rsidP="007A46BB">
            <w:pPr>
              <w:pStyle w:val="TableText"/>
            </w:pPr>
            <w:r w:rsidRPr="00683FF0">
              <w:t>4</w:t>
            </w:r>
            <w:r w:rsidR="00D27DD4" w:rsidRPr="00683FF0">
              <w:t xml:space="preserve">a. The limit on offshore mitigation should be zero for the first three emissions budgets. </w:t>
            </w:r>
          </w:p>
          <w:p w14:paraId="59638D8A" w14:textId="5787D4E6" w:rsidR="001A1A4A" w:rsidRPr="00683FF0" w:rsidRDefault="00E91F3D" w:rsidP="007A46BB">
            <w:pPr>
              <w:pStyle w:val="TableText"/>
            </w:pPr>
            <w:r w:rsidRPr="00683FF0">
              <w:t>4</w:t>
            </w:r>
            <w:r w:rsidR="00D27DD4" w:rsidRPr="00683FF0">
              <w:t>b. The only circumstances that at this stage would justify the use of offshore mitigation is as a last resort in exceptional circumstances beyond the Government’s control, such as force majeure events, where domestic measures cannot compensate for emissions impacts.</w:t>
            </w:r>
          </w:p>
        </w:tc>
        <w:tc>
          <w:tcPr>
            <w:tcW w:w="7371" w:type="dxa"/>
          </w:tcPr>
          <w:p w14:paraId="5A346692" w14:textId="38166E77" w:rsidR="004441C9" w:rsidRPr="00683FF0" w:rsidRDefault="004441C9" w:rsidP="007B037B">
            <w:pPr>
              <w:pStyle w:val="TableTextbold"/>
              <w:spacing w:after="0"/>
            </w:pPr>
            <w:r w:rsidRPr="00683FF0">
              <w:lastRenderedPageBreak/>
              <w:t>The Government agrees with this recommendation.</w:t>
            </w:r>
          </w:p>
          <w:p w14:paraId="68271CDD" w14:textId="10FF722B" w:rsidR="000649F3" w:rsidRPr="00683FF0" w:rsidRDefault="004D291D" w:rsidP="007A46BB">
            <w:pPr>
              <w:pStyle w:val="TableText"/>
              <w:rPr>
                <w:b/>
                <w:bCs/>
              </w:rPr>
            </w:pPr>
            <w:r w:rsidRPr="00683FF0">
              <w:rPr>
                <w:b/>
              </w:rPr>
              <w:t xml:space="preserve">4a. </w:t>
            </w:r>
            <w:r w:rsidRPr="00683FF0">
              <w:t>This is consistent with the overall direction in the CCRA that emissions budgets should be achieved through domestic action (see s</w:t>
            </w:r>
            <w:r w:rsidR="008F5AC5" w:rsidRPr="00683FF0">
              <w:t xml:space="preserve">ections </w:t>
            </w:r>
            <w:r w:rsidRPr="00683FF0">
              <w:t>5W and 5Z of the CCRA).</w:t>
            </w:r>
          </w:p>
          <w:p w14:paraId="61257055" w14:textId="177502E3" w:rsidR="00857313" w:rsidRPr="00683FF0" w:rsidRDefault="00857313" w:rsidP="007A46BB">
            <w:pPr>
              <w:pStyle w:val="TableText"/>
            </w:pPr>
            <w:r w:rsidRPr="00683FF0">
              <w:rPr>
                <w:b/>
                <w:bCs/>
              </w:rPr>
              <w:lastRenderedPageBreak/>
              <w:t xml:space="preserve">4b. </w:t>
            </w:r>
            <w:r w:rsidRPr="00683FF0">
              <w:t>The CCRA states that offshore mitigation may be used if there is a significant change of circumstance that affects either the considerations on which the relevant budget was based, or the ability to meet the relevant budget domestically (s</w:t>
            </w:r>
            <w:r w:rsidR="008F5AC5" w:rsidRPr="00683FF0">
              <w:t xml:space="preserve">ection </w:t>
            </w:r>
            <w:r w:rsidRPr="00683FF0">
              <w:t>5Z)</w:t>
            </w:r>
            <w:r w:rsidR="00BD19DE" w:rsidRPr="00683FF0">
              <w:t>.</w:t>
            </w:r>
          </w:p>
          <w:p w14:paraId="3AF4E532" w14:textId="32CBA3B4" w:rsidR="00857313" w:rsidRPr="00683FF0" w:rsidRDefault="00857313" w:rsidP="007A46BB">
            <w:pPr>
              <w:pStyle w:val="TableText"/>
            </w:pPr>
            <w:r w:rsidRPr="00683FF0">
              <w:t xml:space="preserve">The Commission’s recommendation to limit the use of offshore mitigation to a last resort in exceptional circumstances beyond the Government’s control </w:t>
            </w:r>
            <w:r w:rsidR="006634E6" w:rsidRPr="00683FF0">
              <w:t>is</w:t>
            </w:r>
            <w:r w:rsidRPr="00683FF0">
              <w:t xml:space="preserve"> a narrow interpretation </w:t>
            </w:r>
            <w:r w:rsidR="00320EE1" w:rsidRPr="00683FF0">
              <w:t xml:space="preserve">based on </w:t>
            </w:r>
            <w:r w:rsidR="003D48E5" w:rsidRPr="00683FF0">
              <w:t>its</w:t>
            </w:r>
            <w:r w:rsidR="00C753CE" w:rsidRPr="00683FF0">
              <w:t xml:space="preserve"> </w:t>
            </w:r>
            <w:r w:rsidRPr="00683FF0">
              <w:t xml:space="preserve">current information </w:t>
            </w:r>
            <w:r w:rsidR="003D48E5" w:rsidRPr="00683FF0">
              <w:t>and assessment</w:t>
            </w:r>
            <w:r w:rsidRPr="00683FF0">
              <w:t xml:space="preserve"> “at this stage”</w:t>
            </w:r>
            <w:r w:rsidR="008B5DB8" w:rsidRPr="00683FF0">
              <w:t>.</w:t>
            </w:r>
            <w:r w:rsidRPr="00683FF0">
              <w:t xml:space="preserve"> </w:t>
            </w:r>
          </w:p>
          <w:p w14:paraId="06CFD711" w14:textId="77777777" w:rsidR="00AB1E42" w:rsidRPr="00683FF0" w:rsidRDefault="00857313" w:rsidP="007A46BB">
            <w:pPr>
              <w:pStyle w:val="TableText"/>
            </w:pPr>
            <w:r w:rsidRPr="00683FF0">
              <w:t>The CCRA also requires the Commission to make an assessment after the end of an emissions budget period of the amount of offshore mitigation required to meet the emissions budget for that period.</w:t>
            </w:r>
          </w:p>
          <w:p w14:paraId="0231A9BE" w14:textId="59FDFC6B" w:rsidR="00857313" w:rsidRPr="00683FF0" w:rsidRDefault="00857313" w:rsidP="007B037B">
            <w:pPr>
              <w:pStyle w:val="TableText"/>
              <w:spacing w:before="0"/>
            </w:pPr>
            <w:r w:rsidRPr="00683FF0">
              <w:rPr>
                <w:b/>
                <w:bCs/>
              </w:rPr>
              <w:t>Responsible agency:</w:t>
            </w:r>
            <w:r w:rsidRPr="00683FF0">
              <w:t xml:space="preserve"> Ministry for the Environment</w:t>
            </w:r>
          </w:p>
          <w:p w14:paraId="4649839A" w14:textId="1602B725" w:rsidR="00857313" w:rsidRPr="00683FF0" w:rsidRDefault="00857313" w:rsidP="007B037B">
            <w:pPr>
              <w:pStyle w:val="TableText"/>
              <w:spacing w:before="0"/>
            </w:pPr>
            <w:r w:rsidRPr="00683FF0">
              <w:rPr>
                <w:b/>
                <w:bCs/>
              </w:rPr>
              <w:t>Responsible Minister:</w:t>
            </w:r>
            <w:r w:rsidRPr="00683FF0">
              <w:t xml:space="preserve"> Minister </w:t>
            </w:r>
            <w:r w:rsidR="00BD19DE" w:rsidRPr="00683FF0">
              <w:t>of</w:t>
            </w:r>
            <w:r w:rsidRPr="00683FF0">
              <w:t xml:space="preserve"> Climate Change</w:t>
            </w:r>
          </w:p>
          <w:p w14:paraId="5B39BCB3" w14:textId="0487B6DA" w:rsidR="00790220" w:rsidRPr="00683FF0" w:rsidRDefault="00857313" w:rsidP="007B037B">
            <w:pPr>
              <w:pStyle w:val="TableText"/>
              <w:spacing w:before="0"/>
            </w:pPr>
            <w:r w:rsidRPr="00683FF0">
              <w:rPr>
                <w:b/>
                <w:bCs/>
              </w:rPr>
              <w:t xml:space="preserve">Timeline: </w:t>
            </w:r>
            <w:r w:rsidRPr="00683FF0">
              <w:t>2022–25 (EB1)</w:t>
            </w:r>
          </w:p>
        </w:tc>
      </w:tr>
    </w:tbl>
    <w:p w14:paraId="0A66D125" w14:textId="66E0220F" w:rsidR="00C64F92" w:rsidRPr="00683FF0" w:rsidRDefault="00C64F92" w:rsidP="00BE71A7">
      <w:pPr>
        <w:pStyle w:val="BodyText"/>
      </w:pPr>
    </w:p>
    <w:p w14:paraId="3F878F3D" w14:textId="77777777" w:rsidR="00BE71A7" w:rsidRPr="00683FF0" w:rsidRDefault="00BE71A7" w:rsidP="001C707C">
      <w:pPr>
        <w:pStyle w:val="Heading1"/>
        <w:sectPr w:rsidR="00BE71A7" w:rsidRPr="00683FF0" w:rsidSect="00F47A65">
          <w:footerReference w:type="even" r:id="rId26"/>
          <w:footerReference w:type="default" r:id="rId27"/>
          <w:pgSz w:w="16838" w:h="11906" w:orient="landscape" w:code="9"/>
          <w:pgMar w:top="1701" w:right="1134" w:bottom="1701" w:left="1134" w:header="567" w:footer="567" w:gutter="0"/>
          <w:cols w:space="708"/>
          <w:docGrid w:linePitch="360"/>
        </w:sectPr>
      </w:pPr>
      <w:bookmarkStart w:id="5" w:name="_Toc103175819"/>
    </w:p>
    <w:p w14:paraId="1C84E020" w14:textId="007F9DA9" w:rsidR="00FF355C" w:rsidRPr="00683FF0" w:rsidRDefault="00B64191" w:rsidP="001C707C">
      <w:pPr>
        <w:pStyle w:val="Heading1"/>
      </w:pPr>
      <w:bookmarkStart w:id="6" w:name="_Toc103778782"/>
      <w:r w:rsidRPr="00683FF0">
        <w:lastRenderedPageBreak/>
        <w:t xml:space="preserve">Recommendation 5: </w:t>
      </w:r>
      <w:r w:rsidR="001C707C" w:rsidRPr="00683FF0">
        <w:br/>
      </w:r>
      <w:r w:rsidR="008E5E76" w:rsidRPr="00683FF0">
        <w:t>Rules for measuring progress towards emissions budgets and 2050 targets</w:t>
      </w:r>
      <w:bookmarkEnd w:id="5"/>
      <w:bookmarkEnd w:id="6"/>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4230"/>
        <w:gridCol w:w="4275"/>
      </w:tblGrid>
      <w:tr w:rsidR="001C707C" w:rsidRPr="00683FF0" w14:paraId="098E3089" w14:textId="77777777" w:rsidTr="009A19EC">
        <w:trPr>
          <w:tblHeader/>
        </w:trPr>
        <w:tc>
          <w:tcPr>
            <w:tcW w:w="4508" w:type="dxa"/>
            <w:tcBorders>
              <w:bottom w:val="single" w:sz="4" w:space="0" w:color="1B556B" w:themeColor="text2"/>
            </w:tcBorders>
            <w:shd w:val="clear" w:color="auto" w:fill="1B556B" w:themeFill="text2"/>
            <w:vAlign w:val="center"/>
          </w:tcPr>
          <w:p w14:paraId="44B7D9FA" w14:textId="013FBC2B" w:rsidR="00FF355C" w:rsidRPr="00683FF0" w:rsidRDefault="00FF355C" w:rsidP="001C707C">
            <w:pPr>
              <w:pStyle w:val="TableTextbold"/>
              <w:rPr>
                <w:color w:val="FFFFFF" w:themeColor="background1"/>
                <w:szCs w:val="18"/>
              </w:rPr>
            </w:pPr>
            <w:r w:rsidRPr="00683FF0">
              <w:rPr>
                <w:color w:val="FFFFFF" w:themeColor="background1"/>
              </w:rPr>
              <w:t xml:space="preserve">Report </w:t>
            </w:r>
            <w:r w:rsidR="008B5DB8" w:rsidRPr="00683FF0">
              <w:rPr>
                <w:color w:val="FFFFFF" w:themeColor="background1"/>
              </w:rPr>
              <w:t>r</w:t>
            </w:r>
            <w:r w:rsidRPr="00683FF0">
              <w:rPr>
                <w:color w:val="FFFFFF" w:themeColor="background1"/>
              </w:rPr>
              <w:t>ecommendation</w:t>
            </w:r>
          </w:p>
        </w:tc>
        <w:tc>
          <w:tcPr>
            <w:tcW w:w="4508" w:type="dxa"/>
            <w:tcBorders>
              <w:bottom w:val="single" w:sz="4" w:space="0" w:color="1B556B" w:themeColor="text2"/>
            </w:tcBorders>
            <w:shd w:val="clear" w:color="auto" w:fill="1B556B" w:themeFill="text2"/>
            <w:vAlign w:val="center"/>
          </w:tcPr>
          <w:p w14:paraId="5C321CF8" w14:textId="05226350" w:rsidR="00FF355C" w:rsidRPr="00683FF0" w:rsidRDefault="00FF355C" w:rsidP="001C707C">
            <w:pPr>
              <w:pStyle w:val="TableTextbold"/>
              <w:rPr>
                <w:color w:val="FFFFFF" w:themeColor="background1"/>
                <w:szCs w:val="18"/>
              </w:rPr>
            </w:pPr>
            <w:r w:rsidRPr="00683FF0">
              <w:rPr>
                <w:color w:val="FFFFFF" w:themeColor="background1"/>
              </w:rPr>
              <w:t xml:space="preserve">Government </w:t>
            </w:r>
            <w:r w:rsidR="008B5DB8" w:rsidRPr="00683FF0">
              <w:rPr>
                <w:color w:val="FFFFFF" w:themeColor="background1"/>
              </w:rPr>
              <w:t>r</w:t>
            </w:r>
            <w:r w:rsidRPr="00683FF0">
              <w:rPr>
                <w:color w:val="FFFFFF" w:themeColor="background1"/>
              </w:rPr>
              <w:t>esponse</w:t>
            </w:r>
          </w:p>
        </w:tc>
      </w:tr>
      <w:tr w:rsidR="00FF355C" w:rsidRPr="00683FF0" w14:paraId="61F82E0C" w14:textId="77777777" w:rsidTr="009A19EC">
        <w:tc>
          <w:tcPr>
            <w:tcW w:w="4508" w:type="dxa"/>
            <w:tcBorders>
              <w:bottom w:val="nil"/>
            </w:tcBorders>
            <w:shd w:val="clear" w:color="auto" w:fill="auto"/>
          </w:tcPr>
          <w:p w14:paraId="5CB57C65" w14:textId="77777777" w:rsidR="00FF355C" w:rsidRPr="00683FF0" w:rsidRDefault="00FF355C" w:rsidP="00BD1854">
            <w:pPr>
              <w:pStyle w:val="TableTextbold"/>
              <w:spacing w:after="0"/>
            </w:pPr>
            <w:r w:rsidRPr="00683FF0">
              <w:t>Recommendation 5 – The rules for measuring progress towards emissions budgets and the 2050 targets</w:t>
            </w:r>
          </w:p>
          <w:p w14:paraId="377EE7DC" w14:textId="7DD29DE3" w:rsidR="00513E5A" w:rsidRPr="00683FF0" w:rsidRDefault="00FF355C" w:rsidP="00BD1854">
            <w:pPr>
              <w:pStyle w:val="TableText"/>
              <w:spacing w:after="0"/>
              <w:rPr>
                <w:szCs w:val="18"/>
              </w:rPr>
            </w:pPr>
            <w:r w:rsidRPr="00683FF0">
              <w:t>We recommend the following package of rules for measuring progress:</w:t>
            </w:r>
          </w:p>
        </w:tc>
        <w:tc>
          <w:tcPr>
            <w:tcW w:w="4508" w:type="dxa"/>
            <w:tcBorders>
              <w:bottom w:val="nil"/>
            </w:tcBorders>
            <w:shd w:val="clear" w:color="auto" w:fill="auto"/>
          </w:tcPr>
          <w:p w14:paraId="1A91AF20" w14:textId="55B3FFA8" w:rsidR="00FF355C" w:rsidRPr="00683FF0" w:rsidDel="008C1A09" w:rsidRDefault="00FF355C" w:rsidP="00BD1854">
            <w:pPr>
              <w:pStyle w:val="TableTextbold"/>
              <w:spacing w:after="0"/>
            </w:pPr>
            <w:r w:rsidRPr="00683FF0">
              <w:t xml:space="preserve">The Government agrees </w:t>
            </w:r>
            <w:r w:rsidR="00F22D57" w:rsidRPr="00683FF0">
              <w:t>in principle</w:t>
            </w:r>
            <w:r w:rsidRPr="00683FF0">
              <w:t xml:space="preserve"> </w:t>
            </w:r>
            <w:r w:rsidR="00FD54CD" w:rsidRPr="00683FF0">
              <w:t>with th</w:t>
            </w:r>
            <w:r w:rsidR="006450C3" w:rsidRPr="00683FF0">
              <w:t xml:space="preserve">e recommended </w:t>
            </w:r>
            <w:r w:rsidR="00FD54CD" w:rsidRPr="00683FF0">
              <w:t xml:space="preserve">package </w:t>
            </w:r>
            <w:r w:rsidR="00CB30BE" w:rsidRPr="00683FF0">
              <w:t>of rules</w:t>
            </w:r>
            <w:r w:rsidR="00375806" w:rsidRPr="00683FF0">
              <w:t xml:space="preserve"> </w:t>
            </w:r>
            <w:r w:rsidR="00EB6F49" w:rsidRPr="00683FF0">
              <w:t xml:space="preserve">for measuring progress, </w:t>
            </w:r>
            <w:r w:rsidR="00375806" w:rsidRPr="00683FF0">
              <w:t xml:space="preserve">subject </w:t>
            </w:r>
            <w:r w:rsidR="001735D7" w:rsidRPr="00683FF0">
              <w:t xml:space="preserve">to </w:t>
            </w:r>
            <w:r w:rsidR="00900D7B" w:rsidRPr="00683FF0">
              <w:t xml:space="preserve">some exceptions and modifications </w:t>
            </w:r>
            <w:r w:rsidR="004A44BD" w:rsidRPr="00683FF0">
              <w:t xml:space="preserve">as noted below. </w:t>
            </w:r>
          </w:p>
        </w:tc>
      </w:tr>
      <w:tr w:rsidR="00114EB5" w:rsidRPr="00683FF0" w14:paraId="360C9A41" w14:textId="77777777" w:rsidTr="009A19EC">
        <w:tc>
          <w:tcPr>
            <w:tcW w:w="4508" w:type="dxa"/>
            <w:tcBorders>
              <w:top w:val="nil"/>
              <w:bottom w:val="nil"/>
            </w:tcBorders>
            <w:shd w:val="clear" w:color="auto" w:fill="auto"/>
          </w:tcPr>
          <w:p w14:paraId="57D83E2C" w14:textId="4F0C7E50" w:rsidR="00114EB5" w:rsidRPr="00683FF0" w:rsidRDefault="00114EB5" w:rsidP="00276F45">
            <w:pPr>
              <w:pStyle w:val="TableText"/>
            </w:pPr>
            <w:r w:rsidRPr="00683FF0">
              <w:t>5a. Use of the production-based approach from New Zealand’s Greenhouse Gas Inventory as the basis for accounting for emissions budgets and the 2050 targets.</w:t>
            </w:r>
          </w:p>
        </w:tc>
        <w:tc>
          <w:tcPr>
            <w:tcW w:w="4508" w:type="dxa"/>
            <w:tcBorders>
              <w:top w:val="nil"/>
              <w:bottom w:val="nil"/>
            </w:tcBorders>
            <w:shd w:val="clear" w:color="auto" w:fill="auto"/>
          </w:tcPr>
          <w:p w14:paraId="1DD601B7" w14:textId="1626963C" w:rsidR="00114EB5" w:rsidRPr="00683FF0" w:rsidRDefault="00114EB5" w:rsidP="001C707C">
            <w:pPr>
              <w:pStyle w:val="TableText"/>
              <w:rPr>
                <w:rFonts w:eastAsia="Times New Roman" w:cstheme="minorHAnsi"/>
                <w:b/>
                <w:bCs/>
              </w:rPr>
            </w:pPr>
            <w:r w:rsidRPr="00683FF0">
              <w:rPr>
                <w:rFonts w:eastAsia="Times New Roman" w:cstheme="minorHAnsi"/>
                <w:b/>
                <w:bCs/>
              </w:rPr>
              <w:t>5a. The Government agrees with this recommendation.</w:t>
            </w:r>
            <w:r w:rsidR="00436AC1" w:rsidRPr="00683FF0">
              <w:t xml:space="preserve"> </w:t>
            </w:r>
            <w:r w:rsidR="00520E0B" w:rsidRPr="00683FF0">
              <w:t xml:space="preserve">The accounting used for the emissions budgets and the 2050 targets </w:t>
            </w:r>
            <w:r w:rsidR="008B5DB8" w:rsidRPr="00683FF0">
              <w:t xml:space="preserve">follows </w:t>
            </w:r>
            <w:r w:rsidR="00520E0B" w:rsidRPr="00683FF0">
              <w:t xml:space="preserve">the production-based approach from </w:t>
            </w:r>
            <w:r w:rsidR="00520E0B" w:rsidRPr="00683FF0">
              <w:rPr>
                <w:i/>
                <w:iCs/>
              </w:rPr>
              <w:t>New Zealand’s Greenhouse Gas Inventory</w:t>
            </w:r>
            <w:r w:rsidR="005737AF" w:rsidRPr="00683FF0">
              <w:rPr>
                <w:i/>
                <w:iCs/>
              </w:rPr>
              <w:t xml:space="preserve"> for 1990</w:t>
            </w:r>
            <w:r w:rsidR="008B5DB8" w:rsidRPr="00683FF0">
              <w:rPr>
                <w:i/>
                <w:iCs/>
              </w:rPr>
              <w:t>–</w:t>
            </w:r>
            <w:r w:rsidR="005737AF" w:rsidRPr="00683FF0">
              <w:rPr>
                <w:i/>
                <w:iCs/>
              </w:rPr>
              <w:t>2019</w:t>
            </w:r>
            <w:r w:rsidR="005737AF" w:rsidRPr="00683FF0">
              <w:t>.</w:t>
            </w:r>
          </w:p>
        </w:tc>
      </w:tr>
      <w:tr w:rsidR="001A56D1" w:rsidRPr="00683FF0" w14:paraId="48716159" w14:textId="77777777" w:rsidTr="00853D52">
        <w:tc>
          <w:tcPr>
            <w:tcW w:w="4508" w:type="dxa"/>
            <w:tcBorders>
              <w:top w:val="nil"/>
              <w:bottom w:val="nil"/>
            </w:tcBorders>
            <w:shd w:val="clear" w:color="auto" w:fill="auto"/>
          </w:tcPr>
          <w:p w14:paraId="3FC9928B" w14:textId="341051DA" w:rsidR="001A56D1" w:rsidRPr="00683FF0" w:rsidRDefault="001A56D1" w:rsidP="001C707C">
            <w:pPr>
              <w:pStyle w:val="TableText"/>
            </w:pPr>
            <w:r w:rsidRPr="00683FF0">
              <w:t>5b. Use of the modified activity-based framework for land emissions accounting, with a 1990 base year and ‘averaging’ for post-1989 forests, substantially aligning emissions budget accounting with the approach used for accounting for the Nationally Determined Contribution (NDC).</w:t>
            </w:r>
          </w:p>
        </w:tc>
        <w:tc>
          <w:tcPr>
            <w:tcW w:w="4508" w:type="dxa"/>
            <w:tcBorders>
              <w:top w:val="nil"/>
              <w:bottom w:val="nil"/>
            </w:tcBorders>
            <w:shd w:val="clear" w:color="auto" w:fill="auto"/>
          </w:tcPr>
          <w:p w14:paraId="3307AC7F" w14:textId="0F6070C9" w:rsidR="001A56D1" w:rsidRPr="00683FF0" w:rsidRDefault="001A56D1" w:rsidP="00276F45">
            <w:pPr>
              <w:pStyle w:val="TableText"/>
            </w:pPr>
            <w:r w:rsidRPr="00683FF0">
              <w:rPr>
                <w:rFonts w:eastAsia="Times New Roman" w:cstheme="minorHAnsi"/>
                <w:b/>
                <w:bCs/>
              </w:rPr>
              <w:t xml:space="preserve">5b. The Government agrees with this recommendation. </w:t>
            </w:r>
            <w:r w:rsidRPr="00683FF0">
              <w:t xml:space="preserve">Using a 1990 base year, as </w:t>
            </w:r>
            <w:r w:rsidR="001124CF" w:rsidRPr="00683FF0">
              <w:t>in the recommendation</w:t>
            </w:r>
            <w:r w:rsidRPr="00683FF0">
              <w:t>, helps align emissions budget accounting with NDC accounting. Not</w:t>
            </w:r>
            <w:r w:rsidR="008B5DB8" w:rsidRPr="00683FF0">
              <w:t>e</w:t>
            </w:r>
            <w:r w:rsidRPr="00683FF0">
              <w:t xml:space="preserve"> that this decision could potentially be reconsidered at a later date.</w:t>
            </w:r>
          </w:p>
        </w:tc>
      </w:tr>
      <w:tr w:rsidR="001A56D1" w:rsidRPr="00683FF0" w14:paraId="60F9AA66" w14:textId="77777777" w:rsidTr="00853D52">
        <w:tc>
          <w:tcPr>
            <w:tcW w:w="4508" w:type="dxa"/>
            <w:tcBorders>
              <w:top w:val="nil"/>
            </w:tcBorders>
            <w:shd w:val="clear" w:color="auto" w:fill="auto"/>
          </w:tcPr>
          <w:p w14:paraId="342B66CF" w14:textId="77777777" w:rsidR="001A56D1" w:rsidRPr="00683FF0" w:rsidRDefault="001A56D1" w:rsidP="001C707C">
            <w:pPr>
              <w:pStyle w:val="TableText"/>
            </w:pPr>
            <w:r w:rsidRPr="00683FF0">
              <w:t>5c. Within the modified activity-based land emissions accounting framework, to:</w:t>
            </w:r>
          </w:p>
          <w:p w14:paraId="0013DD75" w14:textId="77777777" w:rsidR="001A56D1" w:rsidRPr="00683FF0" w:rsidRDefault="001A56D1" w:rsidP="00D21268">
            <w:pPr>
              <w:pStyle w:val="TableText"/>
              <w:numPr>
                <w:ilvl w:val="0"/>
                <w:numId w:val="14"/>
              </w:numPr>
              <w:spacing w:before="0"/>
              <w:ind w:left="284" w:hanging="284"/>
            </w:pPr>
            <w:r w:rsidRPr="00683FF0">
              <w:t>Include the land areas and uses corresponding to afforestation, reforestation, and deforestation, as confirmed for the first NDC.</w:t>
            </w:r>
          </w:p>
          <w:p w14:paraId="15238535" w14:textId="77777777" w:rsidR="001A56D1" w:rsidRPr="00683FF0" w:rsidRDefault="001A56D1" w:rsidP="00D21268">
            <w:pPr>
              <w:pStyle w:val="TableText"/>
              <w:numPr>
                <w:ilvl w:val="0"/>
                <w:numId w:val="14"/>
              </w:numPr>
              <w:spacing w:before="0"/>
              <w:ind w:left="284" w:hanging="284"/>
            </w:pPr>
            <w:r w:rsidRPr="00683FF0">
              <w:t>Exclude forest management, the activity relating to the impact of management practices on pre-1990 forest carbon stocks. This is despite its inclusion in NDC accounting because the forest management reference level has not yet been set for the period through to 2030 and we have been unable to assess how it manages accuracy and uncertainty risks. Improved management of pre-1990 forests nevertheless remains important and should be encouraged through policy.</w:t>
            </w:r>
          </w:p>
          <w:p w14:paraId="0EBA0279" w14:textId="2E53D2F8" w:rsidR="001A56D1" w:rsidRPr="00683FF0" w:rsidRDefault="001A56D1" w:rsidP="00D21268">
            <w:pPr>
              <w:pStyle w:val="TableText"/>
              <w:numPr>
                <w:ilvl w:val="0"/>
                <w:numId w:val="14"/>
              </w:numPr>
              <w:spacing w:before="0"/>
              <w:ind w:left="284" w:hanging="284"/>
            </w:pPr>
            <w:r w:rsidRPr="00683FF0">
              <w:t>Include harvested wood products (HWPs) from post-1989 forests, but not HWPs from pre</w:t>
            </w:r>
            <w:r w:rsidR="00613F75" w:rsidRPr="00683FF0">
              <w:t>-</w:t>
            </w:r>
            <w:r w:rsidRPr="00683FF0">
              <w:t xml:space="preserve">1990 forests because they are accounted for as part of forest management which is excluded from emissions budget accounting. </w:t>
            </w:r>
          </w:p>
          <w:p w14:paraId="3424A0E7" w14:textId="5A8ED3EB" w:rsidR="001A56D1" w:rsidRPr="00683FF0" w:rsidRDefault="001A56D1" w:rsidP="00D21268">
            <w:pPr>
              <w:pStyle w:val="TableText"/>
              <w:numPr>
                <w:ilvl w:val="0"/>
                <w:numId w:val="14"/>
              </w:numPr>
              <w:spacing w:before="0"/>
              <w:ind w:left="284" w:hanging="284"/>
              <w:rPr>
                <w:szCs w:val="18"/>
              </w:rPr>
            </w:pPr>
            <w:r w:rsidRPr="00683FF0">
              <w:t>Include a natural disturbances provision, aligned with the first NDC and the 2013 IPCC Kyoto Protocol Supplement. The Commission will judge whether to invoke the provision in its reports that monitor progress each year and at the end of an emissions budget period.</w:t>
            </w:r>
          </w:p>
        </w:tc>
        <w:tc>
          <w:tcPr>
            <w:tcW w:w="4508" w:type="dxa"/>
            <w:tcBorders>
              <w:top w:val="nil"/>
            </w:tcBorders>
            <w:shd w:val="clear" w:color="auto" w:fill="auto"/>
          </w:tcPr>
          <w:p w14:paraId="3A8C5083" w14:textId="2F8DFBB8" w:rsidR="004B22CF" w:rsidRPr="00683FF0" w:rsidRDefault="001A56D1" w:rsidP="001C707C">
            <w:pPr>
              <w:pStyle w:val="TableText"/>
              <w:rPr>
                <w:rFonts w:eastAsia="Times New Roman"/>
              </w:rPr>
            </w:pPr>
            <w:r w:rsidRPr="00683FF0">
              <w:rPr>
                <w:rFonts w:eastAsia="Times New Roman"/>
                <w:b/>
              </w:rPr>
              <w:t>5c.I. The Government agrees with th</w:t>
            </w:r>
            <w:r w:rsidR="00364747" w:rsidRPr="00683FF0">
              <w:rPr>
                <w:rFonts w:eastAsia="Times New Roman"/>
                <w:b/>
              </w:rPr>
              <w:t>is</w:t>
            </w:r>
            <w:r w:rsidRPr="00683FF0">
              <w:rPr>
                <w:rFonts w:eastAsia="Times New Roman"/>
                <w:b/>
              </w:rPr>
              <w:t xml:space="preserve"> recommendation</w:t>
            </w:r>
            <w:r w:rsidR="00613F75" w:rsidRPr="00683FF0">
              <w:rPr>
                <w:rFonts w:eastAsia="Times New Roman"/>
                <w:b/>
              </w:rPr>
              <w:t>.</w:t>
            </w:r>
            <w:r w:rsidRPr="00683FF0">
              <w:rPr>
                <w:rFonts w:eastAsia="Times New Roman"/>
                <w:b/>
              </w:rPr>
              <w:t xml:space="preserve"> </w:t>
            </w:r>
            <w:r w:rsidR="00777900" w:rsidRPr="00683FF0">
              <w:rPr>
                <w:rFonts w:eastAsia="Times New Roman"/>
                <w:bCs/>
              </w:rPr>
              <w:t xml:space="preserve">This aligns with </w:t>
            </w:r>
            <w:r w:rsidR="00730F0F" w:rsidRPr="00683FF0">
              <w:rPr>
                <w:rFonts w:eastAsia="Times New Roman"/>
                <w:bCs/>
              </w:rPr>
              <w:t xml:space="preserve">the </w:t>
            </w:r>
            <w:r w:rsidR="006B4011" w:rsidRPr="00683FF0">
              <w:rPr>
                <w:rFonts w:eastAsia="Times New Roman"/>
                <w:bCs/>
              </w:rPr>
              <w:t xml:space="preserve">rules </w:t>
            </w:r>
            <w:r w:rsidR="00A02DE8" w:rsidRPr="00683FF0">
              <w:rPr>
                <w:rFonts w:eastAsia="Times New Roman"/>
                <w:bCs/>
              </w:rPr>
              <w:t>that Aotearoa</w:t>
            </w:r>
            <w:r w:rsidR="006B4011" w:rsidRPr="00683FF0">
              <w:rPr>
                <w:rFonts w:eastAsia="Times New Roman"/>
                <w:bCs/>
              </w:rPr>
              <w:t xml:space="preserve"> will apply </w:t>
            </w:r>
            <w:r w:rsidR="00AB1CD8" w:rsidRPr="00683FF0">
              <w:rPr>
                <w:rFonts w:eastAsia="Times New Roman"/>
                <w:bCs/>
              </w:rPr>
              <w:t xml:space="preserve">to account for its </w:t>
            </w:r>
            <w:r w:rsidR="008D7587" w:rsidRPr="00683FF0">
              <w:rPr>
                <w:rFonts w:eastAsia="Times New Roman"/>
                <w:bCs/>
              </w:rPr>
              <w:t xml:space="preserve">first </w:t>
            </w:r>
            <w:r w:rsidR="00730F0F" w:rsidRPr="00683FF0">
              <w:rPr>
                <w:rFonts w:eastAsia="Times New Roman"/>
                <w:bCs/>
              </w:rPr>
              <w:t>NDC</w:t>
            </w:r>
            <w:r w:rsidR="008D7587" w:rsidRPr="00683FF0">
              <w:rPr>
                <w:rFonts w:eastAsia="Times New Roman"/>
                <w:bCs/>
              </w:rPr>
              <w:t xml:space="preserve"> (NDC1) under the Paris Agreement</w:t>
            </w:r>
            <w:r w:rsidR="00730F0F" w:rsidRPr="00683FF0">
              <w:rPr>
                <w:rFonts w:eastAsia="Times New Roman"/>
                <w:bCs/>
              </w:rPr>
              <w:t>.</w:t>
            </w:r>
          </w:p>
          <w:p w14:paraId="06DB50A7" w14:textId="06252C95" w:rsidR="0011239B" w:rsidRPr="00683FF0" w:rsidRDefault="00FB6AF0" w:rsidP="001C707C">
            <w:pPr>
              <w:pStyle w:val="TableText"/>
            </w:pPr>
            <w:r w:rsidRPr="00683FF0">
              <w:rPr>
                <w:rFonts w:eastAsia="Times New Roman"/>
                <w:b/>
              </w:rPr>
              <w:t>5c.</w:t>
            </w:r>
            <w:r w:rsidR="00D63A7A" w:rsidRPr="00683FF0">
              <w:rPr>
                <w:rFonts w:eastAsia="Times New Roman"/>
                <w:b/>
              </w:rPr>
              <w:t>II. The Government disagrees with this recommendation</w:t>
            </w:r>
            <w:r w:rsidR="00613F75" w:rsidRPr="00683FF0">
              <w:rPr>
                <w:rFonts w:eastAsia="Times New Roman"/>
                <w:b/>
              </w:rPr>
              <w:t>.</w:t>
            </w:r>
            <w:r w:rsidR="00B50E23" w:rsidRPr="00683FF0">
              <w:t xml:space="preserve"> </w:t>
            </w:r>
            <w:r w:rsidR="008F5705" w:rsidRPr="00683FF0">
              <w:t xml:space="preserve">A reference level for </w:t>
            </w:r>
            <w:r w:rsidR="00380EAB" w:rsidRPr="00683FF0">
              <w:t xml:space="preserve">accounting for </w:t>
            </w:r>
            <w:r w:rsidR="008F5705" w:rsidRPr="00683FF0">
              <w:t xml:space="preserve">pre-1990 </w:t>
            </w:r>
            <w:r w:rsidR="00FD0985" w:rsidRPr="00683FF0">
              <w:t xml:space="preserve">forests under </w:t>
            </w:r>
            <w:r w:rsidR="008F5705" w:rsidRPr="00683FF0">
              <w:t xml:space="preserve">forest management is currently </w:t>
            </w:r>
            <w:r w:rsidR="007402F4" w:rsidRPr="00683FF0">
              <w:t>in</w:t>
            </w:r>
            <w:r w:rsidR="008F5705" w:rsidRPr="00683FF0">
              <w:t xml:space="preserve"> development, and is expected to be completed by the end of 2023. Emissions from pre-1990 forest management activities could be included in rules for measuring progress for EB1, which </w:t>
            </w:r>
            <w:r w:rsidR="00532252" w:rsidRPr="00683FF0">
              <w:t>w</w:t>
            </w:r>
            <w:r w:rsidR="006B3290" w:rsidRPr="00683FF0">
              <w:t>ould</w:t>
            </w:r>
            <w:r w:rsidR="00532252" w:rsidRPr="00683FF0">
              <w:t xml:space="preserve"> </w:t>
            </w:r>
            <w:r w:rsidR="008F5705" w:rsidRPr="00683FF0">
              <w:t>maintain alignment with NDC1 accounting.</w:t>
            </w:r>
            <w:r w:rsidR="00C1630D" w:rsidRPr="00683FF0">
              <w:t xml:space="preserve"> </w:t>
            </w:r>
          </w:p>
          <w:p w14:paraId="0CAD8A3D" w14:textId="437DC6CA" w:rsidR="0011239B" w:rsidRPr="00683FF0" w:rsidRDefault="0011239B" w:rsidP="001C707C">
            <w:pPr>
              <w:pStyle w:val="TableText"/>
            </w:pPr>
            <w:r w:rsidRPr="00683FF0">
              <w:rPr>
                <w:rFonts w:eastAsia="Times New Roman"/>
                <w:b/>
              </w:rPr>
              <w:t xml:space="preserve">5c.III. The Government </w:t>
            </w:r>
            <w:r w:rsidR="00D001DD" w:rsidRPr="00683FF0">
              <w:rPr>
                <w:rFonts w:eastAsia="Times New Roman"/>
                <w:b/>
              </w:rPr>
              <w:t>a</w:t>
            </w:r>
            <w:r w:rsidRPr="00683FF0">
              <w:rPr>
                <w:rFonts w:eastAsia="Times New Roman"/>
                <w:b/>
              </w:rPr>
              <w:t xml:space="preserve">grees </w:t>
            </w:r>
            <w:r w:rsidR="00D001DD" w:rsidRPr="00683FF0">
              <w:rPr>
                <w:rFonts w:eastAsia="Times New Roman"/>
                <w:b/>
              </w:rPr>
              <w:t xml:space="preserve">in part </w:t>
            </w:r>
            <w:r w:rsidRPr="00683FF0">
              <w:rPr>
                <w:rFonts w:eastAsia="Times New Roman"/>
                <w:b/>
              </w:rPr>
              <w:t>with this recommendation</w:t>
            </w:r>
            <w:r w:rsidR="00613F75" w:rsidRPr="00683FF0">
              <w:rPr>
                <w:rFonts w:eastAsia="Times New Roman"/>
                <w:b/>
              </w:rPr>
              <w:t>.</w:t>
            </w:r>
            <w:r w:rsidR="00B50E23" w:rsidRPr="00683FF0">
              <w:rPr>
                <w:rFonts w:eastAsia="Times New Roman"/>
                <w:b/>
              </w:rPr>
              <w:t xml:space="preserve"> </w:t>
            </w:r>
            <w:r w:rsidR="008F5705" w:rsidRPr="00683FF0">
              <w:t xml:space="preserve">HWPs from pre-1990 forests would be </w:t>
            </w:r>
            <w:r w:rsidR="001C55E1" w:rsidRPr="00683FF0">
              <w:t>accounted for</w:t>
            </w:r>
            <w:r w:rsidR="008F5705" w:rsidRPr="00683FF0">
              <w:t xml:space="preserve"> </w:t>
            </w:r>
            <w:r w:rsidR="00F541E8" w:rsidRPr="00683FF0">
              <w:t>i</w:t>
            </w:r>
            <w:r w:rsidR="008F5705" w:rsidRPr="00683FF0">
              <w:t xml:space="preserve">f </w:t>
            </w:r>
            <w:r w:rsidR="00A4455F" w:rsidRPr="00683FF0">
              <w:t>forest management is</w:t>
            </w:r>
            <w:r w:rsidR="008F5705" w:rsidRPr="00683FF0">
              <w:t xml:space="preserve"> included in the rules for measuring progress</w:t>
            </w:r>
            <w:r w:rsidR="00734644" w:rsidRPr="00683FF0">
              <w:t>.</w:t>
            </w:r>
            <w:r w:rsidR="008F5705" w:rsidRPr="00683FF0">
              <w:t xml:space="preserve"> </w:t>
            </w:r>
            <w:r w:rsidR="00734644" w:rsidRPr="00683FF0">
              <w:t>T</w:t>
            </w:r>
            <w:r w:rsidR="008F5705" w:rsidRPr="00683FF0">
              <w:t xml:space="preserve">his </w:t>
            </w:r>
            <w:r w:rsidR="002243DE" w:rsidRPr="00683FF0">
              <w:t xml:space="preserve">would </w:t>
            </w:r>
            <w:r w:rsidR="008F5705" w:rsidRPr="00683FF0">
              <w:t>maintain symmetry in how HWPs from production forests are treated between post-1989 and pre-1990 forests</w:t>
            </w:r>
            <w:r w:rsidR="00B824A0" w:rsidRPr="00683FF0">
              <w:t xml:space="preserve">, and </w:t>
            </w:r>
            <w:r w:rsidR="00B91C3C" w:rsidRPr="00683FF0">
              <w:t xml:space="preserve">would </w:t>
            </w:r>
            <w:r w:rsidR="00B824A0" w:rsidRPr="00683FF0">
              <w:t xml:space="preserve">align with </w:t>
            </w:r>
            <w:r w:rsidR="002F5887" w:rsidRPr="00683FF0">
              <w:t>NDC1 accounting</w:t>
            </w:r>
            <w:r w:rsidR="008F5705" w:rsidRPr="00683FF0">
              <w:t>.</w:t>
            </w:r>
          </w:p>
          <w:p w14:paraId="7F01D43B" w14:textId="59BDADC9" w:rsidR="001A56D1" w:rsidRPr="00683FF0" w:rsidRDefault="001A56D1" w:rsidP="001C707C">
            <w:pPr>
              <w:pStyle w:val="TableText"/>
            </w:pPr>
            <w:r w:rsidRPr="00683FF0">
              <w:rPr>
                <w:rFonts w:eastAsia="Times New Roman" w:cstheme="minorHAnsi"/>
                <w:b/>
                <w:bCs/>
              </w:rPr>
              <w:t xml:space="preserve">5c.IV. The Government disagrees with this recommendation. </w:t>
            </w:r>
            <w:r w:rsidRPr="00683FF0">
              <w:t xml:space="preserve">The primary reason for not agreeing </w:t>
            </w:r>
            <w:r w:rsidR="00E71DE4" w:rsidRPr="00683FF0">
              <w:t xml:space="preserve">with </w:t>
            </w:r>
            <w:r w:rsidRPr="00683FF0">
              <w:t xml:space="preserve">this recommendation </w:t>
            </w:r>
            <w:r w:rsidR="00806538" w:rsidRPr="00683FF0">
              <w:t>is</w:t>
            </w:r>
            <w:r w:rsidR="00E71DE4" w:rsidRPr="00683FF0">
              <w:t xml:space="preserve"> the lack of evidence</w:t>
            </w:r>
            <w:r w:rsidR="00806538" w:rsidRPr="00683FF0">
              <w:t xml:space="preserve"> </w:t>
            </w:r>
            <w:r w:rsidR="00E71DE4" w:rsidRPr="00683FF0">
              <w:t xml:space="preserve">that would enable this provision to be implemented. In particular, </w:t>
            </w:r>
            <w:r w:rsidR="0043116A" w:rsidRPr="00683FF0">
              <w:t>t</w:t>
            </w:r>
            <w:r w:rsidR="00806538" w:rsidRPr="00683FF0">
              <w:t xml:space="preserve">here is </w:t>
            </w:r>
            <w:r w:rsidR="00991E81" w:rsidRPr="00683FF0">
              <w:t>little if any</w:t>
            </w:r>
            <w:r w:rsidR="00E22C9A" w:rsidRPr="00683FF0">
              <w:t xml:space="preserve"> </w:t>
            </w:r>
            <w:r w:rsidR="00AD3C55" w:rsidRPr="00683FF0">
              <w:t xml:space="preserve">evidence </w:t>
            </w:r>
            <w:r w:rsidR="00AB49FB" w:rsidRPr="00683FF0">
              <w:t xml:space="preserve">on which </w:t>
            </w:r>
            <w:r w:rsidR="00BB20A1" w:rsidRPr="00683FF0">
              <w:t>to assess</w:t>
            </w:r>
            <w:r w:rsidR="00882C74" w:rsidRPr="00683FF0">
              <w:t xml:space="preserve"> </w:t>
            </w:r>
            <w:r w:rsidR="003A25B0" w:rsidRPr="00683FF0">
              <w:t>the</w:t>
            </w:r>
            <w:r w:rsidR="00882C74" w:rsidRPr="00683FF0">
              <w:t xml:space="preserve"> </w:t>
            </w:r>
            <w:r w:rsidR="00806538" w:rsidRPr="00683FF0">
              <w:t>background level of natural disturbance</w:t>
            </w:r>
            <w:r w:rsidR="00721191" w:rsidRPr="00683FF0">
              <w:t xml:space="preserve"> </w:t>
            </w:r>
            <w:r w:rsidR="003A25B0" w:rsidRPr="00683FF0">
              <w:t xml:space="preserve">that </w:t>
            </w:r>
            <w:r w:rsidR="0090120C" w:rsidRPr="00683FF0">
              <w:t>i</w:t>
            </w:r>
            <w:r w:rsidR="003A25B0" w:rsidRPr="00683FF0">
              <w:t xml:space="preserve">s occurring </w:t>
            </w:r>
            <w:r w:rsidR="00806538" w:rsidRPr="00683FF0">
              <w:t>in a newly established forest</w:t>
            </w:r>
            <w:r w:rsidR="0090120C" w:rsidRPr="00683FF0">
              <w:t>,</w:t>
            </w:r>
            <w:r w:rsidR="00806538" w:rsidRPr="00683FF0">
              <w:t xml:space="preserve"> to </w:t>
            </w:r>
            <w:r w:rsidR="00261838" w:rsidRPr="00683FF0">
              <w:t xml:space="preserve">which modified </w:t>
            </w:r>
            <w:r w:rsidR="003F0D93" w:rsidRPr="00683FF0">
              <w:t>activity-based accounting is being applied</w:t>
            </w:r>
            <w:r w:rsidRPr="00683FF0">
              <w:t>.</w:t>
            </w:r>
          </w:p>
          <w:p w14:paraId="7C3D913C" w14:textId="49B3714B" w:rsidR="001A56D1" w:rsidRPr="00683FF0" w:rsidRDefault="001A56D1" w:rsidP="001C707C">
            <w:pPr>
              <w:pStyle w:val="TableText"/>
              <w:rPr>
                <w:b/>
                <w:bCs/>
              </w:rPr>
            </w:pPr>
            <w:r w:rsidRPr="00683FF0">
              <w:lastRenderedPageBreak/>
              <w:t xml:space="preserve">Instead, we propose that </w:t>
            </w:r>
            <w:r w:rsidR="00FE697D" w:rsidRPr="00683FF0">
              <w:t>the</w:t>
            </w:r>
            <w:r w:rsidRPr="00683FF0">
              <w:t xml:space="preserve"> natural disturbance provision be considered if/when accounting for </w:t>
            </w:r>
            <w:r w:rsidR="00B95A80" w:rsidRPr="00683FF0">
              <w:t>pre-1990 f</w:t>
            </w:r>
            <w:r w:rsidRPr="00683FF0">
              <w:t xml:space="preserve">orest </w:t>
            </w:r>
            <w:r w:rsidR="00B95A80" w:rsidRPr="00683FF0">
              <w:t>m</w:t>
            </w:r>
            <w:r w:rsidRPr="00683FF0">
              <w:t>anagement is considered</w:t>
            </w:r>
            <w:r w:rsidR="00317BEF" w:rsidRPr="00683FF0">
              <w:t xml:space="preserve"> </w:t>
            </w:r>
            <w:r w:rsidRPr="00683FF0">
              <w:t>(</w:t>
            </w:r>
            <w:r w:rsidR="00BE014B" w:rsidRPr="00683FF0">
              <w:t>recommendation </w:t>
            </w:r>
            <w:r w:rsidRPr="00683FF0">
              <w:t>5.c</w:t>
            </w:r>
            <w:r w:rsidR="002F7456" w:rsidRPr="00683FF0">
              <w:t>.II</w:t>
            </w:r>
            <w:r w:rsidRPr="00683FF0">
              <w:t>). The natural disturbance provision is relevant for existing pre-1990 forest</w:t>
            </w:r>
            <w:r w:rsidR="00076081" w:rsidRPr="00683FF0">
              <w:t>s</w:t>
            </w:r>
            <w:r w:rsidR="002D3EBF" w:rsidRPr="00683FF0">
              <w:t xml:space="preserve"> where </w:t>
            </w:r>
            <w:r w:rsidR="007C2E34" w:rsidRPr="00683FF0">
              <w:t xml:space="preserve">there is evidence for calculating the </w:t>
            </w:r>
            <w:r w:rsidR="00D0287A" w:rsidRPr="00683FF0">
              <w:t>background level of natural disturbance</w:t>
            </w:r>
            <w:r w:rsidR="005F74D5" w:rsidRPr="00683FF0">
              <w:t xml:space="preserve">, against which the provision to exclude </w:t>
            </w:r>
            <w:r w:rsidR="00625C55" w:rsidRPr="00683FF0">
              <w:t>emissions from natural disturbances can then be applied</w:t>
            </w:r>
            <w:r w:rsidRPr="00683FF0">
              <w:t xml:space="preserve">. The approach for </w:t>
            </w:r>
            <w:r w:rsidR="00B95A80" w:rsidRPr="00683FF0">
              <w:t>implementing</w:t>
            </w:r>
            <w:r w:rsidR="009F6F4D" w:rsidRPr="00683FF0">
              <w:t xml:space="preserve"> the</w:t>
            </w:r>
            <w:r w:rsidRPr="00683FF0">
              <w:t xml:space="preserve"> natural disturbance provision for afforestation (when using modified </w:t>
            </w:r>
            <w:r w:rsidR="003F0D93" w:rsidRPr="00683FF0">
              <w:t>activity</w:t>
            </w:r>
            <w:r w:rsidR="003A25B0" w:rsidRPr="00683FF0">
              <w:t xml:space="preserve">-based </w:t>
            </w:r>
            <w:r w:rsidRPr="00683FF0">
              <w:t>accounting) is unclear and may only have a small potential impact on accounted emissions.</w:t>
            </w:r>
          </w:p>
        </w:tc>
      </w:tr>
      <w:tr w:rsidR="001A56D1" w:rsidRPr="00683FF0" w14:paraId="58EE7603" w14:textId="77777777" w:rsidTr="009A19EC">
        <w:tc>
          <w:tcPr>
            <w:tcW w:w="4508" w:type="dxa"/>
            <w:tcBorders>
              <w:bottom w:val="single" w:sz="4" w:space="0" w:color="1B556B" w:themeColor="text2"/>
            </w:tcBorders>
            <w:shd w:val="clear" w:color="auto" w:fill="auto"/>
          </w:tcPr>
          <w:p w14:paraId="13AAA24E" w14:textId="429BA269" w:rsidR="001A56D1" w:rsidRPr="00683FF0" w:rsidRDefault="001A56D1" w:rsidP="001C707C">
            <w:pPr>
              <w:pStyle w:val="TableText"/>
            </w:pPr>
            <w:r w:rsidRPr="00683FF0">
              <w:lastRenderedPageBreak/>
              <w:t xml:space="preserve">5d. From 2021, if the Government allows voluntary offsetting for carbon neutral claims to take place in Aotearoa through cancelling New Zealand Units (NZUs), adjustments corresponding to the amount of NZUs cancelled must be made to the relevant emissions budget, or to the inventory, to avoid the emissions reductions claimed from being negated by increases to the New Zealand Emissions Trading Scheme (NZ ETS) cap. </w:t>
            </w:r>
          </w:p>
        </w:tc>
        <w:tc>
          <w:tcPr>
            <w:tcW w:w="4508" w:type="dxa"/>
            <w:tcBorders>
              <w:bottom w:val="single" w:sz="4" w:space="0" w:color="1B556B" w:themeColor="text2"/>
            </w:tcBorders>
            <w:shd w:val="clear" w:color="auto" w:fill="auto"/>
          </w:tcPr>
          <w:p w14:paraId="142134AC" w14:textId="4E4A5C3F" w:rsidR="001A56D1" w:rsidRPr="00683FF0" w:rsidRDefault="001A56D1" w:rsidP="00276F45">
            <w:pPr>
              <w:pStyle w:val="TableText"/>
            </w:pPr>
            <w:r w:rsidRPr="00683FF0">
              <w:rPr>
                <w:b/>
                <w:bCs/>
              </w:rPr>
              <w:t xml:space="preserve">5d. </w:t>
            </w:r>
            <w:r w:rsidRPr="00683FF0">
              <w:rPr>
                <w:rFonts w:eastAsia="Times New Roman" w:cstheme="minorHAnsi"/>
                <w:b/>
                <w:bCs/>
              </w:rPr>
              <w:t>The Government agrees in part with this recommendation</w:t>
            </w:r>
            <w:r w:rsidRPr="00683FF0">
              <w:rPr>
                <w:rFonts w:eastAsia="Times New Roman" w:cstheme="minorHAnsi"/>
              </w:rPr>
              <w:t xml:space="preserve">. </w:t>
            </w:r>
            <w:r w:rsidRPr="00683FF0">
              <w:t>We do not regulate the voluntary carbon market</w:t>
            </w:r>
            <w:r w:rsidR="007E1FB0" w:rsidRPr="00683FF0">
              <w:t xml:space="preserve"> (VCM)</w:t>
            </w:r>
            <w:r w:rsidR="00522B7F" w:rsidRPr="00683FF0">
              <w:t>;</w:t>
            </w:r>
            <w:r w:rsidRPr="00683FF0">
              <w:t xml:space="preserve"> however</w:t>
            </w:r>
            <w:r w:rsidR="00522B7F" w:rsidRPr="00683FF0">
              <w:t>,</w:t>
            </w:r>
            <w:r w:rsidRPr="00683FF0">
              <w:t xml:space="preserve"> the Government's guidance aligns with the Commission’s recommendation that NZU cancellation should</w:t>
            </w:r>
            <w:r w:rsidR="00522B7F" w:rsidRPr="00683FF0">
              <w:t xml:space="preserve"> not</w:t>
            </w:r>
            <w:r w:rsidRPr="00683FF0">
              <w:t xml:space="preserve"> be used as a basis for carbon neutral claims.</w:t>
            </w:r>
          </w:p>
        </w:tc>
      </w:tr>
      <w:tr w:rsidR="001A56D1" w:rsidRPr="00683FF0" w14:paraId="5928FF82" w14:textId="77777777" w:rsidTr="009A19EC">
        <w:tc>
          <w:tcPr>
            <w:tcW w:w="4508" w:type="dxa"/>
            <w:tcBorders>
              <w:bottom w:val="nil"/>
            </w:tcBorders>
            <w:shd w:val="clear" w:color="auto" w:fill="auto"/>
          </w:tcPr>
          <w:p w14:paraId="43A7628E" w14:textId="67B25CBA" w:rsidR="001A56D1" w:rsidRPr="00683FF0" w:rsidRDefault="001A56D1" w:rsidP="001C707C">
            <w:pPr>
              <w:pStyle w:val="TableText"/>
            </w:pPr>
            <w:r w:rsidRPr="00683FF0">
              <w:t>We also recommend that the Government undertake the following work to improve emissions estimates and broaden the options available for emissions budgets accounting in future:</w:t>
            </w:r>
          </w:p>
        </w:tc>
        <w:tc>
          <w:tcPr>
            <w:tcW w:w="4508" w:type="dxa"/>
            <w:tcBorders>
              <w:bottom w:val="nil"/>
            </w:tcBorders>
            <w:shd w:val="clear" w:color="auto" w:fill="auto"/>
          </w:tcPr>
          <w:p w14:paraId="077CC89E" w14:textId="77777777" w:rsidR="001A56D1" w:rsidRPr="00683FF0" w:rsidRDefault="001A56D1" w:rsidP="00276F45">
            <w:pPr>
              <w:pStyle w:val="TableText"/>
            </w:pPr>
          </w:p>
        </w:tc>
      </w:tr>
      <w:tr w:rsidR="001A56D1" w:rsidRPr="00683FF0" w14:paraId="532EC34D" w14:textId="77777777" w:rsidTr="009A19EC">
        <w:tc>
          <w:tcPr>
            <w:tcW w:w="4508" w:type="dxa"/>
            <w:tcBorders>
              <w:top w:val="nil"/>
              <w:bottom w:val="nil"/>
            </w:tcBorders>
            <w:shd w:val="clear" w:color="auto" w:fill="auto"/>
          </w:tcPr>
          <w:p w14:paraId="418B9C46" w14:textId="71205C73" w:rsidR="001A56D1" w:rsidRPr="00683FF0" w:rsidRDefault="001A56D1" w:rsidP="001C707C">
            <w:pPr>
              <w:pStyle w:val="TableText"/>
            </w:pPr>
            <w:r w:rsidRPr="00683FF0">
              <w:t>5e. Continue to produce and improve annual reports on national consumption emissions estimates.</w:t>
            </w:r>
          </w:p>
        </w:tc>
        <w:tc>
          <w:tcPr>
            <w:tcW w:w="4508" w:type="dxa"/>
            <w:tcBorders>
              <w:top w:val="nil"/>
              <w:bottom w:val="nil"/>
            </w:tcBorders>
            <w:shd w:val="clear" w:color="auto" w:fill="auto"/>
          </w:tcPr>
          <w:p w14:paraId="23F6EEAA" w14:textId="20AFA664" w:rsidR="00D20810" w:rsidRPr="00683FF0" w:rsidRDefault="001A56D1" w:rsidP="001C707C">
            <w:pPr>
              <w:pStyle w:val="TableText"/>
              <w:rPr>
                <w:rFonts w:eastAsia="Times New Roman" w:cstheme="minorHAnsi"/>
              </w:rPr>
            </w:pPr>
            <w:r w:rsidRPr="00683FF0">
              <w:rPr>
                <w:rFonts w:eastAsia="Times New Roman" w:cstheme="minorHAnsi"/>
                <w:b/>
                <w:bCs/>
              </w:rPr>
              <w:t>5e. The Government agrees with this recommendation.</w:t>
            </w:r>
            <w:r w:rsidR="00B50E23" w:rsidRPr="00683FF0">
              <w:rPr>
                <w:rFonts w:eastAsia="Times New Roman" w:cstheme="minorHAnsi"/>
              </w:rPr>
              <w:t xml:space="preserve"> </w:t>
            </w:r>
            <w:r w:rsidR="009C70CF" w:rsidRPr="00683FF0">
              <w:rPr>
                <w:rFonts w:eastAsia="Times New Roman" w:cstheme="minorHAnsi"/>
              </w:rPr>
              <w:t xml:space="preserve">Stats NZ </w:t>
            </w:r>
            <w:r w:rsidR="00CD70BF" w:rsidRPr="00683FF0">
              <w:rPr>
                <w:rFonts w:eastAsia="Times New Roman" w:cstheme="minorHAnsi"/>
              </w:rPr>
              <w:t xml:space="preserve">compiles and publishes consumption-based emissions estimates </w:t>
            </w:r>
            <w:r w:rsidR="00293AA0" w:rsidRPr="00683FF0">
              <w:rPr>
                <w:rFonts w:eastAsia="Times New Roman" w:cstheme="minorHAnsi"/>
              </w:rPr>
              <w:t xml:space="preserve">periodically </w:t>
            </w:r>
            <w:r w:rsidR="00CD70BF" w:rsidRPr="00683FF0">
              <w:rPr>
                <w:rFonts w:eastAsia="Times New Roman" w:cstheme="minorHAnsi"/>
              </w:rPr>
              <w:t>as part of its environmental-economic accounting programme.</w:t>
            </w:r>
          </w:p>
        </w:tc>
      </w:tr>
      <w:tr w:rsidR="001A56D1" w:rsidRPr="00683FF0" w14:paraId="643621EF" w14:textId="77777777" w:rsidTr="009A19EC">
        <w:tc>
          <w:tcPr>
            <w:tcW w:w="4508" w:type="dxa"/>
            <w:tcBorders>
              <w:top w:val="nil"/>
            </w:tcBorders>
            <w:shd w:val="clear" w:color="auto" w:fill="auto"/>
          </w:tcPr>
          <w:p w14:paraId="3C1C3C4E" w14:textId="018792EE" w:rsidR="001A56D1" w:rsidRPr="00683FF0" w:rsidRDefault="001A56D1" w:rsidP="001C707C">
            <w:pPr>
              <w:pStyle w:val="TableText"/>
            </w:pPr>
            <w:r w:rsidRPr="00683FF0">
              <w:t>5f. Develop an appropriate method to reflect changes in carbon stored in above ground biomass and harvested wood products due to increased use of biomass for energy.</w:t>
            </w:r>
          </w:p>
        </w:tc>
        <w:tc>
          <w:tcPr>
            <w:tcW w:w="4508" w:type="dxa"/>
            <w:tcBorders>
              <w:top w:val="nil"/>
            </w:tcBorders>
            <w:shd w:val="clear" w:color="auto" w:fill="auto"/>
          </w:tcPr>
          <w:p w14:paraId="22424AA3" w14:textId="0D8F1FF9" w:rsidR="001A56D1" w:rsidRPr="00683FF0" w:rsidDel="008C1A09" w:rsidRDefault="001A56D1" w:rsidP="001C707C">
            <w:pPr>
              <w:pStyle w:val="TableText"/>
              <w:rPr>
                <w:rFonts w:eastAsia="Times New Roman" w:cstheme="minorHAnsi"/>
                <w:b/>
                <w:bCs/>
              </w:rPr>
            </w:pPr>
            <w:r w:rsidRPr="00683FF0">
              <w:rPr>
                <w:rFonts w:eastAsia="Times New Roman" w:cstheme="minorHAnsi"/>
                <w:b/>
                <w:bCs/>
              </w:rPr>
              <w:t xml:space="preserve">5f. The Government agrees with this recommendation. </w:t>
            </w:r>
            <w:r w:rsidRPr="00683FF0">
              <w:rPr>
                <w:rFonts w:eastAsia="Times New Roman" w:cstheme="minorHAnsi"/>
              </w:rPr>
              <w:t>Aotearoa is already able to account for this in the L</w:t>
            </w:r>
            <w:r w:rsidR="004159EE" w:rsidRPr="00683FF0">
              <w:rPr>
                <w:rFonts w:eastAsia="Times New Roman" w:cstheme="minorHAnsi"/>
              </w:rPr>
              <w:t xml:space="preserve">and </w:t>
            </w:r>
            <w:r w:rsidRPr="00683FF0">
              <w:rPr>
                <w:rFonts w:eastAsia="Times New Roman" w:cstheme="minorHAnsi"/>
              </w:rPr>
              <w:t>U</w:t>
            </w:r>
            <w:r w:rsidR="004159EE" w:rsidRPr="00683FF0">
              <w:rPr>
                <w:rFonts w:eastAsia="Times New Roman" w:cstheme="minorHAnsi"/>
              </w:rPr>
              <w:t xml:space="preserve">se, </w:t>
            </w:r>
            <w:r w:rsidRPr="00683FF0">
              <w:rPr>
                <w:rFonts w:eastAsia="Times New Roman" w:cstheme="minorHAnsi"/>
              </w:rPr>
              <w:t>L</w:t>
            </w:r>
            <w:r w:rsidR="004159EE" w:rsidRPr="00683FF0">
              <w:rPr>
                <w:rFonts w:eastAsia="Times New Roman" w:cstheme="minorHAnsi"/>
              </w:rPr>
              <w:t>and-</w:t>
            </w:r>
            <w:r w:rsidRPr="00683FF0">
              <w:rPr>
                <w:rFonts w:eastAsia="Times New Roman" w:cstheme="minorHAnsi"/>
              </w:rPr>
              <w:t>U</w:t>
            </w:r>
            <w:r w:rsidR="004159EE" w:rsidRPr="00683FF0">
              <w:rPr>
                <w:rFonts w:eastAsia="Times New Roman" w:cstheme="minorHAnsi"/>
              </w:rPr>
              <w:t xml:space="preserve">se </w:t>
            </w:r>
            <w:r w:rsidRPr="00683FF0">
              <w:rPr>
                <w:rFonts w:eastAsia="Times New Roman" w:cstheme="minorHAnsi"/>
              </w:rPr>
              <w:t>C</w:t>
            </w:r>
            <w:r w:rsidR="004159EE" w:rsidRPr="00683FF0">
              <w:rPr>
                <w:rFonts w:eastAsia="Times New Roman" w:cstheme="minorHAnsi"/>
              </w:rPr>
              <w:t xml:space="preserve">hange and </w:t>
            </w:r>
            <w:r w:rsidRPr="00683FF0">
              <w:rPr>
                <w:rFonts w:eastAsia="Times New Roman" w:cstheme="minorHAnsi"/>
              </w:rPr>
              <w:t>F</w:t>
            </w:r>
            <w:r w:rsidR="004159EE" w:rsidRPr="00683FF0">
              <w:rPr>
                <w:rFonts w:eastAsia="Times New Roman" w:cstheme="minorHAnsi"/>
              </w:rPr>
              <w:t>orestry</w:t>
            </w:r>
            <w:r w:rsidRPr="00683FF0">
              <w:rPr>
                <w:rFonts w:eastAsia="Times New Roman" w:cstheme="minorHAnsi"/>
              </w:rPr>
              <w:t xml:space="preserve"> sector (when applying either stock change accounting or averaging).</w:t>
            </w:r>
          </w:p>
        </w:tc>
      </w:tr>
      <w:tr w:rsidR="001A56D1" w:rsidRPr="00683FF0" w14:paraId="013A4ABB" w14:textId="77777777" w:rsidTr="009A19EC">
        <w:tc>
          <w:tcPr>
            <w:tcW w:w="4508" w:type="dxa"/>
            <w:tcBorders>
              <w:bottom w:val="single" w:sz="4" w:space="0" w:color="1B556B" w:themeColor="text2"/>
            </w:tcBorders>
            <w:shd w:val="clear" w:color="auto" w:fill="auto"/>
          </w:tcPr>
          <w:p w14:paraId="226CD5A3" w14:textId="08F9FD17" w:rsidR="001A56D1" w:rsidRPr="00683FF0" w:rsidRDefault="001A56D1" w:rsidP="001C707C">
            <w:pPr>
              <w:pStyle w:val="TableText"/>
            </w:pPr>
            <w:r w:rsidRPr="00683FF0">
              <w:t>5g. Develop methods for tracking emissions and removals by sources and sinks not yet included in the country’s domestic or international target accounting. This should include:</w:t>
            </w:r>
          </w:p>
          <w:p w14:paraId="444C98B2" w14:textId="77777777" w:rsidR="001A56D1" w:rsidRPr="00683FF0" w:rsidRDefault="001A56D1" w:rsidP="00D21268">
            <w:pPr>
              <w:pStyle w:val="TableText"/>
              <w:numPr>
                <w:ilvl w:val="0"/>
                <w:numId w:val="15"/>
              </w:numPr>
              <w:spacing w:before="0"/>
              <w:ind w:left="284" w:hanging="284"/>
            </w:pPr>
            <w:r w:rsidRPr="00683FF0">
              <w:t>Prioritising development of methods to account for carbon in organic soils (such as peat) and biomass (such as small lots of trees and regenerating vegetation), with a view to allowing them to be included in future target accounting.</w:t>
            </w:r>
          </w:p>
          <w:p w14:paraId="6087359C" w14:textId="249AEEE9" w:rsidR="001A56D1" w:rsidRPr="00683FF0" w:rsidRDefault="001A56D1" w:rsidP="00D21268">
            <w:pPr>
              <w:pStyle w:val="TableText"/>
              <w:numPr>
                <w:ilvl w:val="0"/>
                <w:numId w:val="15"/>
              </w:numPr>
              <w:spacing w:before="0"/>
              <w:ind w:left="284" w:hanging="284"/>
              <w:rPr>
                <w:szCs w:val="18"/>
              </w:rPr>
            </w:pPr>
            <w:r w:rsidRPr="00683FF0">
              <w:t>Examining the feasibility of using the land-based approach in accounting for targets and emissions budgets for sources and sinks other than production forests, while managing the uncertainty and emissions fluctuations from the harvest cycles of production forests.</w:t>
            </w:r>
            <w:r w:rsidRPr="00683FF0">
              <w:rPr>
                <w:szCs w:val="18"/>
              </w:rPr>
              <w:t xml:space="preserve"> </w:t>
            </w:r>
          </w:p>
        </w:tc>
        <w:tc>
          <w:tcPr>
            <w:tcW w:w="4508" w:type="dxa"/>
            <w:tcBorders>
              <w:bottom w:val="single" w:sz="4" w:space="0" w:color="1B556B" w:themeColor="text2"/>
            </w:tcBorders>
            <w:shd w:val="clear" w:color="auto" w:fill="auto"/>
          </w:tcPr>
          <w:p w14:paraId="3C814832" w14:textId="796F0623" w:rsidR="001A56D1" w:rsidRPr="00683FF0" w:rsidRDefault="001A56D1" w:rsidP="001C707C">
            <w:pPr>
              <w:pStyle w:val="TableText"/>
            </w:pPr>
            <w:r w:rsidRPr="00683FF0">
              <w:rPr>
                <w:rFonts w:eastAsia="Times New Roman"/>
                <w:b/>
              </w:rPr>
              <w:t>5g.I</w:t>
            </w:r>
            <w:r w:rsidR="00162A07" w:rsidRPr="00683FF0">
              <w:rPr>
                <w:rFonts w:eastAsia="Times New Roman"/>
                <w:b/>
              </w:rPr>
              <w:t>.</w:t>
            </w:r>
            <w:r w:rsidRPr="00683FF0">
              <w:rPr>
                <w:rFonts w:eastAsia="Times New Roman"/>
                <w:b/>
              </w:rPr>
              <w:t xml:space="preserve"> The Government agrees with this recommend</w:t>
            </w:r>
            <w:r w:rsidRPr="00B5528A">
              <w:rPr>
                <w:rFonts w:eastAsia="Times New Roman"/>
                <w:b/>
              </w:rPr>
              <w:t>ation.</w:t>
            </w:r>
            <w:r w:rsidRPr="00B5528A">
              <w:t xml:space="preserve"> </w:t>
            </w:r>
            <w:r w:rsidR="00251E4D" w:rsidRPr="00B5528A">
              <w:t>Th</w:t>
            </w:r>
            <w:r w:rsidR="00B357B5" w:rsidRPr="00B5528A">
              <w:t>e</w:t>
            </w:r>
            <w:r w:rsidR="00B357B5" w:rsidRPr="00683FF0">
              <w:t xml:space="preserve"> Government </w:t>
            </w:r>
            <w:r w:rsidR="006B3F24" w:rsidRPr="00683FF0">
              <w:t xml:space="preserve">is </w:t>
            </w:r>
            <w:r w:rsidR="00AD2A2F" w:rsidRPr="00683FF0">
              <w:t>consider</w:t>
            </w:r>
            <w:r w:rsidR="006B3F24" w:rsidRPr="00683FF0">
              <w:t>ing</w:t>
            </w:r>
            <w:r w:rsidR="00AD2A2F" w:rsidRPr="00683FF0">
              <w:t xml:space="preserve"> how best </w:t>
            </w:r>
            <w:r w:rsidR="00E30389" w:rsidRPr="00683FF0">
              <w:t xml:space="preserve">to address this recommendation </w:t>
            </w:r>
            <w:r w:rsidR="003942DF" w:rsidRPr="00683FF0">
              <w:t>through ongoing</w:t>
            </w:r>
            <w:r w:rsidR="005E03E5" w:rsidRPr="00683FF0">
              <w:t xml:space="preserve"> and</w:t>
            </w:r>
            <w:r w:rsidR="00342E55" w:rsidRPr="00683FF0">
              <w:t xml:space="preserve"> </w:t>
            </w:r>
            <w:r w:rsidR="005E03E5" w:rsidRPr="00683FF0">
              <w:t>future</w:t>
            </w:r>
            <w:r w:rsidR="003942DF" w:rsidRPr="00683FF0">
              <w:t xml:space="preserve"> </w:t>
            </w:r>
            <w:r w:rsidR="00563E16" w:rsidRPr="00683FF0">
              <w:t xml:space="preserve">inventory improvement </w:t>
            </w:r>
            <w:r w:rsidR="003942DF" w:rsidRPr="00683FF0">
              <w:t>work</w:t>
            </w:r>
            <w:r w:rsidR="005E03E5" w:rsidRPr="00683FF0">
              <w:t>,</w:t>
            </w:r>
            <w:r w:rsidR="003942DF" w:rsidRPr="00683FF0">
              <w:t xml:space="preserve"> </w:t>
            </w:r>
            <w:r w:rsidR="0038721B" w:rsidRPr="00683FF0">
              <w:t xml:space="preserve">to </w:t>
            </w:r>
            <w:r w:rsidR="00632137" w:rsidRPr="00683FF0">
              <w:t xml:space="preserve">build the evidence base required </w:t>
            </w:r>
            <w:r w:rsidR="00B73EC0" w:rsidRPr="00683FF0">
              <w:t>for inclusion in target accounting</w:t>
            </w:r>
            <w:r w:rsidR="00251E4D" w:rsidRPr="00683FF0">
              <w:t>.</w:t>
            </w:r>
          </w:p>
          <w:p w14:paraId="7CDF1202" w14:textId="0BC25AB9" w:rsidR="00273BC2" w:rsidRPr="00683FF0" w:rsidRDefault="001A56D1" w:rsidP="001C707C">
            <w:pPr>
              <w:pStyle w:val="TableText"/>
            </w:pPr>
            <w:r w:rsidRPr="00683FF0">
              <w:rPr>
                <w:b/>
                <w:bCs/>
              </w:rPr>
              <w:t>5g.II.</w:t>
            </w:r>
            <w:r w:rsidRPr="00683FF0">
              <w:t xml:space="preserve"> </w:t>
            </w:r>
            <w:r w:rsidRPr="00683FF0">
              <w:rPr>
                <w:b/>
                <w:bCs/>
              </w:rPr>
              <w:t>The Government agrees with this recommendation.</w:t>
            </w:r>
            <w:r w:rsidRPr="00683FF0">
              <w:t xml:space="preserve"> A land-based accounting system (which includes the total land area of </w:t>
            </w:r>
            <w:r w:rsidR="00273BC2" w:rsidRPr="00683FF0">
              <w:t>Aotearoa</w:t>
            </w:r>
            <w:r w:rsidRPr="00683FF0">
              <w:t xml:space="preserve">) will be </w:t>
            </w:r>
            <w:r w:rsidR="00273BC2" w:rsidRPr="00683FF0">
              <w:t xml:space="preserve">essential </w:t>
            </w:r>
            <w:r w:rsidRPr="00683FF0">
              <w:t>for adequately measuring progress towards our net-zero 2050 target.</w:t>
            </w:r>
          </w:p>
          <w:p w14:paraId="3E208926" w14:textId="42C01D58" w:rsidR="001A56D1" w:rsidRPr="00683FF0" w:rsidDel="008C1A09" w:rsidRDefault="001A56D1" w:rsidP="001C707C">
            <w:pPr>
              <w:pStyle w:val="TableText"/>
            </w:pPr>
            <w:r w:rsidRPr="00683FF0">
              <w:t xml:space="preserve">A land-based accounting system is consistent with reporting in the </w:t>
            </w:r>
            <w:r w:rsidR="00273BC2" w:rsidRPr="00683FF0">
              <w:t>G</w:t>
            </w:r>
            <w:r w:rsidRPr="00683FF0">
              <w:t xml:space="preserve">reenhouse </w:t>
            </w:r>
            <w:r w:rsidR="00273BC2" w:rsidRPr="00683FF0">
              <w:t>G</w:t>
            </w:r>
            <w:r w:rsidRPr="00683FF0">
              <w:t xml:space="preserve">as </w:t>
            </w:r>
            <w:r w:rsidR="00273BC2" w:rsidRPr="00683FF0">
              <w:t>I</w:t>
            </w:r>
            <w:r w:rsidRPr="00683FF0">
              <w:t>nventory, and therefore more straightforward to implement and interpret than activity</w:t>
            </w:r>
            <w:r w:rsidR="00415F59" w:rsidRPr="00683FF0">
              <w:t>-</w:t>
            </w:r>
            <w:r w:rsidRPr="00683FF0">
              <w:t xml:space="preserve">based </w:t>
            </w:r>
            <w:r w:rsidR="00C41F2E" w:rsidRPr="00683FF0">
              <w:t>accounting</w:t>
            </w:r>
            <w:r w:rsidRPr="00683FF0">
              <w:t>.</w:t>
            </w:r>
            <w:r w:rsidR="00DF50AE" w:rsidRPr="00683FF0">
              <w:t xml:space="preserve"> </w:t>
            </w:r>
            <w:r w:rsidR="009654E8" w:rsidRPr="00683FF0">
              <w:t xml:space="preserve">This is contingent on </w:t>
            </w:r>
            <w:r w:rsidR="004F2193" w:rsidRPr="00683FF0">
              <w:t>building the evidence base</w:t>
            </w:r>
            <w:r w:rsidR="00B3742B" w:rsidRPr="00683FF0">
              <w:t xml:space="preserve"> </w:t>
            </w:r>
            <w:r w:rsidR="00C4526A" w:rsidRPr="00683FF0">
              <w:t>identified</w:t>
            </w:r>
            <w:r w:rsidR="00B3742B" w:rsidRPr="00683FF0">
              <w:t xml:space="preserve"> in </w:t>
            </w:r>
            <w:r w:rsidR="00605000" w:rsidRPr="00683FF0">
              <w:t xml:space="preserve">recommendation </w:t>
            </w:r>
            <w:r w:rsidR="00E808F8" w:rsidRPr="00683FF0">
              <w:t>5g</w:t>
            </w:r>
            <w:r w:rsidR="00F810B7" w:rsidRPr="00683FF0">
              <w:t>.I</w:t>
            </w:r>
            <w:r w:rsidR="00C4526A" w:rsidRPr="00683FF0">
              <w:t>.</w:t>
            </w:r>
          </w:p>
        </w:tc>
      </w:tr>
      <w:tr w:rsidR="001A56D1" w:rsidRPr="00683FF0" w14:paraId="79229ACA" w14:textId="77777777" w:rsidTr="009A19EC">
        <w:tc>
          <w:tcPr>
            <w:tcW w:w="4508" w:type="dxa"/>
            <w:tcBorders>
              <w:bottom w:val="nil"/>
            </w:tcBorders>
            <w:shd w:val="clear" w:color="auto" w:fill="auto"/>
          </w:tcPr>
          <w:p w14:paraId="1EA4DE37" w14:textId="0B5B868C" w:rsidR="001A56D1" w:rsidRPr="00683FF0" w:rsidRDefault="001A56D1" w:rsidP="001C707C">
            <w:pPr>
              <w:pStyle w:val="TableText"/>
            </w:pPr>
            <w:r w:rsidRPr="00683FF0">
              <w:lastRenderedPageBreak/>
              <w:t>5h. Develop sound and transparent practices for accounting for domestic voluntary mitigation and offsetting claims, in relation to the NZ ETS, emissions budgets and NDCs.</w:t>
            </w:r>
          </w:p>
        </w:tc>
        <w:tc>
          <w:tcPr>
            <w:tcW w:w="4508" w:type="dxa"/>
            <w:tcBorders>
              <w:bottom w:val="nil"/>
            </w:tcBorders>
            <w:shd w:val="clear" w:color="auto" w:fill="auto"/>
          </w:tcPr>
          <w:p w14:paraId="10B9912B" w14:textId="514550DF" w:rsidR="000A118B" w:rsidRPr="00683FF0" w:rsidRDefault="001A56D1" w:rsidP="001C707C">
            <w:pPr>
              <w:pStyle w:val="TableText"/>
            </w:pPr>
            <w:r w:rsidRPr="00683FF0">
              <w:rPr>
                <w:rFonts w:eastAsia="Times New Roman" w:cstheme="minorHAnsi"/>
                <w:b/>
                <w:bCs/>
              </w:rPr>
              <w:t>5h. The Government agrees with this recommendation.</w:t>
            </w:r>
            <w:r w:rsidRPr="00683FF0">
              <w:rPr>
                <w:rFonts w:eastAsia="Times New Roman" w:cstheme="minorHAnsi"/>
              </w:rPr>
              <w:t xml:space="preserve"> </w:t>
            </w:r>
            <w:r w:rsidRPr="00683FF0">
              <w:t xml:space="preserve">Interim guidance for emitters on voluntary climate change mitigation was published by </w:t>
            </w:r>
            <w:r w:rsidR="00B50E23" w:rsidRPr="00683FF0">
              <w:t xml:space="preserve">the Ministry for the Environment </w:t>
            </w:r>
            <w:r w:rsidRPr="00683FF0">
              <w:t xml:space="preserve">in February 2022. </w:t>
            </w:r>
          </w:p>
          <w:p w14:paraId="35EDA6BE" w14:textId="662B3868" w:rsidR="001A56D1" w:rsidRPr="00683FF0" w:rsidDel="008C1A09" w:rsidRDefault="000A118B" w:rsidP="001C707C">
            <w:pPr>
              <w:pStyle w:val="TableText"/>
              <w:rPr>
                <w:rFonts w:eastAsia="Times New Roman" w:cstheme="minorHAnsi"/>
                <w:b/>
                <w:bCs/>
              </w:rPr>
            </w:pPr>
            <w:r w:rsidRPr="00683FF0">
              <w:t xml:space="preserve">The Government </w:t>
            </w:r>
            <w:r w:rsidR="001A7AD5" w:rsidRPr="00683FF0">
              <w:t>will conti</w:t>
            </w:r>
            <w:r w:rsidR="00523E87" w:rsidRPr="00683FF0">
              <w:t xml:space="preserve">nue to work </w:t>
            </w:r>
            <w:r w:rsidR="00E564AE" w:rsidRPr="00683FF0">
              <w:t xml:space="preserve">on this </w:t>
            </w:r>
            <w:r w:rsidR="0010610B" w:rsidRPr="00683FF0">
              <w:t xml:space="preserve">recommendation. </w:t>
            </w:r>
          </w:p>
        </w:tc>
      </w:tr>
      <w:tr w:rsidR="001A56D1" w:rsidRPr="00683FF0" w14:paraId="5063124D" w14:textId="77777777" w:rsidTr="009A19EC">
        <w:tc>
          <w:tcPr>
            <w:tcW w:w="4508" w:type="dxa"/>
            <w:tcBorders>
              <w:top w:val="nil"/>
            </w:tcBorders>
            <w:shd w:val="clear" w:color="auto" w:fill="auto"/>
          </w:tcPr>
          <w:p w14:paraId="1AC4024F" w14:textId="77777777" w:rsidR="001A56D1" w:rsidRPr="00683FF0" w:rsidRDefault="001A56D1" w:rsidP="00276F45">
            <w:pPr>
              <w:pStyle w:val="TableText"/>
            </w:pPr>
          </w:p>
        </w:tc>
        <w:tc>
          <w:tcPr>
            <w:tcW w:w="4508" w:type="dxa"/>
            <w:tcBorders>
              <w:top w:val="nil"/>
            </w:tcBorders>
            <w:shd w:val="clear" w:color="auto" w:fill="auto"/>
          </w:tcPr>
          <w:p w14:paraId="2D655006" w14:textId="061669C7" w:rsidR="001A56D1" w:rsidRPr="00683FF0" w:rsidRDefault="001A56D1" w:rsidP="00D966C5">
            <w:pPr>
              <w:pStyle w:val="TableText"/>
              <w:spacing w:before="0"/>
            </w:pPr>
            <w:r w:rsidRPr="00683FF0">
              <w:rPr>
                <w:b/>
                <w:bCs/>
              </w:rPr>
              <w:t>Responsible agency:</w:t>
            </w:r>
            <w:r w:rsidRPr="00683FF0">
              <w:t xml:space="preserve"> Ministry for the Environment</w:t>
            </w:r>
          </w:p>
          <w:p w14:paraId="22BBD078" w14:textId="77777777" w:rsidR="001A56D1" w:rsidRPr="00683FF0" w:rsidRDefault="001A56D1" w:rsidP="00D966C5">
            <w:pPr>
              <w:pStyle w:val="TableText"/>
              <w:spacing w:before="0"/>
            </w:pPr>
            <w:r w:rsidRPr="00683FF0">
              <w:rPr>
                <w:b/>
                <w:bCs/>
              </w:rPr>
              <w:t>Responsible Minister:</w:t>
            </w:r>
            <w:r w:rsidRPr="00683FF0">
              <w:t xml:space="preserve"> Minister of Climate Change</w:t>
            </w:r>
          </w:p>
          <w:p w14:paraId="6C994E70" w14:textId="40D876E6" w:rsidR="001A56D1" w:rsidRPr="00683FF0" w:rsidDel="008C1A09" w:rsidRDefault="001A56D1" w:rsidP="00D966C5">
            <w:pPr>
              <w:pStyle w:val="TableText"/>
              <w:spacing w:before="0"/>
            </w:pPr>
            <w:r w:rsidRPr="00683FF0">
              <w:rPr>
                <w:b/>
                <w:bCs/>
              </w:rPr>
              <w:t>Timeline:</w:t>
            </w:r>
            <w:r w:rsidR="00A013AF" w:rsidRPr="00683FF0">
              <w:rPr>
                <w:b/>
                <w:bCs/>
              </w:rPr>
              <w:t xml:space="preserve"> </w:t>
            </w:r>
            <w:r w:rsidR="00A013AF" w:rsidRPr="00683FF0">
              <w:t>2022–25 (EB1) and ongoing</w:t>
            </w:r>
            <w:r w:rsidR="00C1630D" w:rsidRPr="00683FF0">
              <w:rPr>
                <w:b/>
                <w:bCs/>
              </w:rPr>
              <w:t xml:space="preserve"> </w:t>
            </w:r>
          </w:p>
        </w:tc>
      </w:tr>
    </w:tbl>
    <w:p w14:paraId="5421061C" w14:textId="17DDB8CB" w:rsidR="50E302AE" w:rsidRPr="00683FF0" w:rsidRDefault="50E302AE" w:rsidP="00276F45">
      <w:pPr>
        <w:pStyle w:val="BodyText"/>
      </w:pPr>
    </w:p>
    <w:p w14:paraId="285664AF" w14:textId="77777777" w:rsidR="00C64F92" w:rsidRPr="00683FF0" w:rsidRDefault="00C64F92" w:rsidP="00276F45">
      <w:pPr>
        <w:pStyle w:val="BodyText"/>
      </w:pPr>
      <w:r w:rsidRPr="00683FF0">
        <w:br w:type="page"/>
      </w:r>
    </w:p>
    <w:p w14:paraId="3AC70A1D" w14:textId="6974E384" w:rsidR="008E5E76" w:rsidRPr="00683FF0" w:rsidRDefault="00B64191" w:rsidP="008E5E76">
      <w:pPr>
        <w:pStyle w:val="Heading1"/>
      </w:pPr>
      <w:bookmarkStart w:id="7" w:name="_Toc103175820"/>
      <w:bookmarkStart w:id="8" w:name="_Toc103778783"/>
      <w:r w:rsidRPr="00683FF0">
        <w:lastRenderedPageBreak/>
        <w:t>Recommendations 6</w:t>
      </w:r>
      <w:r w:rsidR="00B50E23" w:rsidRPr="00683FF0">
        <w:t>–</w:t>
      </w:r>
      <w:r w:rsidRPr="00683FF0">
        <w:t xml:space="preserve">10: </w:t>
      </w:r>
      <w:r w:rsidR="00276F45" w:rsidRPr="00683FF0">
        <w:br/>
      </w:r>
      <w:r w:rsidR="008E5E76" w:rsidRPr="00683FF0">
        <w:t>Policy direction to create an enabling environment for change</w:t>
      </w:r>
      <w:bookmarkEnd w:id="7"/>
      <w:bookmarkEnd w:id="8"/>
    </w:p>
    <w:p w14:paraId="030D267B" w14:textId="0EF1273B" w:rsidR="008E5E76" w:rsidRPr="00683FF0" w:rsidRDefault="008E5E76" w:rsidP="00276F45">
      <w:pPr>
        <w:pStyle w:val="Heading2"/>
        <w:spacing w:before="240" w:after="240"/>
      </w:pPr>
      <w:bookmarkStart w:id="9" w:name="_Toc103175821"/>
      <w:bookmarkStart w:id="10" w:name="_Toc103778784"/>
      <w:r w:rsidRPr="00683FF0">
        <w:t>Treaty of Waitangi and the Crown</w:t>
      </w:r>
      <w:r w:rsidR="00B50E23" w:rsidRPr="00683FF0">
        <w:t>–</w:t>
      </w:r>
      <w:r w:rsidRPr="00683FF0">
        <w:t>Māori relationship</w:t>
      </w:r>
      <w:bookmarkEnd w:id="9"/>
      <w:bookmarkEnd w:id="10"/>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4395"/>
        <w:gridCol w:w="4110"/>
      </w:tblGrid>
      <w:tr w:rsidR="009A19EC" w:rsidRPr="00683FF0" w14:paraId="1CAC2B7F" w14:textId="77777777" w:rsidTr="008C42B4">
        <w:tc>
          <w:tcPr>
            <w:tcW w:w="4395" w:type="dxa"/>
            <w:shd w:val="clear" w:color="auto" w:fill="1B556B" w:themeFill="text2"/>
            <w:vAlign w:val="center"/>
          </w:tcPr>
          <w:p w14:paraId="6A03D8E0" w14:textId="547ACD96" w:rsidR="00790220" w:rsidRPr="00683FF0" w:rsidRDefault="00790220" w:rsidP="009A19EC">
            <w:pPr>
              <w:pStyle w:val="TableTextbold"/>
              <w:rPr>
                <w:color w:val="FFFFFF" w:themeColor="background1"/>
              </w:rPr>
            </w:pPr>
            <w:r w:rsidRPr="00683FF0">
              <w:rPr>
                <w:color w:val="FFFFFF" w:themeColor="background1"/>
              </w:rPr>
              <w:t xml:space="preserve">Report </w:t>
            </w:r>
            <w:r w:rsidR="00B50E23" w:rsidRPr="00683FF0">
              <w:rPr>
                <w:color w:val="FFFFFF" w:themeColor="background1"/>
              </w:rPr>
              <w:t>r</w:t>
            </w:r>
            <w:r w:rsidRPr="00683FF0">
              <w:rPr>
                <w:color w:val="FFFFFF" w:themeColor="background1"/>
              </w:rPr>
              <w:t>ecommendation</w:t>
            </w:r>
          </w:p>
        </w:tc>
        <w:tc>
          <w:tcPr>
            <w:tcW w:w="4110" w:type="dxa"/>
            <w:shd w:val="clear" w:color="auto" w:fill="1B556B" w:themeFill="text2"/>
            <w:vAlign w:val="center"/>
          </w:tcPr>
          <w:p w14:paraId="30A3F2F3" w14:textId="062DD474" w:rsidR="00790220" w:rsidRPr="00683FF0" w:rsidRDefault="00790220" w:rsidP="009A19EC">
            <w:pPr>
              <w:pStyle w:val="TableTextbold"/>
              <w:rPr>
                <w:color w:val="FFFFFF" w:themeColor="background1"/>
              </w:rPr>
            </w:pPr>
            <w:r w:rsidRPr="00683FF0">
              <w:rPr>
                <w:color w:val="FFFFFF" w:themeColor="background1"/>
              </w:rPr>
              <w:t xml:space="preserve">Government </w:t>
            </w:r>
            <w:r w:rsidR="00B50E23" w:rsidRPr="00683FF0">
              <w:rPr>
                <w:color w:val="FFFFFF" w:themeColor="background1"/>
              </w:rPr>
              <w:t>r</w:t>
            </w:r>
            <w:r w:rsidRPr="00683FF0">
              <w:rPr>
                <w:color w:val="FFFFFF" w:themeColor="background1"/>
              </w:rPr>
              <w:t>esponse</w:t>
            </w:r>
          </w:p>
        </w:tc>
      </w:tr>
      <w:tr w:rsidR="00790220" w:rsidRPr="00683FF0" w14:paraId="0A369547" w14:textId="77777777" w:rsidTr="008C42B4">
        <w:tc>
          <w:tcPr>
            <w:tcW w:w="4395" w:type="dxa"/>
            <w:shd w:val="clear" w:color="auto" w:fill="FFFFFF" w:themeFill="background1"/>
          </w:tcPr>
          <w:p w14:paraId="78A3997D" w14:textId="273C1B44" w:rsidR="00790220" w:rsidRPr="00683FF0" w:rsidRDefault="00AC2D15" w:rsidP="00167937">
            <w:pPr>
              <w:pStyle w:val="TableTextbold"/>
              <w:spacing w:after="0"/>
            </w:pPr>
            <w:r w:rsidRPr="00683FF0">
              <w:t xml:space="preserve">Recommendation 6 </w:t>
            </w:r>
            <w:r w:rsidR="00571182" w:rsidRPr="00683FF0">
              <w:t xml:space="preserve">– </w:t>
            </w:r>
            <w:r w:rsidRPr="00683FF0">
              <w:t>Treaty of Waitangi and the Crown</w:t>
            </w:r>
            <w:r w:rsidR="00B50E23" w:rsidRPr="00683FF0">
              <w:t>–</w:t>
            </w:r>
            <w:r w:rsidRPr="00683FF0">
              <w:t xml:space="preserve">Māori relationship </w:t>
            </w:r>
          </w:p>
          <w:p w14:paraId="374446B9" w14:textId="77777777" w:rsidR="008300AC" w:rsidRPr="00683FF0" w:rsidRDefault="008300AC" w:rsidP="00167937">
            <w:pPr>
              <w:pStyle w:val="TableText"/>
              <w:spacing w:after="0"/>
            </w:pPr>
            <w:r w:rsidRPr="00683FF0">
              <w:t>We recommend that the Government commit to:</w:t>
            </w:r>
          </w:p>
          <w:p w14:paraId="2DEC9C06" w14:textId="20606C13" w:rsidR="008300AC" w:rsidRPr="00683FF0" w:rsidRDefault="008300AC" w:rsidP="009A19EC">
            <w:pPr>
              <w:pStyle w:val="TableText"/>
            </w:pPr>
            <w:r w:rsidRPr="00683FF0">
              <w:t>Working in partnership with Iwi/Māori and local government to develop a strategy to ensure the principles of Te Tiriti o Waitangi/The Treaty of Waitangi are embedded in subsequent emissions reduction plans. The strategy should:</w:t>
            </w:r>
          </w:p>
          <w:p w14:paraId="0E662BE7" w14:textId="6B339C7D" w:rsidR="00EB326B" w:rsidRPr="00683FF0" w:rsidRDefault="00EB326B" w:rsidP="00D21268">
            <w:pPr>
              <w:pStyle w:val="TableText"/>
              <w:numPr>
                <w:ilvl w:val="0"/>
                <w:numId w:val="16"/>
              </w:numPr>
              <w:spacing w:before="0"/>
              <w:ind w:left="284" w:hanging="284"/>
            </w:pPr>
            <w:r w:rsidRPr="00683FF0">
              <w:t xml:space="preserve">Include an outcomes framework and action plan, as well as an evaluation framework outlining agreed accountability milestones and measures. </w:t>
            </w:r>
          </w:p>
          <w:p w14:paraId="555030FC" w14:textId="5DD556E6" w:rsidR="00EB326B" w:rsidRPr="00683FF0" w:rsidRDefault="00EB326B" w:rsidP="00D21268">
            <w:pPr>
              <w:pStyle w:val="TableText"/>
              <w:numPr>
                <w:ilvl w:val="0"/>
                <w:numId w:val="16"/>
              </w:numPr>
              <w:spacing w:before="0"/>
              <w:ind w:left="284" w:hanging="284"/>
            </w:pPr>
            <w:r w:rsidRPr="00683FF0">
              <w:t xml:space="preserve">Specify outcomes that align with the principles of protection, partnership, participation, and equity, recognising the guarantee of rangatiratanga and kaitiakitanga for Iwi/Māori under Te Tiriti o Waitangi/The Treaty of Waitangi. </w:t>
            </w:r>
          </w:p>
          <w:p w14:paraId="7EDC2483" w14:textId="5AB9CD8B" w:rsidR="00EB326B" w:rsidRPr="00683FF0" w:rsidRDefault="00EB326B" w:rsidP="00D21268">
            <w:pPr>
              <w:pStyle w:val="TableText"/>
              <w:numPr>
                <w:ilvl w:val="0"/>
                <w:numId w:val="16"/>
              </w:numPr>
              <w:spacing w:before="0"/>
              <w:ind w:left="284" w:hanging="284"/>
            </w:pPr>
            <w:r w:rsidRPr="00683FF0">
              <w:t>Include actions to give effect to</w:t>
            </w:r>
            <w:r w:rsidR="006526D3" w:rsidRPr="00683FF0">
              <w:t xml:space="preserve"> </w:t>
            </w:r>
            <w:r w:rsidRPr="00683FF0">
              <w:t xml:space="preserve">Recommendations 26 and 27 (see Chapter 19: Policy direction for an equitable transition for Iwi/Māori). </w:t>
            </w:r>
          </w:p>
          <w:p w14:paraId="4C8E7C10" w14:textId="23B1FE56" w:rsidR="00EB326B" w:rsidRPr="00683FF0" w:rsidRDefault="00EB326B" w:rsidP="00D21268">
            <w:pPr>
              <w:pStyle w:val="TableText"/>
              <w:numPr>
                <w:ilvl w:val="0"/>
                <w:numId w:val="16"/>
              </w:numPr>
              <w:spacing w:before="0"/>
              <w:ind w:left="284" w:hanging="284"/>
            </w:pPr>
            <w:r w:rsidRPr="00683FF0">
              <w:t xml:space="preserve">Take a whole of systems approach that addresses climate change in parallel with wai (water) and whenua (land). </w:t>
            </w:r>
          </w:p>
          <w:p w14:paraId="61D26E41" w14:textId="5B64A080" w:rsidR="00EB326B" w:rsidRPr="00683FF0" w:rsidRDefault="00EB326B" w:rsidP="00D21268">
            <w:pPr>
              <w:pStyle w:val="TableText"/>
              <w:numPr>
                <w:ilvl w:val="0"/>
                <w:numId w:val="16"/>
              </w:numPr>
              <w:spacing w:before="0"/>
              <w:ind w:left="284" w:hanging="284"/>
            </w:pPr>
            <w:r w:rsidRPr="00683FF0">
              <w:t>Be resourced appropriately.</w:t>
            </w:r>
          </w:p>
        </w:tc>
        <w:tc>
          <w:tcPr>
            <w:tcW w:w="4110" w:type="dxa"/>
            <w:shd w:val="clear" w:color="auto" w:fill="FFFFFF" w:themeFill="background1"/>
          </w:tcPr>
          <w:p w14:paraId="63EFF32C" w14:textId="7120F9C0" w:rsidR="00692455" w:rsidRPr="00683FF0" w:rsidRDefault="00692455" w:rsidP="009A19EC">
            <w:pPr>
              <w:pStyle w:val="TableText"/>
            </w:pPr>
            <w:r w:rsidRPr="00683FF0">
              <w:rPr>
                <w:b/>
                <w:bCs/>
              </w:rPr>
              <w:t xml:space="preserve">The Government agrees in principle with this recommendation. </w:t>
            </w:r>
            <w:r w:rsidRPr="00683FF0">
              <w:t xml:space="preserve">The </w:t>
            </w:r>
            <w:r w:rsidR="00FD74DA" w:rsidRPr="00683FF0">
              <w:t xml:space="preserve">emissions reduction plan </w:t>
            </w:r>
            <w:r w:rsidRPr="00683FF0">
              <w:t xml:space="preserve">commits to working in partnership with </w:t>
            </w:r>
            <w:r w:rsidR="00D52C93" w:rsidRPr="00683FF0">
              <w:t xml:space="preserve">Māori </w:t>
            </w:r>
            <w:r w:rsidRPr="00683FF0">
              <w:t xml:space="preserve">and local government to develop the recommended strategy. </w:t>
            </w:r>
            <w:bookmarkStart w:id="11" w:name="_Hlk102109684"/>
            <w:r w:rsidRPr="00683FF0">
              <w:t xml:space="preserve">Further collaboration with and direction from Māori will establish if and how this recommended strategy and </w:t>
            </w:r>
            <w:r w:rsidR="00C456D8" w:rsidRPr="00683FF0">
              <w:t xml:space="preserve">its </w:t>
            </w:r>
            <w:r w:rsidRPr="00683FF0">
              <w:t>focus areas should be progressed as part of the Māori climate platform (</w:t>
            </w:r>
            <w:r w:rsidR="007435E1" w:rsidRPr="00683FF0">
              <w:t>c</w:t>
            </w:r>
            <w:r w:rsidRPr="00683FF0">
              <w:t>hapter</w:t>
            </w:r>
            <w:r w:rsidR="007435E1" w:rsidRPr="00683FF0">
              <w:t> </w:t>
            </w:r>
            <w:r w:rsidRPr="00683FF0">
              <w:t>2</w:t>
            </w:r>
            <w:r w:rsidR="00070B17" w:rsidRPr="00683FF0">
              <w:t>:</w:t>
            </w:r>
            <w:r w:rsidRPr="00683FF0">
              <w:t xml:space="preserve"> Empowering Māori</w:t>
            </w:r>
            <w:r w:rsidR="00070B17" w:rsidRPr="00683FF0">
              <w:t>,</w:t>
            </w:r>
            <w:r w:rsidRPr="00683FF0">
              <w:t xml:space="preserve"> </w:t>
            </w:r>
            <w:r w:rsidR="00070B17" w:rsidRPr="00683FF0">
              <w:t>a</w:t>
            </w:r>
            <w:r w:rsidRPr="00683FF0">
              <w:t xml:space="preserve">ctions </w:t>
            </w:r>
            <w:r w:rsidR="006234E6" w:rsidRPr="00683FF0">
              <w:t>2.</w:t>
            </w:r>
            <w:r w:rsidRPr="00683FF0">
              <w:t>1–3)</w:t>
            </w:r>
            <w:bookmarkEnd w:id="11"/>
            <w:r w:rsidRPr="00683FF0">
              <w:t xml:space="preserve">. </w:t>
            </w:r>
          </w:p>
          <w:p w14:paraId="3F10A1B9" w14:textId="77777777" w:rsidR="00C32157" w:rsidRPr="00683FF0" w:rsidRDefault="00C32157" w:rsidP="00D966C5">
            <w:pPr>
              <w:pStyle w:val="TableText"/>
            </w:pPr>
            <w:r w:rsidRPr="00683FF0">
              <w:rPr>
                <w:b/>
                <w:bCs/>
              </w:rPr>
              <w:t>Responsible agency:</w:t>
            </w:r>
            <w:r w:rsidRPr="00683FF0">
              <w:t xml:space="preserve"> Ministry for the Environment</w:t>
            </w:r>
          </w:p>
          <w:p w14:paraId="7C191CA1" w14:textId="0FCCCEEC" w:rsidR="00C32157" w:rsidRPr="00683FF0" w:rsidRDefault="00C32157" w:rsidP="00D966C5">
            <w:pPr>
              <w:pStyle w:val="TableText"/>
              <w:spacing w:before="0"/>
            </w:pPr>
            <w:r w:rsidRPr="00683FF0">
              <w:rPr>
                <w:b/>
                <w:bCs/>
              </w:rPr>
              <w:t>Responsible Minister:</w:t>
            </w:r>
            <w:r w:rsidRPr="00683FF0">
              <w:t xml:space="preserve"> Minister o</w:t>
            </w:r>
            <w:r w:rsidR="002549C9" w:rsidRPr="00683FF0">
              <w:t>f</w:t>
            </w:r>
            <w:r w:rsidRPr="00683FF0">
              <w:t xml:space="preserve"> Climate Change</w:t>
            </w:r>
          </w:p>
          <w:p w14:paraId="60DC9B16" w14:textId="70CD8400" w:rsidR="00C32157" w:rsidRPr="00683FF0" w:rsidRDefault="00C32157" w:rsidP="00D966C5">
            <w:pPr>
              <w:pStyle w:val="TableText"/>
              <w:spacing w:before="0"/>
            </w:pPr>
            <w:r w:rsidRPr="00683FF0">
              <w:rPr>
                <w:b/>
                <w:bCs/>
              </w:rPr>
              <w:t xml:space="preserve">Timeline: </w:t>
            </w:r>
            <w:r w:rsidRPr="00683FF0">
              <w:t>2022–25 (EB1)</w:t>
            </w:r>
          </w:p>
        </w:tc>
      </w:tr>
    </w:tbl>
    <w:p w14:paraId="2FB91267" w14:textId="38F1E1BD" w:rsidR="00790220" w:rsidRPr="00683FF0" w:rsidRDefault="00790220" w:rsidP="009A19EC">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4395"/>
        <w:gridCol w:w="4110"/>
      </w:tblGrid>
      <w:tr w:rsidR="008C42B4" w:rsidRPr="00683FF0" w14:paraId="379D03D7" w14:textId="77777777" w:rsidTr="008C42B4">
        <w:trPr>
          <w:trHeight w:val="340"/>
        </w:trPr>
        <w:tc>
          <w:tcPr>
            <w:tcW w:w="4395" w:type="dxa"/>
            <w:shd w:val="clear" w:color="auto" w:fill="1B556B" w:themeFill="text2"/>
            <w:vAlign w:val="center"/>
          </w:tcPr>
          <w:p w14:paraId="3F025565" w14:textId="174DF986" w:rsidR="00CB71BB" w:rsidRPr="00683FF0" w:rsidRDefault="00CB71BB" w:rsidP="008C42B4">
            <w:pPr>
              <w:pStyle w:val="TableTextbold"/>
              <w:rPr>
                <w:color w:val="FFFFFF" w:themeColor="background1"/>
              </w:rPr>
            </w:pPr>
            <w:r w:rsidRPr="00683FF0">
              <w:rPr>
                <w:color w:val="FFFFFF" w:themeColor="background1"/>
              </w:rPr>
              <w:t xml:space="preserve">Report </w:t>
            </w:r>
            <w:r w:rsidR="0038572D" w:rsidRPr="00683FF0">
              <w:rPr>
                <w:color w:val="FFFFFF" w:themeColor="background1"/>
              </w:rPr>
              <w:t>r</w:t>
            </w:r>
            <w:r w:rsidRPr="00683FF0">
              <w:rPr>
                <w:color w:val="FFFFFF" w:themeColor="background1"/>
              </w:rPr>
              <w:t>ecommendation</w:t>
            </w:r>
          </w:p>
        </w:tc>
        <w:tc>
          <w:tcPr>
            <w:tcW w:w="4110" w:type="dxa"/>
            <w:shd w:val="clear" w:color="auto" w:fill="1B556B" w:themeFill="text2"/>
            <w:vAlign w:val="center"/>
          </w:tcPr>
          <w:p w14:paraId="5792D909" w14:textId="256A5788" w:rsidR="00CB71BB" w:rsidRPr="00683FF0" w:rsidRDefault="00CB71BB" w:rsidP="008C42B4">
            <w:pPr>
              <w:pStyle w:val="TableTextbold"/>
              <w:rPr>
                <w:color w:val="FFFFFF" w:themeColor="background1"/>
              </w:rPr>
            </w:pPr>
            <w:r w:rsidRPr="00683FF0">
              <w:rPr>
                <w:color w:val="FFFFFF" w:themeColor="background1"/>
              </w:rPr>
              <w:t xml:space="preserve">Government </w:t>
            </w:r>
            <w:r w:rsidR="0038572D" w:rsidRPr="00683FF0">
              <w:rPr>
                <w:color w:val="FFFFFF" w:themeColor="background1"/>
              </w:rPr>
              <w:t>r</w:t>
            </w:r>
            <w:r w:rsidRPr="00683FF0">
              <w:rPr>
                <w:color w:val="FFFFFF" w:themeColor="background1"/>
              </w:rPr>
              <w:t>esponse</w:t>
            </w:r>
          </w:p>
        </w:tc>
      </w:tr>
      <w:tr w:rsidR="00CB71BB" w:rsidRPr="00683FF0" w14:paraId="6D7B3D99" w14:textId="77777777" w:rsidTr="008C42B4">
        <w:tc>
          <w:tcPr>
            <w:tcW w:w="4395" w:type="dxa"/>
            <w:shd w:val="clear" w:color="auto" w:fill="auto"/>
          </w:tcPr>
          <w:p w14:paraId="14F2ABCB" w14:textId="77777777" w:rsidR="00CB71BB" w:rsidRPr="00683FF0" w:rsidRDefault="00CB71BB" w:rsidP="008C42B4">
            <w:pPr>
              <w:pStyle w:val="TableTextbold"/>
              <w:spacing w:after="0"/>
            </w:pPr>
            <w:r w:rsidRPr="00683FF0">
              <w:t xml:space="preserve">Recommendation 6 – Provisional progress indicators </w:t>
            </w:r>
          </w:p>
          <w:p w14:paraId="6020D996" w14:textId="77777777" w:rsidR="00C64F92" w:rsidRPr="00683FF0" w:rsidRDefault="00C64F92" w:rsidP="008C42B4">
            <w:pPr>
              <w:pStyle w:val="TableText"/>
            </w:pPr>
            <w:r w:rsidRPr="00683FF0">
              <w:t>6.1. Government to work in partnership with Iwi/Māori, by 30 June 2022, to agree on an approach for developing the strategy, and to develop and publish the strategy. This should include an outcomes framework with a phased implementation plan.</w:t>
            </w:r>
          </w:p>
          <w:p w14:paraId="50CAAD02" w14:textId="77777777" w:rsidR="00C64F92" w:rsidRPr="00683FF0" w:rsidRDefault="00C64F92" w:rsidP="008C42B4">
            <w:pPr>
              <w:pStyle w:val="TableText"/>
            </w:pPr>
            <w:r w:rsidRPr="00683FF0">
              <w:t>6.2. Government to have initiated, by 31 December 2022, the first phase of implementation and work in partnership with Iwi/Māori to develop an evaluation framework.</w:t>
            </w:r>
          </w:p>
          <w:p w14:paraId="7A530316" w14:textId="6ABD697B" w:rsidR="00C64F92" w:rsidRPr="00683FF0" w:rsidRDefault="00C64F92" w:rsidP="008C42B4">
            <w:pPr>
              <w:pStyle w:val="TableText"/>
            </w:pPr>
            <w:r w:rsidRPr="00683FF0">
              <w:t>6.3. Government to report annually, from 31 December 2022, on a suite of indicators, including how the strategy will be resourced and funded.</w:t>
            </w:r>
          </w:p>
        </w:tc>
        <w:tc>
          <w:tcPr>
            <w:tcW w:w="4110" w:type="dxa"/>
            <w:shd w:val="clear" w:color="auto" w:fill="auto"/>
          </w:tcPr>
          <w:p w14:paraId="2470CDD7" w14:textId="111E7451" w:rsidR="00C64F92" w:rsidRPr="00683FF0" w:rsidRDefault="007221C8" w:rsidP="008C42B4">
            <w:pPr>
              <w:pStyle w:val="TableText"/>
            </w:pPr>
            <w:r w:rsidRPr="00683FF0">
              <w:rPr>
                <w:rFonts w:eastAsia="Times New Roman" w:cstheme="minorHAnsi"/>
                <w:b/>
                <w:bCs/>
              </w:rPr>
              <w:t xml:space="preserve">6.1–6.3. </w:t>
            </w:r>
            <w:r w:rsidR="009C3E08" w:rsidRPr="00683FF0">
              <w:rPr>
                <w:rFonts w:eastAsia="Times New Roman" w:cstheme="minorHAnsi"/>
                <w:b/>
                <w:bCs/>
              </w:rPr>
              <w:t xml:space="preserve">The Government agrees in </w:t>
            </w:r>
            <w:r w:rsidR="008063FD" w:rsidRPr="00683FF0">
              <w:rPr>
                <w:rFonts w:eastAsia="Times New Roman" w:cstheme="minorHAnsi"/>
                <w:b/>
                <w:bCs/>
              </w:rPr>
              <w:t xml:space="preserve">part </w:t>
            </w:r>
            <w:r w:rsidR="009C3E08" w:rsidRPr="00683FF0">
              <w:rPr>
                <w:rFonts w:eastAsia="Times New Roman" w:cstheme="minorHAnsi"/>
                <w:b/>
                <w:bCs/>
              </w:rPr>
              <w:t>with these provisional progress indicators.</w:t>
            </w:r>
            <w:r w:rsidR="0038572D" w:rsidRPr="00683FF0">
              <w:t xml:space="preserve"> </w:t>
            </w:r>
            <w:r w:rsidR="0E9A9ACE" w:rsidRPr="00683FF0">
              <w:t>Further collaboration with and direction from Māori will establish the merits of th</w:t>
            </w:r>
            <w:r w:rsidR="7968649D" w:rsidRPr="00683FF0">
              <w:t>ese</w:t>
            </w:r>
            <w:r w:rsidR="0E9A9ACE" w:rsidRPr="00683FF0">
              <w:t xml:space="preserve"> indicator</w:t>
            </w:r>
            <w:r w:rsidR="7968649D" w:rsidRPr="00683FF0">
              <w:t>s</w:t>
            </w:r>
            <w:r w:rsidR="0E9A9ACE" w:rsidRPr="00683FF0">
              <w:t xml:space="preserve"> (</w:t>
            </w:r>
            <w:r w:rsidR="003B3F72" w:rsidRPr="00683FF0">
              <w:t>c</w:t>
            </w:r>
            <w:r w:rsidR="0E9A9ACE" w:rsidRPr="00683FF0">
              <w:t>hapter 2</w:t>
            </w:r>
            <w:r w:rsidR="00070B17" w:rsidRPr="00683FF0">
              <w:t>:</w:t>
            </w:r>
            <w:r w:rsidR="0E9A9ACE" w:rsidRPr="00683FF0">
              <w:t xml:space="preserve"> Empowering Māori</w:t>
            </w:r>
            <w:r w:rsidR="00070B17" w:rsidRPr="00683FF0">
              <w:t>,</w:t>
            </w:r>
            <w:r w:rsidR="0E9A9ACE" w:rsidRPr="00683FF0">
              <w:t xml:space="preserve"> </w:t>
            </w:r>
            <w:r w:rsidR="00070B17" w:rsidRPr="00683FF0">
              <w:t>a</w:t>
            </w:r>
            <w:r w:rsidR="0E9A9ACE" w:rsidRPr="00683FF0">
              <w:t xml:space="preserve">ctions </w:t>
            </w:r>
            <w:r w:rsidR="006234E6" w:rsidRPr="00683FF0">
              <w:t>2.</w:t>
            </w:r>
            <w:r w:rsidR="0E9A9ACE" w:rsidRPr="00683FF0">
              <w:t>1–3).</w:t>
            </w:r>
          </w:p>
          <w:p w14:paraId="16957E5C" w14:textId="77777777" w:rsidR="00C64F92" w:rsidRPr="00683FF0" w:rsidRDefault="00C64F92" w:rsidP="008C42B4">
            <w:pPr>
              <w:pStyle w:val="TableText"/>
            </w:pPr>
            <w:r w:rsidRPr="00683FF0">
              <w:rPr>
                <w:b/>
                <w:bCs/>
              </w:rPr>
              <w:t>Responsible agency:</w:t>
            </w:r>
            <w:r w:rsidRPr="00683FF0">
              <w:t xml:space="preserve"> Ministry for the Environment</w:t>
            </w:r>
          </w:p>
          <w:p w14:paraId="001D4D51" w14:textId="77777777" w:rsidR="00C64F92" w:rsidRPr="00683FF0" w:rsidRDefault="00C64F92" w:rsidP="00167937">
            <w:pPr>
              <w:pStyle w:val="TableText"/>
              <w:spacing w:before="0"/>
            </w:pPr>
            <w:r w:rsidRPr="00683FF0">
              <w:rPr>
                <w:b/>
                <w:bCs/>
              </w:rPr>
              <w:t>Responsible Minister:</w:t>
            </w:r>
            <w:r w:rsidRPr="00683FF0">
              <w:t xml:space="preserve"> Minister of Climate Change</w:t>
            </w:r>
          </w:p>
          <w:p w14:paraId="179C7752" w14:textId="77777777" w:rsidR="00C64F92" w:rsidRDefault="00C64F92" w:rsidP="00167937">
            <w:pPr>
              <w:pStyle w:val="TableText"/>
              <w:spacing w:before="0"/>
            </w:pPr>
            <w:r w:rsidRPr="00683FF0">
              <w:rPr>
                <w:b/>
                <w:bCs/>
              </w:rPr>
              <w:t xml:space="preserve">Timeline: </w:t>
            </w:r>
            <w:r w:rsidRPr="00683FF0">
              <w:t>2022–25 (EB1)</w:t>
            </w:r>
          </w:p>
          <w:p w14:paraId="015044A7" w14:textId="77777777" w:rsidR="003C4FB2" w:rsidRPr="003C4FB2" w:rsidRDefault="003C4FB2" w:rsidP="003C4FB2">
            <w:pPr>
              <w:rPr>
                <w:lang w:eastAsia="en-NZ"/>
              </w:rPr>
            </w:pPr>
          </w:p>
          <w:p w14:paraId="174616FF" w14:textId="77777777" w:rsidR="003C4FB2" w:rsidRPr="003C4FB2" w:rsidRDefault="003C4FB2" w:rsidP="003C4FB2">
            <w:pPr>
              <w:rPr>
                <w:lang w:eastAsia="en-NZ"/>
              </w:rPr>
            </w:pPr>
          </w:p>
          <w:p w14:paraId="7C829052" w14:textId="77777777" w:rsidR="003C4FB2" w:rsidRDefault="003C4FB2" w:rsidP="003C4FB2">
            <w:pPr>
              <w:rPr>
                <w:rFonts w:ascii="Calibri" w:eastAsiaTheme="minorEastAsia" w:hAnsi="Calibri"/>
                <w:sz w:val="18"/>
                <w:lang w:eastAsia="en-NZ"/>
              </w:rPr>
            </w:pPr>
          </w:p>
          <w:p w14:paraId="4A25815E" w14:textId="77777777" w:rsidR="003C4FB2" w:rsidRPr="003C4FB2" w:rsidRDefault="003C4FB2" w:rsidP="003C4FB2">
            <w:pPr>
              <w:rPr>
                <w:lang w:eastAsia="en-NZ"/>
              </w:rPr>
            </w:pPr>
          </w:p>
          <w:p w14:paraId="5DAA6896" w14:textId="1BE0C3EC" w:rsidR="003C4FB2" w:rsidRPr="003C4FB2" w:rsidRDefault="003C4FB2" w:rsidP="003C4FB2">
            <w:pPr>
              <w:tabs>
                <w:tab w:val="left" w:pos="1380"/>
              </w:tabs>
              <w:rPr>
                <w:lang w:eastAsia="en-NZ"/>
              </w:rPr>
            </w:pPr>
            <w:r>
              <w:rPr>
                <w:lang w:eastAsia="en-NZ"/>
              </w:rPr>
              <w:tab/>
            </w:r>
          </w:p>
        </w:tc>
      </w:tr>
    </w:tbl>
    <w:p w14:paraId="5F62F5E9" w14:textId="2C27E6F8" w:rsidR="008E5E76" w:rsidRPr="00683FF0" w:rsidRDefault="008E5E76" w:rsidP="008C42B4">
      <w:pPr>
        <w:pStyle w:val="Heading2"/>
        <w:pageBreakBefore/>
        <w:spacing w:after="240" w:line="240" w:lineRule="atLeast"/>
      </w:pPr>
      <w:bookmarkStart w:id="12" w:name="_Toc103175822"/>
      <w:bookmarkStart w:id="13" w:name="_Toc103778785"/>
      <w:r w:rsidRPr="00683FF0">
        <w:lastRenderedPageBreak/>
        <w:t>Cross-party support for emissions budgets</w:t>
      </w:r>
      <w:bookmarkEnd w:id="12"/>
      <w:bookmarkEnd w:id="13"/>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4111"/>
        <w:gridCol w:w="4394"/>
      </w:tblGrid>
      <w:tr w:rsidR="008C42B4" w:rsidRPr="00683FF0" w14:paraId="13F1581B" w14:textId="77777777" w:rsidTr="007179A3">
        <w:tc>
          <w:tcPr>
            <w:tcW w:w="4111" w:type="dxa"/>
            <w:shd w:val="clear" w:color="auto" w:fill="1B556B" w:themeFill="text2"/>
            <w:vAlign w:val="center"/>
          </w:tcPr>
          <w:p w14:paraId="1E1F5FB5" w14:textId="6CF04AAB" w:rsidR="00657CB6" w:rsidRPr="00683FF0" w:rsidRDefault="00657CB6" w:rsidP="008C42B4">
            <w:pPr>
              <w:pStyle w:val="TableTextbold"/>
              <w:rPr>
                <w:color w:val="FFFFFF" w:themeColor="background1"/>
              </w:rPr>
            </w:pPr>
            <w:r w:rsidRPr="00683FF0">
              <w:rPr>
                <w:color w:val="FFFFFF" w:themeColor="background1"/>
              </w:rPr>
              <w:t xml:space="preserve">Report </w:t>
            </w:r>
            <w:r w:rsidR="00015A3B" w:rsidRPr="00683FF0">
              <w:rPr>
                <w:color w:val="FFFFFF" w:themeColor="background1"/>
              </w:rPr>
              <w:t>r</w:t>
            </w:r>
            <w:r w:rsidRPr="00683FF0">
              <w:rPr>
                <w:color w:val="FFFFFF" w:themeColor="background1"/>
              </w:rPr>
              <w:t>ecommendation</w:t>
            </w:r>
          </w:p>
        </w:tc>
        <w:tc>
          <w:tcPr>
            <w:tcW w:w="4394" w:type="dxa"/>
            <w:shd w:val="clear" w:color="auto" w:fill="1B556B" w:themeFill="text2"/>
            <w:vAlign w:val="center"/>
          </w:tcPr>
          <w:p w14:paraId="34A75EEC" w14:textId="596D6CBE" w:rsidR="00657CB6" w:rsidRPr="00683FF0" w:rsidRDefault="00657CB6" w:rsidP="008C42B4">
            <w:pPr>
              <w:pStyle w:val="TableTextbold"/>
              <w:rPr>
                <w:color w:val="FFFFFF" w:themeColor="background1"/>
              </w:rPr>
            </w:pPr>
            <w:r w:rsidRPr="00683FF0">
              <w:rPr>
                <w:color w:val="FFFFFF" w:themeColor="background1"/>
              </w:rPr>
              <w:t xml:space="preserve">Government </w:t>
            </w:r>
            <w:r w:rsidR="00015A3B" w:rsidRPr="00683FF0">
              <w:rPr>
                <w:color w:val="FFFFFF" w:themeColor="background1"/>
              </w:rPr>
              <w:t>r</w:t>
            </w:r>
            <w:r w:rsidRPr="00683FF0">
              <w:rPr>
                <w:color w:val="FFFFFF" w:themeColor="background1"/>
              </w:rPr>
              <w:t>esponse</w:t>
            </w:r>
          </w:p>
        </w:tc>
      </w:tr>
      <w:tr w:rsidR="00657CB6" w:rsidRPr="00683FF0" w14:paraId="3A199B90" w14:textId="77777777" w:rsidTr="007179A3">
        <w:tc>
          <w:tcPr>
            <w:tcW w:w="4111" w:type="dxa"/>
            <w:shd w:val="clear" w:color="auto" w:fill="auto"/>
          </w:tcPr>
          <w:p w14:paraId="2CCDCB84" w14:textId="6F40212A" w:rsidR="00657CB6" w:rsidRPr="00683FF0" w:rsidRDefault="00657CB6" w:rsidP="008C42B4">
            <w:pPr>
              <w:pStyle w:val="TableTextbold"/>
              <w:spacing w:after="0"/>
            </w:pPr>
            <w:r w:rsidRPr="00683FF0">
              <w:t>Recommendation 7 – Cross-party support for emissions budgets</w:t>
            </w:r>
            <w:r w:rsidRPr="00683FF0">
              <w:rPr>
                <w:color w:val="2E5395"/>
                <w:sz w:val="26"/>
                <w:szCs w:val="26"/>
              </w:rPr>
              <w:t xml:space="preserve"> </w:t>
            </w:r>
          </w:p>
          <w:p w14:paraId="3F6BFD22" w14:textId="77777777" w:rsidR="00657CB6" w:rsidRPr="00683FF0" w:rsidRDefault="00657CB6" w:rsidP="00167937">
            <w:pPr>
              <w:pStyle w:val="TableText"/>
              <w:spacing w:after="0"/>
            </w:pPr>
            <w:r w:rsidRPr="00683FF0">
              <w:t>We recommend that the Government commit to:</w:t>
            </w:r>
          </w:p>
          <w:p w14:paraId="23E66963" w14:textId="77777777" w:rsidR="00C64F92" w:rsidRPr="00683FF0" w:rsidRDefault="00C64F92" w:rsidP="008C42B4">
            <w:pPr>
              <w:pStyle w:val="TableText"/>
            </w:pPr>
            <w:r w:rsidRPr="00683FF0">
              <w:t>7.1. Seeking cross-party support on emissions budgets.</w:t>
            </w:r>
          </w:p>
          <w:p w14:paraId="278D4F5C" w14:textId="607A8EFB" w:rsidR="00C64F92" w:rsidRPr="00683FF0" w:rsidRDefault="00C64F92" w:rsidP="008C42B4">
            <w:pPr>
              <w:pStyle w:val="TableText"/>
            </w:pPr>
            <w:r w:rsidRPr="00683FF0">
              <w:t>7.2</w:t>
            </w:r>
            <w:r w:rsidR="00F94E0F" w:rsidRPr="00683FF0">
              <w:t>.</w:t>
            </w:r>
            <w:r w:rsidRPr="00683FF0">
              <w:t xml:space="preserve"> Debating emissions budgets in Parliament before they are notified, so that the positions of each political party are on the parliamentary record.</w:t>
            </w:r>
          </w:p>
        </w:tc>
        <w:tc>
          <w:tcPr>
            <w:tcW w:w="4394" w:type="dxa"/>
            <w:shd w:val="clear" w:color="auto" w:fill="auto"/>
          </w:tcPr>
          <w:p w14:paraId="5EEC2C13" w14:textId="55F1A125" w:rsidR="00C64F92" w:rsidRPr="00683FF0" w:rsidRDefault="00C64F92" w:rsidP="008C42B4">
            <w:pPr>
              <w:pStyle w:val="TableText"/>
            </w:pPr>
            <w:r w:rsidRPr="00683FF0">
              <w:rPr>
                <w:rFonts w:eastAsia="Times New Roman"/>
                <w:b/>
              </w:rPr>
              <w:t>The Government agrees with this recommendation.</w:t>
            </w:r>
            <w:r w:rsidRPr="00683FF0">
              <w:rPr>
                <w:rFonts w:eastAsia="Times New Roman"/>
              </w:rPr>
              <w:t xml:space="preserve"> The </w:t>
            </w:r>
            <w:r w:rsidRPr="00683FF0">
              <w:t xml:space="preserve">Minister of Climate Change </w:t>
            </w:r>
            <w:r w:rsidR="6585E4BF" w:rsidRPr="00683FF0">
              <w:t>has approached</w:t>
            </w:r>
            <w:r w:rsidRPr="00683FF0">
              <w:t xml:space="preserve"> </w:t>
            </w:r>
            <w:r w:rsidR="00352112" w:rsidRPr="00683FF0">
              <w:t xml:space="preserve">all the </w:t>
            </w:r>
            <w:r w:rsidRPr="00683FF0">
              <w:t xml:space="preserve">parties </w:t>
            </w:r>
            <w:r w:rsidR="00352112" w:rsidRPr="00683FF0">
              <w:t xml:space="preserve">represented in Parliament </w:t>
            </w:r>
            <w:r w:rsidRPr="00683FF0">
              <w:t xml:space="preserve">to discuss </w:t>
            </w:r>
            <w:r w:rsidR="00494B9E" w:rsidRPr="00683FF0">
              <w:t xml:space="preserve">support for </w:t>
            </w:r>
            <w:r w:rsidR="00944350" w:rsidRPr="00683FF0">
              <w:t>the emissions budgets</w:t>
            </w:r>
            <w:r w:rsidR="00352112" w:rsidRPr="00683FF0">
              <w:t>,</w:t>
            </w:r>
            <w:r w:rsidRPr="00683FF0">
              <w:t xml:space="preserve"> and a parliamentary debate has been scheduled.</w:t>
            </w:r>
          </w:p>
          <w:p w14:paraId="3EF967C0" w14:textId="77777777" w:rsidR="00C64F92" w:rsidRPr="00683FF0" w:rsidRDefault="00C64F92" w:rsidP="008C42B4">
            <w:pPr>
              <w:pStyle w:val="TableText"/>
            </w:pPr>
            <w:r w:rsidRPr="00683FF0">
              <w:rPr>
                <w:b/>
                <w:bCs/>
              </w:rPr>
              <w:t>Responsible Minister:</w:t>
            </w:r>
            <w:r w:rsidRPr="00683FF0">
              <w:t xml:space="preserve"> Minister of Climate Change</w:t>
            </w:r>
          </w:p>
          <w:p w14:paraId="732A555C" w14:textId="0EE84EAA" w:rsidR="00657CB6" w:rsidRPr="00683FF0" w:rsidRDefault="00C64F92" w:rsidP="00167937">
            <w:pPr>
              <w:pStyle w:val="TableText"/>
              <w:spacing w:before="0"/>
              <w:rPr>
                <w:szCs w:val="18"/>
              </w:rPr>
            </w:pPr>
            <w:r w:rsidRPr="00683FF0">
              <w:rPr>
                <w:b/>
                <w:bCs/>
              </w:rPr>
              <w:t xml:space="preserve">Timeline: </w:t>
            </w:r>
            <w:r w:rsidR="6585E4BF" w:rsidRPr="00683FF0">
              <w:t>May 2022</w:t>
            </w:r>
          </w:p>
        </w:tc>
      </w:tr>
    </w:tbl>
    <w:p w14:paraId="09C9121F" w14:textId="0E7A0E7D" w:rsidR="008E5E76" w:rsidRPr="00683FF0" w:rsidRDefault="008E5E76" w:rsidP="008C42B4">
      <w:pPr>
        <w:pStyle w:val="Heading2"/>
        <w:spacing w:before="480" w:after="240"/>
      </w:pPr>
      <w:bookmarkStart w:id="14" w:name="_Toc103175823"/>
      <w:bookmarkStart w:id="15" w:name="_Toc103778786"/>
      <w:r w:rsidRPr="00683FF0">
        <w:t>Aligning central and local government efforts</w:t>
      </w:r>
      <w:bookmarkEnd w:id="14"/>
      <w:bookmarkEnd w:id="15"/>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ook w:val="04A0" w:firstRow="1" w:lastRow="0" w:firstColumn="1" w:lastColumn="0" w:noHBand="0" w:noVBand="1"/>
      </w:tblPr>
      <w:tblGrid>
        <w:gridCol w:w="4111"/>
        <w:gridCol w:w="4394"/>
      </w:tblGrid>
      <w:tr w:rsidR="001A066E" w:rsidRPr="00683FF0" w14:paraId="5805F6A4" w14:textId="77777777" w:rsidTr="007179A3">
        <w:trPr>
          <w:tblHeader/>
        </w:trPr>
        <w:tc>
          <w:tcPr>
            <w:tcW w:w="4111" w:type="dxa"/>
            <w:tcBorders>
              <w:top w:val="single" w:sz="4" w:space="0" w:color="1B556B" w:themeColor="text2"/>
              <w:bottom w:val="nil"/>
            </w:tcBorders>
            <w:shd w:val="clear" w:color="auto" w:fill="1B556B" w:themeFill="text2"/>
            <w:vAlign w:val="center"/>
          </w:tcPr>
          <w:p w14:paraId="15D0942C" w14:textId="29F6CEB8" w:rsidR="00657CB6" w:rsidRPr="00683FF0" w:rsidRDefault="00657CB6" w:rsidP="001A066E">
            <w:pPr>
              <w:pStyle w:val="TableTextbold"/>
              <w:rPr>
                <w:color w:val="FFFFFF" w:themeColor="background1"/>
              </w:rPr>
            </w:pPr>
            <w:r w:rsidRPr="00683FF0">
              <w:rPr>
                <w:color w:val="FFFFFF" w:themeColor="background1"/>
              </w:rPr>
              <w:t xml:space="preserve">Report </w:t>
            </w:r>
            <w:r w:rsidR="00015A3B" w:rsidRPr="00683FF0">
              <w:rPr>
                <w:color w:val="FFFFFF" w:themeColor="background1"/>
              </w:rPr>
              <w:t>r</w:t>
            </w:r>
            <w:r w:rsidRPr="00683FF0">
              <w:rPr>
                <w:color w:val="FFFFFF" w:themeColor="background1"/>
              </w:rPr>
              <w:t>ecommendation</w:t>
            </w:r>
          </w:p>
        </w:tc>
        <w:tc>
          <w:tcPr>
            <w:tcW w:w="4394" w:type="dxa"/>
            <w:tcBorders>
              <w:top w:val="single" w:sz="4" w:space="0" w:color="1B556B" w:themeColor="text2"/>
              <w:bottom w:val="nil"/>
            </w:tcBorders>
            <w:shd w:val="clear" w:color="auto" w:fill="1B556B" w:themeFill="text2"/>
            <w:vAlign w:val="center"/>
          </w:tcPr>
          <w:p w14:paraId="7DD10DA9" w14:textId="7C651F63" w:rsidR="00657CB6" w:rsidRPr="00683FF0" w:rsidRDefault="00657CB6" w:rsidP="001A066E">
            <w:pPr>
              <w:pStyle w:val="TableTextbold"/>
              <w:rPr>
                <w:color w:val="FFFFFF" w:themeColor="background1"/>
              </w:rPr>
            </w:pPr>
            <w:r w:rsidRPr="00683FF0">
              <w:rPr>
                <w:color w:val="FFFFFF" w:themeColor="background1"/>
              </w:rPr>
              <w:t xml:space="preserve">Government </w:t>
            </w:r>
            <w:r w:rsidR="00015A3B" w:rsidRPr="00683FF0">
              <w:rPr>
                <w:color w:val="FFFFFF" w:themeColor="background1"/>
              </w:rPr>
              <w:t>r</w:t>
            </w:r>
            <w:r w:rsidRPr="00683FF0">
              <w:rPr>
                <w:color w:val="FFFFFF" w:themeColor="background1"/>
              </w:rPr>
              <w:t>esponse</w:t>
            </w:r>
          </w:p>
        </w:tc>
      </w:tr>
      <w:tr w:rsidR="001A066E" w:rsidRPr="00683FF0" w14:paraId="147E07A4" w14:textId="77777777" w:rsidTr="007179A3">
        <w:tc>
          <w:tcPr>
            <w:tcW w:w="4111" w:type="dxa"/>
            <w:tcBorders>
              <w:top w:val="nil"/>
            </w:tcBorders>
            <w:shd w:val="clear" w:color="auto" w:fill="auto"/>
          </w:tcPr>
          <w:p w14:paraId="3C74D3DD" w14:textId="77777777" w:rsidR="001A066E" w:rsidRPr="00683FF0" w:rsidRDefault="001A066E" w:rsidP="001A066E">
            <w:pPr>
              <w:pStyle w:val="TableTextbold"/>
            </w:pPr>
            <w:r w:rsidRPr="00683FF0">
              <w:t>Recommendation 8 – Aligning central and local government efforts</w:t>
            </w:r>
          </w:p>
          <w:p w14:paraId="1676F3C8" w14:textId="3C88ABD4" w:rsidR="001A066E" w:rsidRPr="00683FF0" w:rsidRDefault="001A066E" w:rsidP="001A066E">
            <w:pPr>
              <w:pStyle w:val="TableText"/>
            </w:pPr>
            <w:r w:rsidRPr="00683FF0">
              <w:t>We recommend that the Government commit to:</w:t>
            </w:r>
          </w:p>
        </w:tc>
        <w:tc>
          <w:tcPr>
            <w:tcW w:w="4394" w:type="dxa"/>
            <w:vMerge w:val="restart"/>
            <w:tcBorders>
              <w:top w:val="nil"/>
            </w:tcBorders>
            <w:shd w:val="clear" w:color="auto" w:fill="auto"/>
          </w:tcPr>
          <w:p w14:paraId="30D649F5" w14:textId="77777777" w:rsidR="001A066E" w:rsidRPr="00683FF0" w:rsidRDefault="001A066E" w:rsidP="001A066E">
            <w:pPr>
              <w:pStyle w:val="TableText"/>
            </w:pPr>
            <w:r w:rsidRPr="00683FF0">
              <w:rPr>
                <w:rFonts w:eastAsia="Times New Roman" w:cstheme="minorHAnsi"/>
                <w:b/>
                <w:bCs/>
              </w:rPr>
              <w:t xml:space="preserve">8.1. The Government agrees in principle with this recommendation. </w:t>
            </w:r>
            <w:r w:rsidRPr="00683FF0">
              <w:t xml:space="preserve">This recommendation relates to several areas across the emissions reduction plan and relates to broader long-term systems changes. </w:t>
            </w:r>
          </w:p>
          <w:p w14:paraId="5B3FAACD" w14:textId="77777777" w:rsidR="001A066E" w:rsidRPr="00683FF0" w:rsidRDefault="001A066E" w:rsidP="001A066E">
            <w:pPr>
              <w:pStyle w:val="TableText"/>
            </w:pPr>
            <w:r w:rsidRPr="00683FF0">
              <w:t xml:space="preserve">The Government will: </w:t>
            </w:r>
          </w:p>
          <w:p w14:paraId="3488701C" w14:textId="03B28809" w:rsidR="001A066E" w:rsidRPr="00683FF0" w:rsidRDefault="001A066E" w:rsidP="00687F87">
            <w:pPr>
              <w:pStyle w:val="TableBullet"/>
              <w:spacing w:after="40"/>
            </w:pPr>
            <w:r w:rsidRPr="00683FF0">
              <w:t>integrate land use planning, urban development,</w:t>
            </w:r>
            <w:r w:rsidR="00C1630D" w:rsidRPr="00683FF0">
              <w:t xml:space="preserve"> </w:t>
            </w:r>
            <w:r w:rsidRPr="00683FF0">
              <w:t>and</w:t>
            </w:r>
            <w:r w:rsidR="00167937" w:rsidRPr="00683FF0">
              <w:t> </w:t>
            </w:r>
            <w:r w:rsidRPr="00683FF0">
              <w:t xml:space="preserve">transport planning and investments to reduce transport emissions </w:t>
            </w:r>
          </w:p>
          <w:p w14:paraId="7141C2C0" w14:textId="59D9AFEE" w:rsidR="001A066E" w:rsidRPr="00683FF0" w:rsidRDefault="001A066E" w:rsidP="00687F87">
            <w:pPr>
              <w:pStyle w:val="TableBullet"/>
              <w:spacing w:after="40"/>
            </w:pPr>
            <w:r w:rsidRPr="00683FF0">
              <w:t>continue to support emissions reductions and climate resilience via existing urban development and housing policies and work programmes, including Urban Growth Partnerships, Government Policy Statement on Housing and Urban Development, and Māori Housing Strategy MAIHI Ka</w:t>
            </w:r>
            <w:r w:rsidR="00167937" w:rsidRPr="00683FF0">
              <w:t> </w:t>
            </w:r>
            <w:r w:rsidRPr="00683FF0">
              <w:t>Ora</w:t>
            </w:r>
          </w:p>
          <w:p w14:paraId="02D94520" w14:textId="5896DFE8" w:rsidR="001A066E" w:rsidRPr="00683FF0" w:rsidRDefault="001A066E" w:rsidP="00687F87">
            <w:pPr>
              <w:pStyle w:val="TableBullet"/>
              <w:spacing w:after="40"/>
            </w:pPr>
            <w:r w:rsidRPr="00683FF0">
              <w:t>embed climate objectives into new land use planning legislation</w:t>
            </w:r>
            <w:r w:rsidR="00C1630D" w:rsidRPr="00683FF0">
              <w:t xml:space="preserve"> </w:t>
            </w:r>
            <w:r w:rsidRPr="00683FF0">
              <w:t>through resource management reforms</w:t>
            </w:r>
          </w:p>
          <w:p w14:paraId="643D9C63" w14:textId="77777777" w:rsidR="001A066E" w:rsidRPr="00683FF0" w:rsidRDefault="001A066E" w:rsidP="00687F87">
            <w:pPr>
              <w:pStyle w:val="TableBullet"/>
              <w:spacing w:after="40"/>
            </w:pPr>
            <w:r w:rsidRPr="00683FF0">
              <w:t>develop the new national planning framework after the Natural and Built Environment Act is enacted to give direction for regional spatial strategies and plans to be developed by new joint committees</w:t>
            </w:r>
          </w:p>
          <w:p w14:paraId="2AA571E9" w14:textId="77777777" w:rsidR="001A066E" w:rsidRPr="00683FF0" w:rsidRDefault="001A066E" w:rsidP="00687F87">
            <w:pPr>
              <w:pStyle w:val="TableBullet"/>
              <w:spacing w:after="40"/>
            </w:pPr>
            <w:r w:rsidRPr="00683FF0">
              <w:t xml:space="preserve">review existing and new national direction instruments for consistency with the policy intent of this emissions reduction plan </w:t>
            </w:r>
          </w:p>
          <w:p w14:paraId="280FD05D" w14:textId="62BB47F6" w:rsidR="001A066E" w:rsidRPr="00683FF0" w:rsidRDefault="001A066E" w:rsidP="00687F87">
            <w:pPr>
              <w:pStyle w:val="TableBullet"/>
              <w:spacing w:after="40"/>
            </w:pPr>
            <w:r w:rsidRPr="00683FF0">
              <w:t>respond in mid-2023 to the</w:t>
            </w:r>
            <w:r w:rsidR="00C1630D" w:rsidRPr="00683FF0">
              <w:t xml:space="preserve"> </w:t>
            </w:r>
            <w:r w:rsidRPr="00683FF0">
              <w:t>Future for Local Government Review</w:t>
            </w:r>
          </w:p>
          <w:p w14:paraId="01B935AA" w14:textId="77777777" w:rsidR="001A066E" w:rsidRPr="00683FF0" w:rsidRDefault="001A066E" w:rsidP="00687F87">
            <w:pPr>
              <w:pStyle w:val="TableBullet"/>
              <w:spacing w:after="40"/>
            </w:pPr>
            <w:r w:rsidRPr="00683FF0">
              <w:t xml:space="preserve">respond in late 2022 to Rautaki Hanganga o Aotearoa, the New Zealand Infrastructure Strategy, which identifies strategic priorities for low-emissions infrastructure </w:t>
            </w:r>
          </w:p>
          <w:p w14:paraId="394C5EE0" w14:textId="21701E26" w:rsidR="001A066E" w:rsidRPr="00683FF0" w:rsidRDefault="001A066E" w:rsidP="00687F87">
            <w:pPr>
              <w:pStyle w:val="TableBullet"/>
              <w:spacing w:after="40"/>
            </w:pPr>
            <w:r w:rsidRPr="00683FF0">
              <w:t>implement the Government Policy Statement on Land Transport (GPS-LT) 2021, which includes climate change as a priority, and begin development of the GPS-LT 2024</w:t>
            </w:r>
            <w:r w:rsidR="00C1630D" w:rsidRPr="00683FF0">
              <w:t xml:space="preserve"> </w:t>
            </w:r>
          </w:p>
          <w:p w14:paraId="41E07FFC" w14:textId="77777777" w:rsidR="001A066E" w:rsidRPr="00683FF0" w:rsidRDefault="001A066E" w:rsidP="001A066E">
            <w:pPr>
              <w:pStyle w:val="TableBullet"/>
            </w:pPr>
            <w:r w:rsidRPr="00683FF0">
              <w:t>As part of the annual cycle of updates to the Building Code, further changes will be progressed to support emissions reduction and improve efficiency</w:t>
            </w:r>
          </w:p>
          <w:p w14:paraId="5C9AB166" w14:textId="77777777" w:rsidR="001A066E" w:rsidRPr="00683FF0" w:rsidRDefault="001A066E" w:rsidP="00687F87">
            <w:pPr>
              <w:pStyle w:val="TableBullet"/>
              <w:spacing w:after="40"/>
            </w:pPr>
            <w:r w:rsidRPr="00683FF0">
              <w:lastRenderedPageBreak/>
              <w:t xml:space="preserve">develop the national adaptation plan, with relevant actions to be addressed later in 2022 </w:t>
            </w:r>
          </w:p>
          <w:p w14:paraId="35948181" w14:textId="175EBEE6" w:rsidR="001A066E" w:rsidRPr="00683FF0" w:rsidRDefault="001A066E" w:rsidP="00687F87">
            <w:pPr>
              <w:pStyle w:val="TableBullet"/>
              <w:spacing w:after="40"/>
            </w:pPr>
            <w:bookmarkStart w:id="16" w:name="_Hlk102109755"/>
            <w:r w:rsidRPr="00683FF0">
              <w:t xml:space="preserve">(chapter 7: Planning and infrastructure, actions </w:t>
            </w:r>
            <w:r w:rsidR="007179A3" w:rsidRPr="00683FF0">
              <w:br/>
            </w:r>
            <w:r w:rsidRPr="00683FF0">
              <w:t>7.1–7; chapter 10: Transport, actions 10.1.1, 10.1.2; chapter 15: Waste, actions 15.2.2, 15.3.2, 15.5.1</w:t>
            </w:r>
            <w:bookmarkEnd w:id="16"/>
            <w:r w:rsidRPr="00683FF0">
              <w:t>),</w:t>
            </w:r>
            <w:r w:rsidR="00C1630D" w:rsidRPr="00683FF0">
              <w:t xml:space="preserve"> </w:t>
            </w:r>
            <w:r w:rsidRPr="00683FF0">
              <w:t>(Building and Construction, actions 12.1.1, and 12.3.1).</w:t>
            </w:r>
          </w:p>
          <w:p w14:paraId="1D38F779" w14:textId="77777777" w:rsidR="001A066E" w:rsidRPr="00683FF0" w:rsidRDefault="001A066E" w:rsidP="00687F87">
            <w:pPr>
              <w:pStyle w:val="TableText"/>
              <w:spacing w:after="40"/>
            </w:pPr>
            <w:r w:rsidRPr="00683FF0">
              <w:rPr>
                <w:b/>
                <w:bCs/>
              </w:rPr>
              <w:t>Responsible agencies:</w:t>
            </w:r>
            <w:r w:rsidRPr="00683FF0">
              <w:t xml:space="preserve"> Ministry for the Environment, Ministry of Housing and Urban Development, Ministry of Transport, Treasury (Te Waihanga, Waka Kotahi, K</w:t>
            </w:r>
            <w:r w:rsidRPr="00683FF0">
              <w:rPr>
                <w:rFonts w:cstheme="minorHAnsi"/>
              </w:rPr>
              <w:t>ā</w:t>
            </w:r>
            <w:r w:rsidRPr="00683FF0">
              <w:t xml:space="preserve">inga Ora, Department of Internal Affairs, Ministry of Business, Innovation and Employment) </w:t>
            </w:r>
          </w:p>
          <w:p w14:paraId="2D7AACFB" w14:textId="77777777" w:rsidR="001A066E" w:rsidRPr="00683FF0" w:rsidRDefault="001A066E" w:rsidP="00687F87">
            <w:pPr>
              <w:pStyle w:val="TableText"/>
              <w:spacing w:before="0" w:after="40"/>
            </w:pPr>
            <w:r w:rsidRPr="00683FF0">
              <w:rPr>
                <w:b/>
                <w:bCs/>
              </w:rPr>
              <w:t>Responsible Ministers:</w:t>
            </w:r>
            <w:r w:rsidRPr="00683FF0">
              <w:t xml:space="preserve"> Ministers of Environment, Housing, Transport, Infrastructure</w:t>
            </w:r>
          </w:p>
          <w:p w14:paraId="6C730B1B" w14:textId="564AF2B9" w:rsidR="001A066E" w:rsidRPr="00683FF0" w:rsidRDefault="001A066E" w:rsidP="00687F87">
            <w:pPr>
              <w:pStyle w:val="TableText"/>
              <w:spacing w:before="0" w:after="40"/>
            </w:pPr>
            <w:r w:rsidRPr="00683FF0">
              <w:rPr>
                <w:b/>
                <w:bCs/>
              </w:rPr>
              <w:t>Timeline</w:t>
            </w:r>
            <w:r w:rsidRPr="00683FF0">
              <w:t>: 2022–25 (EB1) and</w:t>
            </w:r>
            <w:r w:rsidRPr="00683FF0" w:rsidDel="00982CAF">
              <w:t xml:space="preserve"> </w:t>
            </w:r>
            <w:r w:rsidRPr="00683FF0">
              <w:t>ongoing</w:t>
            </w:r>
          </w:p>
        </w:tc>
      </w:tr>
      <w:tr w:rsidR="001A066E" w:rsidRPr="00683FF0" w14:paraId="34D98551" w14:textId="77777777" w:rsidTr="007179A3">
        <w:tc>
          <w:tcPr>
            <w:tcW w:w="4111" w:type="dxa"/>
            <w:shd w:val="clear" w:color="auto" w:fill="FFFFFF" w:themeFill="background1"/>
          </w:tcPr>
          <w:p w14:paraId="41F7E9BB" w14:textId="4E722228" w:rsidR="001A066E" w:rsidRPr="00683FF0" w:rsidRDefault="001A066E" w:rsidP="001A066E">
            <w:pPr>
              <w:pStyle w:val="TableText"/>
              <w:spacing w:before="0"/>
            </w:pPr>
            <w:r w:rsidRPr="00683FF0">
              <w:t>8.1. Aligning policy and investments to enable local government to make effective decisions for climate change mitigation and adaptation. This should include aligning the Local Government Act, the Building Act and Code, the Resource Management Act (RMA), national direction under the RMA, proposed RMA reforms and the infrastructure plan.</w:t>
            </w:r>
          </w:p>
        </w:tc>
        <w:tc>
          <w:tcPr>
            <w:tcW w:w="4394" w:type="dxa"/>
            <w:vMerge/>
            <w:shd w:val="clear" w:color="auto" w:fill="FFFFFF" w:themeFill="background1"/>
          </w:tcPr>
          <w:p w14:paraId="5ECE8BE4" w14:textId="5E8A0F01" w:rsidR="001A066E" w:rsidRPr="00683FF0" w:rsidRDefault="001A066E" w:rsidP="00DC0160">
            <w:pPr>
              <w:spacing w:after="120"/>
              <w:rPr>
                <w:sz w:val="18"/>
                <w:szCs w:val="18"/>
              </w:rPr>
            </w:pPr>
          </w:p>
        </w:tc>
      </w:tr>
      <w:tr w:rsidR="00CD55EA" w:rsidRPr="00683FF0" w14:paraId="1FCA4A67" w14:textId="77777777" w:rsidTr="007179A3">
        <w:tc>
          <w:tcPr>
            <w:tcW w:w="4111" w:type="dxa"/>
            <w:shd w:val="clear" w:color="auto" w:fill="FFFFFF" w:themeFill="background1"/>
          </w:tcPr>
          <w:p w14:paraId="17DC45F3" w14:textId="0D385B82" w:rsidR="00CD55EA" w:rsidRPr="00683FF0" w:rsidRDefault="00CD55EA" w:rsidP="001A066E">
            <w:pPr>
              <w:pStyle w:val="TableText"/>
            </w:pPr>
            <w:r w:rsidRPr="00683FF0">
              <w:t>8.2. Implementing funding and financing mechanisms that provide adequate funding to enable local government to take action aligned with emissions reduction plans, and the implementation of climate adaptation plans.</w:t>
            </w:r>
          </w:p>
        </w:tc>
        <w:tc>
          <w:tcPr>
            <w:tcW w:w="4394" w:type="dxa"/>
            <w:shd w:val="clear" w:color="auto" w:fill="FFFFFF" w:themeFill="background1"/>
          </w:tcPr>
          <w:p w14:paraId="4197D111" w14:textId="07FF9FCF" w:rsidR="00077857" w:rsidRPr="00683FF0" w:rsidRDefault="00114EB5" w:rsidP="00687F87">
            <w:pPr>
              <w:pStyle w:val="TableText"/>
              <w:spacing w:after="40"/>
            </w:pPr>
            <w:r w:rsidRPr="00683FF0">
              <w:rPr>
                <w:rFonts w:eastAsia="Times New Roman"/>
                <w:b/>
              </w:rPr>
              <w:t xml:space="preserve">8.2. </w:t>
            </w:r>
            <w:r w:rsidR="00DC0160" w:rsidRPr="00683FF0">
              <w:rPr>
                <w:rFonts w:eastAsia="Times New Roman"/>
                <w:b/>
              </w:rPr>
              <w:t xml:space="preserve">The Government agrees in part with this recommendation. </w:t>
            </w:r>
            <w:r w:rsidR="00CD55EA" w:rsidRPr="00683FF0">
              <w:t xml:space="preserve">Local government currently has access to a range of funding tools that can help to fund climate action, including </w:t>
            </w:r>
            <w:r w:rsidR="5CF7387C" w:rsidRPr="00683FF0">
              <w:t xml:space="preserve">mechanisms enabled under the Infrastructure Funding and Financing Act and </w:t>
            </w:r>
            <w:r w:rsidR="00CD55EA" w:rsidRPr="00683FF0">
              <w:t>cost recovery tools set out under the Local Government Act</w:t>
            </w:r>
            <w:r w:rsidR="00077857" w:rsidRPr="00683FF0">
              <w:t xml:space="preserve"> 2002</w:t>
            </w:r>
            <w:r w:rsidR="00CD55EA" w:rsidRPr="00683FF0">
              <w:t xml:space="preserve"> and the Resource Management Act</w:t>
            </w:r>
            <w:r w:rsidR="00077857" w:rsidRPr="00683FF0">
              <w:t xml:space="preserve"> 1991</w:t>
            </w:r>
            <w:r w:rsidR="00CD55EA" w:rsidRPr="00683FF0">
              <w:t>.</w:t>
            </w:r>
            <w:r w:rsidR="00C1630D" w:rsidRPr="00683FF0">
              <w:t xml:space="preserve"> </w:t>
            </w:r>
          </w:p>
          <w:p w14:paraId="1778D989" w14:textId="236A5736" w:rsidR="00CD55EA" w:rsidRPr="00683FF0" w:rsidRDefault="00011791" w:rsidP="00687F87">
            <w:pPr>
              <w:pStyle w:val="TableText"/>
              <w:spacing w:after="40"/>
            </w:pPr>
            <w:r w:rsidRPr="00683FF0">
              <w:t xml:space="preserve">The </w:t>
            </w:r>
            <w:r w:rsidR="00CD55EA" w:rsidRPr="00683FF0">
              <w:t xml:space="preserve">Government will: </w:t>
            </w:r>
          </w:p>
          <w:p w14:paraId="79D105C4" w14:textId="39FDBEFD" w:rsidR="00CD55EA" w:rsidRPr="00683FF0" w:rsidRDefault="00301097" w:rsidP="00687F87">
            <w:pPr>
              <w:pStyle w:val="TableBullet"/>
              <w:spacing w:after="40"/>
            </w:pPr>
            <w:r w:rsidRPr="00683FF0">
              <w:t>c</w:t>
            </w:r>
            <w:r w:rsidR="00CD55EA" w:rsidRPr="00683FF0">
              <w:t>onsider funding to increase travel by public transport and active tra</w:t>
            </w:r>
            <w:r w:rsidR="00BD1136" w:rsidRPr="00683FF0">
              <w:t>nsport</w:t>
            </w:r>
            <w:r w:rsidR="00CD55EA" w:rsidRPr="00683FF0">
              <w:t xml:space="preserve"> modes</w:t>
            </w:r>
          </w:p>
          <w:p w14:paraId="1CF4B0BE" w14:textId="77777777" w:rsidR="00CD55EA" w:rsidRPr="00683FF0" w:rsidRDefault="00CD55EA" w:rsidP="00687F87">
            <w:pPr>
              <w:pStyle w:val="TableBullet"/>
              <w:spacing w:after="40"/>
            </w:pPr>
            <w:r w:rsidRPr="00683FF0">
              <w:t xml:space="preserve">respond in late 2022 to Rautaki Hanganga o Aotearoa, the New Zealand Infrastructure Strategy, which includes a principles-based approach to broadening funding and financing options for infrastructure </w:t>
            </w:r>
          </w:p>
          <w:p w14:paraId="761EDB76" w14:textId="174FFA74" w:rsidR="00CD55EA" w:rsidRPr="00683FF0" w:rsidRDefault="00CD55EA" w:rsidP="00687F87">
            <w:pPr>
              <w:pStyle w:val="TableBullet"/>
              <w:spacing w:after="40"/>
            </w:pPr>
            <w:r w:rsidRPr="00683FF0">
              <w:t>respond in mid-2023 to the</w:t>
            </w:r>
            <w:r w:rsidR="00C1630D" w:rsidRPr="00683FF0">
              <w:t xml:space="preserve"> </w:t>
            </w:r>
            <w:r w:rsidRPr="00683FF0">
              <w:t>Future for Local Government Review. The Review will consider the sufficiency of existing funding mechanisms for local government</w:t>
            </w:r>
          </w:p>
          <w:p w14:paraId="709271B8" w14:textId="4AD0BF8F" w:rsidR="00CD55EA" w:rsidRPr="00683FF0" w:rsidRDefault="00CD55EA" w:rsidP="00687F87">
            <w:pPr>
              <w:pStyle w:val="TableBullet"/>
              <w:spacing w:after="40"/>
            </w:pPr>
            <w:r w:rsidRPr="00683FF0">
              <w:t>investigate opportunities to refocus and align efforts to address the infrastructure funding, financing and delivery barriers that continue to constrain achievement of the Government’s long-term housing and urban development objectives</w:t>
            </w:r>
          </w:p>
          <w:p w14:paraId="3018E691" w14:textId="45519EE0" w:rsidR="00CD55EA" w:rsidRPr="00683FF0" w:rsidRDefault="00301097" w:rsidP="00687F87">
            <w:pPr>
              <w:pStyle w:val="TableBullet"/>
              <w:spacing w:after="40"/>
            </w:pPr>
            <w:r w:rsidRPr="00683FF0">
              <w:t>i</w:t>
            </w:r>
            <w:r w:rsidR="00CD55EA" w:rsidRPr="00683FF0">
              <w:t xml:space="preserve">nvestigate opportunities for economic instruments </w:t>
            </w:r>
            <w:r w:rsidR="00BD1136" w:rsidRPr="00683FF0">
              <w:t xml:space="preserve">that </w:t>
            </w:r>
            <w:r w:rsidR="00CD55EA" w:rsidRPr="00683FF0">
              <w:t xml:space="preserve">may support local government to achieve climate objectives in existing or future work programmes, including: </w:t>
            </w:r>
          </w:p>
          <w:p w14:paraId="2FFB7015" w14:textId="6748CD9E" w:rsidR="00CD55EA" w:rsidRPr="00683FF0" w:rsidRDefault="00BD1136" w:rsidP="00687F87">
            <w:pPr>
              <w:pStyle w:val="TableDash"/>
              <w:spacing w:after="40"/>
            </w:pPr>
            <w:r w:rsidRPr="00683FF0">
              <w:t>r</w:t>
            </w:r>
            <w:r w:rsidR="00CD55EA" w:rsidRPr="00683FF0">
              <w:t>esource management reform</w:t>
            </w:r>
          </w:p>
          <w:p w14:paraId="07EF4C81" w14:textId="6F0502DB" w:rsidR="00CD55EA" w:rsidRPr="00683FF0" w:rsidRDefault="00BD1136" w:rsidP="00687F87">
            <w:pPr>
              <w:pStyle w:val="TableDash"/>
              <w:spacing w:after="40"/>
            </w:pPr>
            <w:r w:rsidRPr="00683FF0">
              <w:t>t</w:t>
            </w:r>
            <w:r w:rsidR="00CD55EA" w:rsidRPr="00683FF0">
              <w:t>hree waters reform work on pricing tools</w:t>
            </w:r>
          </w:p>
          <w:p w14:paraId="2FA2093E" w14:textId="2E4B914F" w:rsidR="00CD55EA" w:rsidRPr="00683FF0" w:rsidRDefault="00BD1136" w:rsidP="00687F87">
            <w:pPr>
              <w:pStyle w:val="TableDash"/>
              <w:spacing w:after="40"/>
            </w:pPr>
            <w:r w:rsidRPr="00683FF0">
              <w:t>r</w:t>
            </w:r>
            <w:r w:rsidR="00CD55EA" w:rsidRPr="00683FF0">
              <w:t xml:space="preserve">eview of the transport revenue system </w:t>
            </w:r>
          </w:p>
          <w:p w14:paraId="4E0A111F" w14:textId="557C2658" w:rsidR="00CD55EA" w:rsidRPr="00683FF0" w:rsidRDefault="00BD1136" w:rsidP="00687F87">
            <w:pPr>
              <w:pStyle w:val="TableDash"/>
              <w:spacing w:after="40"/>
            </w:pPr>
            <w:r w:rsidRPr="00683FF0">
              <w:t>p</w:t>
            </w:r>
            <w:r w:rsidR="00CD55EA" w:rsidRPr="00683FF0">
              <w:t>roposed work on transport pricing</w:t>
            </w:r>
            <w:r w:rsidR="003F3862" w:rsidRPr="00683FF0">
              <w:t xml:space="preserve"> </w:t>
            </w:r>
          </w:p>
          <w:p w14:paraId="4514BF85" w14:textId="0B98F0C2" w:rsidR="00CD55EA" w:rsidRPr="00683FF0" w:rsidRDefault="00301097" w:rsidP="001A066E">
            <w:pPr>
              <w:pStyle w:val="TableBullet"/>
            </w:pPr>
            <w:r w:rsidRPr="00683FF0">
              <w:t>(</w:t>
            </w:r>
            <w:r w:rsidR="003F3862" w:rsidRPr="00683FF0">
              <w:t>c</w:t>
            </w:r>
            <w:r w:rsidR="000F7F83" w:rsidRPr="00683FF0">
              <w:t xml:space="preserve">hapter </w:t>
            </w:r>
            <w:r w:rsidR="007637EA" w:rsidRPr="00683FF0">
              <w:t>7</w:t>
            </w:r>
            <w:r w:rsidR="00343D48" w:rsidRPr="00683FF0">
              <w:t>:</w:t>
            </w:r>
            <w:r w:rsidR="007637EA" w:rsidRPr="00683FF0">
              <w:t xml:space="preserve"> </w:t>
            </w:r>
            <w:r w:rsidRPr="00683FF0">
              <w:t>Planning and infrastructure</w:t>
            </w:r>
            <w:r w:rsidR="00343D48" w:rsidRPr="00683FF0">
              <w:t>,</w:t>
            </w:r>
            <w:r w:rsidRPr="00683FF0">
              <w:t xml:space="preserve"> </w:t>
            </w:r>
            <w:r w:rsidR="00343D48" w:rsidRPr="00683FF0">
              <w:t>a</w:t>
            </w:r>
            <w:r w:rsidRPr="00683FF0">
              <w:t xml:space="preserve">ctions </w:t>
            </w:r>
            <w:r w:rsidR="00687F87" w:rsidRPr="00683FF0">
              <w:br/>
            </w:r>
            <w:r w:rsidR="00F005F7" w:rsidRPr="00683FF0">
              <w:t>7.1</w:t>
            </w:r>
            <w:r w:rsidR="005B55CB" w:rsidRPr="00683FF0">
              <w:t>–</w:t>
            </w:r>
            <w:r w:rsidR="004C5359" w:rsidRPr="00683FF0">
              <w:t>7.</w:t>
            </w:r>
            <w:r w:rsidRPr="00683FF0">
              <w:t>7</w:t>
            </w:r>
            <w:r w:rsidR="005B55CB" w:rsidRPr="00683FF0">
              <w:t xml:space="preserve">; </w:t>
            </w:r>
            <w:r w:rsidR="00656FB6" w:rsidRPr="00683FF0">
              <w:t>c</w:t>
            </w:r>
            <w:r w:rsidR="000F7F83" w:rsidRPr="00683FF0">
              <w:t>hapter 1</w:t>
            </w:r>
            <w:r w:rsidR="00417E2A" w:rsidRPr="00683FF0">
              <w:t>0</w:t>
            </w:r>
            <w:r w:rsidR="00343D48" w:rsidRPr="00683FF0">
              <w:t>:</w:t>
            </w:r>
            <w:r w:rsidR="000F7F83" w:rsidRPr="00683FF0">
              <w:t xml:space="preserve"> </w:t>
            </w:r>
            <w:r w:rsidRPr="00683FF0">
              <w:t>Transport</w:t>
            </w:r>
            <w:r w:rsidR="00343D48" w:rsidRPr="00683FF0">
              <w:t>,</w:t>
            </w:r>
            <w:r w:rsidRPr="00683FF0">
              <w:t xml:space="preserve"> </w:t>
            </w:r>
            <w:r w:rsidR="00343D48" w:rsidRPr="00683FF0">
              <w:t>a</w:t>
            </w:r>
            <w:r w:rsidRPr="00683FF0">
              <w:t xml:space="preserve">ctions </w:t>
            </w:r>
            <w:r w:rsidR="00312160" w:rsidRPr="00683FF0">
              <w:t>10.</w:t>
            </w:r>
            <w:r w:rsidRPr="00683FF0">
              <w:t>1.2</w:t>
            </w:r>
            <w:r w:rsidR="00A7150A" w:rsidRPr="00683FF0">
              <w:t>,</w:t>
            </w:r>
            <w:r w:rsidRPr="00683FF0">
              <w:t xml:space="preserve"> </w:t>
            </w:r>
            <w:r w:rsidR="00312160" w:rsidRPr="00683FF0">
              <w:t>10.</w:t>
            </w:r>
            <w:r w:rsidRPr="00683FF0">
              <w:t>1.3)</w:t>
            </w:r>
            <w:r w:rsidR="003F3862" w:rsidRPr="00683FF0">
              <w:t>.</w:t>
            </w:r>
            <w:r w:rsidRPr="00683FF0">
              <w:t xml:space="preserve"> </w:t>
            </w:r>
          </w:p>
          <w:p w14:paraId="269E0C87" w14:textId="62FC492C" w:rsidR="00CD55EA" w:rsidRPr="00683FF0" w:rsidRDefault="00CD55EA" w:rsidP="001A066E">
            <w:pPr>
              <w:pStyle w:val="TableText"/>
            </w:pPr>
            <w:r w:rsidRPr="00683FF0">
              <w:rPr>
                <w:b/>
                <w:bCs/>
              </w:rPr>
              <w:t>Responsible agenc</w:t>
            </w:r>
            <w:r w:rsidR="00D11096" w:rsidRPr="00683FF0">
              <w:rPr>
                <w:b/>
                <w:bCs/>
              </w:rPr>
              <w:t>ies</w:t>
            </w:r>
            <w:r w:rsidRPr="00683FF0">
              <w:rPr>
                <w:b/>
                <w:bCs/>
              </w:rPr>
              <w:t>:</w:t>
            </w:r>
            <w:r w:rsidRPr="00683FF0">
              <w:t xml:space="preserve"> Ministry for the Environment, </w:t>
            </w:r>
            <w:r w:rsidR="00F73E87" w:rsidRPr="00683FF0">
              <w:t>Ministry of Housing and Urban Development</w:t>
            </w:r>
            <w:r w:rsidRPr="00683FF0">
              <w:t xml:space="preserve">, </w:t>
            </w:r>
            <w:r w:rsidR="00F73E87" w:rsidRPr="00683FF0">
              <w:t>Ministry of Transport</w:t>
            </w:r>
            <w:r w:rsidR="00942D42" w:rsidRPr="00683FF0">
              <w:t>,</w:t>
            </w:r>
            <w:r w:rsidRPr="00683FF0">
              <w:t xml:space="preserve"> Treasury </w:t>
            </w:r>
            <w:r w:rsidR="663A2299" w:rsidRPr="00683FF0">
              <w:t xml:space="preserve">(Waka Kotahi, Kāinga Ora, </w:t>
            </w:r>
            <w:r w:rsidR="00F73E87" w:rsidRPr="00683FF0">
              <w:t>Department of Internal Affairs</w:t>
            </w:r>
            <w:r w:rsidR="663A2299" w:rsidRPr="00683FF0">
              <w:t>)</w:t>
            </w:r>
          </w:p>
          <w:p w14:paraId="18535D54" w14:textId="4FC63971" w:rsidR="00CD55EA" w:rsidRPr="00683FF0" w:rsidRDefault="56B9A3CA" w:rsidP="00687F87">
            <w:pPr>
              <w:pStyle w:val="TableText"/>
              <w:spacing w:after="40"/>
            </w:pPr>
            <w:r w:rsidRPr="00683FF0">
              <w:rPr>
                <w:b/>
                <w:bCs/>
              </w:rPr>
              <w:lastRenderedPageBreak/>
              <w:t>Responsible Minister</w:t>
            </w:r>
            <w:r w:rsidR="43E19261" w:rsidRPr="00683FF0">
              <w:rPr>
                <w:b/>
                <w:bCs/>
              </w:rPr>
              <w:t>s</w:t>
            </w:r>
            <w:r w:rsidRPr="00683FF0">
              <w:rPr>
                <w:b/>
                <w:bCs/>
              </w:rPr>
              <w:t>:</w:t>
            </w:r>
            <w:r w:rsidRPr="00683FF0">
              <w:t xml:space="preserve"> Minister</w:t>
            </w:r>
            <w:r w:rsidR="7428C40A" w:rsidRPr="00683FF0">
              <w:t>s of</w:t>
            </w:r>
            <w:r w:rsidRPr="00683FF0">
              <w:t xml:space="preserve"> </w:t>
            </w:r>
            <w:r w:rsidR="062C1616" w:rsidRPr="00683FF0">
              <w:t>Environment</w:t>
            </w:r>
            <w:r w:rsidR="7428C40A" w:rsidRPr="00683FF0">
              <w:t xml:space="preserve">, Housing, </w:t>
            </w:r>
            <w:r w:rsidRPr="00683FF0">
              <w:t>Transport</w:t>
            </w:r>
            <w:r w:rsidR="009446D5" w:rsidRPr="00683FF0">
              <w:t>,</w:t>
            </w:r>
            <w:r w:rsidR="004C095F" w:rsidRPr="00683FF0">
              <w:t xml:space="preserve"> </w:t>
            </w:r>
            <w:r w:rsidR="062C1616" w:rsidRPr="00683FF0">
              <w:t>Infrastructure</w:t>
            </w:r>
            <w:r w:rsidR="00C1630D" w:rsidRPr="00683FF0">
              <w:t xml:space="preserve"> </w:t>
            </w:r>
          </w:p>
          <w:p w14:paraId="787446BA" w14:textId="218856FB" w:rsidR="00CD55EA" w:rsidRPr="00683FF0" w:rsidRDefault="00CD55EA" w:rsidP="001A066E">
            <w:pPr>
              <w:pStyle w:val="TableText"/>
              <w:rPr>
                <w:szCs w:val="18"/>
              </w:rPr>
            </w:pPr>
            <w:r w:rsidRPr="00683FF0">
              <w:rPr>
                <w:b/>
                <w:bCs/>
              </w:rPr>
              <w:t>Timeline</w:t>
            </w:r>
            <w:r w:rsidRPr="00683FF0">
              <w:t>: 2022</w:t>
            </w:r>
            <w:r w:rsidR="005B55CB" w:rsidRPr="00683FF0">
              <w:t>–</w:t>
            </w:r>
            <w:r w:rsidRPr="00683FF0">
              <w:t>25 (EB1) and</w:t>
            </w:r>
            <w:r w:rsidRPr="00683FF0" w:rsidDel="00982CAF">
              <w:t xml:space="preserve"> </w:t>
            </w:r>
            <w:r w:rsidRPr="00683FF0">
              <w:t>ongoing</w:t>
            </w:r>
          </w:p>
        </w:tc>
      </w:tr>
    </w:tbl>
    <w:p w14:paraId="78E0C0F4" w14:textId="42A610B4" w:rsidR="00657CB6" w:rsidRPr="00683FF0" w:rsidRDefault="00657CB6" w:rsidP="001A066E">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106"/>
        <w:gridCol w:w="4399"/>
      </w:tblGrid>
      <w:tr w:rsidR="007179A3" w:rsidRPr="00683FF0" w14:paraId="79276E6C" w14:textId="77777777" w:rsidTr="007179A3">
        <w:trPr>
          <w:trHeight w:val="330"/>
        </w:trPr>
        <w:tc>
          <w:tcPr>
            <w:tcW w:w="4106" w:type="dxa"/>
            <w:shd w:val="clear" w:color="auto" w:fill="1B556B" w:themeFill="text2"/>
            <w:vAlign w:val="center"/>
          </w:tcPr>
          <w:p w14:paraId="7A97DC1B" w14:textId="5D8AA6BE" w:rsidR="00657CB6" w:rsidRPr="00683FF0" w:rsidRDefault="00657CB6" w:rsidP="007179A3">
            <w:pPr>
              <w:pStyle w:val="TableTextbold"/>
              <w:rPr>
                <w:color w:val="FFFFFF" w:themeColor="background1"/>
              </w:rPr>
            </w:pPr>
            <w:r w:rsidRPr="00683FF0">
              <w:rPr>
                <w:color w:val="FFFFFF" w:themeColor="background1"/>
              </w:rPr>
              <w:t xml:space="preserve">Report </w:t>
            </w:r>
            <w:r w:rsidR="005B55CB" w:rsidRPr="00683FF0">
              <w:rPr>
                <w:color w:val="FFFFFF" w:themeColor="background1"/>
              </w:rPr>
              <w:t>r</w:t>
            </w:r>
            <w:r w:rsidRPr="00683FF0">
              <w:rPr>
                <w:color w:val="FFFFFF" w:themeColor="background1"/>
              </w:rPr>
              <w:t>ecommendation</w:t>
            </w:r>
          </w:p>
        </w:tc>
        <w:tc>
          <w:tcPr>
            <w:tcW w:w="4399" w:type="dxa"/>
            <w:shd w:val="clear" w:color="auto" w:fill="1B556B" w:themeFill="text2"/>
            <w:vAlign w:val="center"/>
          </w:tcPr>
          <w:p w14:paraId="2EE3EDD2" w14:textId="2B2BAC8E" w:rsidR="00657CB6" w:rsidRPr="00683FF0" w:rsidRDefault="00657CB6" w:rsidP="007179A3">
            <w:pPr>
              <w:pStyle w:val="TableTextbold"/>
              <w:rPr>
                <w:color w:val="FFFFFF" w:themeColor="background1"/>
              </w:rPr>
            </w:pPr>
            <w:r w:rsidRPr="00683FF0">
              <w:rPr>
                <w:color w:val="FFFFFF" w:themeColor="background1"/>
              </w:rPr>
              <w:t xml:space="preserve">Government </w:t>
            </w:r>
            <w:r w:rsidR="005B55CB" w:rsidRPr="00683FF0">
              <w:rPr>
                <w:color w:val="FFFFFF" w:themeColor="background1"/>
              </w:rPr>
              <w:t>r</w:t>
            </w:r>
            <w:r w:rsidRPr="00683FF0">
              <w:rPr>
                <w:color w:val="FFFFFF" w:themeColor="background1"/>
              </w:rPr>
              <w:t>esponse</w:t>
            </w:r>
          </w:p>
        </w:tc>
      </w:tr>
      <w:tr w:rsidR="00657CB6" w:rsidRPr="00683FF0" w14:paraId="68FAA3FB" w14:textId="77777777" w:rsidTr="00687F87">
        <w:tc>
          <w:tcPr>
            <w:tcW w:w="4106" w:type="dxa"/>
            <w:shd w:val="clear" w:color="auto" w:fill="D2DDE1" w:themeFill="background2"/>
            <w:tcMar>
              <w:right w:w="57" w:type="dxa"/>
            </w:tcMar>
          </w:tcPr>
          <w:p w14:paraId="78C41CF7" w14:textId="6B32BA98" w:rsidR="00657CB6" w:rsidRPr="00683FF0" w:rsidRDefault="00657CB6" w:rsidP="007179A3">
            <w:pPr>
              <w:pStyle w:val="TableTextbold"/>
            </w:pPr>
            <w:r w:rsidRPr="00683FF0">
              <w:t xml:space="preserve">Recommendation 8 – Provisional progress indicators </w:t>
            </w:r>
          </w:p>
        </w:tc>
        <w:tc>
          <w:tcPr>
            <w:tcW w:w="4399" w:type="dxa"/>
            <w:shd w:val="clear" w:color="auto" w:fill="D2DDE1" w:themeFill="background2"/>
          </w:tcPr>
          <w:p w14:paraId="16983A20" w14:textId="77777777" w:rsidR="00657CB6" w:rsidRPr="00683FF0" w:rsidRDefault="00657CB6" w:rsidP="00AC3040">
            <w:pPr>
              <w:rPr>
                <w:sz w:val="18"/>
                <w:szCs w:val="18"/>
              </w:rPr>
            </w:pPr>
          </w:p>
        </w:tc>
      </w:tr>
      <w:tr w:rsidR="00657CB6" w:rsidRPr="00683FF0" w14:paraId="33FB5448" w14:textId="77777777" w:rsidTr="007179A3">
        <w:tc>
          <w:tcPr>
            <w:tcW w:w="4106" w:type="dxa"/>
          </w:tcPr>
          <w:p w14:paraId="7271C386" w14:textId="6EFBD3BA" w:rsidR="00657CB6" w:rsidRPr="00683FF0" w:rsidRDefault="00657CB6" w:rsidP="007179A3">
            <w:pPr>
              <w:pStyle w:val="TableText"/>
            </w:pPr>
            <w:r w:rsidRPr="00683FF0">
              <w:t>8.1. Government to have, by 30 June 2022, published an agreement that sets out the mechanism for achieving the necessary alignment between central and local government.</w:t>
            </w:r>
          </w:p>
        </w:tc>
        <w:tc>
          <w:tcPr>
            <w:tcW w:w="4399" w:type="dxa"/>
          </w:tcPr>
          <w:p w14:paraId="1166E8BD" w14:textId="309486A9" w:rsidR="00C35B84" w:rsidRPr="00683FF0" w:rsidRDefault="00114EB5" w:rsidP="007179A3">
            <w:pPr>
              <w:pStyle w:val="TableText"/>
            </w:pPr>
            <w:r w:rsidRPr="00683FF0">
              <w:rPr>
                <w:rFonts w:eastAsia="Times New Roman"/>
                <w:b/>
                <w:bCs/>
              </w:rPr>
              <w:t xml:space="preserve">8.1. </w:t>
            </w:r>
            <w:r w:rsidR="00DC0160" w:rsidRPr="00683FF0">
              <w:rPr>
                <w:rFonts w:eastAsia="Times New Roman"/>
                <w:b/>
                <w:bCs/>
              </w:rPr>
              <w:t xml:space="preserve">The Government agrees in </w:t>
            </w:r>
            <w:r w:rsidR="7C522F4D" w:rsidRPr="00683FF0">
              <w:rPr>
                <w:rFonts w:eastAsia="Times New Roman"/>
                <w:b/>
                <w:bCs/>
              </w:rPr>
              <w:t>part</w:t>
            </w:r>
            <w:r w:rsidR="00DC0160" w:rsidRPr="00683FF0">
              <w:rPr>
                <w:rFonts w:eastAsia="Times New Roman"/>
                <w:b/>
                <w:bCs/>
              </w:rPr>
              <w:t xml:space="preserve"> with this provisional progress indicator.</w:t>
            </w:r>
            <w:r w:rsidR="00DC0160" w:rsidRPr="00683FF0">
              <w:rPr>
                <w:rFonts w:eastAsia="Times New Roman"/>
              </w:rPr>
              <w:t xml:space="preserve"> </w:t>
            </w:r>
            <w:r w:rsidR="00517ABD" w:rsidRPr="00683FF0">
              <w:rPr>
                <w:rFonts w:eastAsia="Times New Roman"/>
              </w:rPr>
              <w:t>So</w:t>
            </w:r>
            <w:r w:rsidR="00517ABD" w:rsidRPr="00683FF0">
              <w:rPr>
                <w:rFonts w:eastAsia="Times New Roman"/>
                <w:b/>
                <w:bCs/>
              </w:rPr>
              <w:t xml:space="preserve"> </w:t>
            </w:r>
            <w:r w:rsidR="00B67651" w:rsidRPr="00683FF0">
              <w:t>as not to</w:t>
            </w:r>
            <w:r w:rsidR="301073FE" w:rsidRPr="00683FF0">
              <w:t xml:space="preserve"> pre-emp</w:t>
            </w:r>
            <w:r w:rsidR="00B67651" w:rsidRPr="00683FF0">
              <w:t>t</w:t>
            </w:r>
            <w:r w:rsidR="301073FE" w:rsidRPr="00683FF0">
              <w:t xml:space="preserve"> future policy decisions, or the outcome of </w:t>
            </w:r>
            <w:r w:rsidR="1FAF64F8" w:rsidRPr="00683FF0">
              <w:t>public consultation and engagement,</w:t>
            </w:r>
            <w:r w:rsidR="301073FE" w:rsidRPr="00683FF0">
              <w:t xml:space="preserve"> </w:t>
            </w:r>
            <w:r w:rsidR="00C35B84" w:rsidRPr="00683FF0">
              <w:t xml:space="preserve">the Government will signal institutional arrangements for alignment between central and local government </w:t>
            </w:r>
            <w:r w:rsidR="27E9B25B" w:rsidRPr="00683FF0">
              <w:t>after</w:t>
            </w:r>
            <w:r w:rsidR="36D0D86D" w:rsidRPr="00683FF0">
              <w:t xml:space="preserve"> central </w:t>
            </w:r>
            <w:r w:rsidR="003A010C" w:rsidRPr="00683FF0">
              <w:t>g</w:t>
            </w:r>
            <w:r w:rsidR="36D0D86D" w:rsidRPr="00683FF0">
              <w:t>overnment has undertaken further work on</w:t>
            </w:r>
            <w:r w:rsidR="00C35B84" w:rsidRPr="00683FF0">
              <w:t xml:space="preserve"> existing and upcoming work programmes (</w:t>
            </w:r>
            <w:r w:rsidR="003A010C" w:rsidRPr="00683FF0">
              <w:t xml:space="preserve">as </w:t>
            </w:r>
            <w:r w:rsidR="00C35B84" w:rsidRPr="00683FF0">
              <w:t xml:space="preserve">listed </w:t>
            </w:r>
            <w:r w:rsidR="6B7CD5DA" w:rsidRPr="00683FF0">
              <w:t xml:space="preserve">in </w:t>
            </w:r>
            <w:r w:rsidR="005C6B06" w:rsidRPr="00683FF0">
              <w:t xml:space="preserve">the </w:t>
            </w:r>
            <w:r w:rsidR="003A010C" w:rsidRPr="00683FF0">
              <w:t>r</w:t>
            </w:r>
            <w:r w:rsidR="6B7CD5DA" w:rsidRPr="00683FF0">
              <w:t>esponse to recommendation 8.1 above).</w:t>
            </w:r>
          </w:p>
        </w:tc>
      </w:tr>
      <w:tr w:rsidR="00657CB6" w:rsidRPr="00683FF0" w14:paraId="486BCAE9" w14:textId="77777777" w:rsidTr="007179A3">
        <w:tc>
          <w:tcPr>
            <w:tcW w:w="4106" w:type="dxa"/>
          </w:tcPr>
          <w:p w14:paraId="4BDD1BC8" w14:textId="1575D4B8" w:rsidR="00657CB6" w:rsidRPr="00683FF0" w:rsidRDefault="00657CB6" w:rsidP="007179A3">
            <w:pPr>
              <w:pStyle w:val="TableText"/>
            </w:pPr>
            <w:r w:rsidRPr="00683FF0">
              <w:t>8.2. Government to have published a work plan by 31 December 2022, outlining how alignment and funding will be addressed, and the milestones for achieving this plan</w:t>
            </w:r>
            <w:r w:rsidR="003A010C" w:rsidRPr="00683FF0">
              <w:t>.</w:t>
            </w:r>
          </w:p>
        </w:tc>
        <w:tc>
          <w:tcPr>
            <w:tcW w:w="4399" w:type="dxa"/>
          </w:tcPr>
          <w:p w14:paraId="7C7FA863" w14:textId="00733C2C" w:rsidR="00C35B84" w:rsidRPr="00683FF0" w:rsidRDefault="7EF4FF03" w:rsidP="007179A3">
            <w:pPr>
              <w:pStyle w:val="TableText"/>
            </w:pPr>
            <w:r w:rsidRPr="00683FF0">
              <w:rPr>
                <w:rFonts w:eastAsia="Times New Roman"/>
                <w:b/>
                <w:bCs/>
              </w:rPr>
              <w:t xml:space="preserve">8.2. </w:t>
            </w:r>
            <w:r w:rsidR="7428C40A" w:rsidRPr="00683FF0">
              <w:rPr>
                <w:rFonts w:eastAsia="Times New Roman"/>
                <w:b/>
                <w:bCs/>
              </w:rPr>
              <w:t xml:space="preserve">The Government agrees in </w:t>
            </w:r>
            <w:r w:rsidR="28D6E500" w:rsidRPr="00683FF0">
              <w:rPr>
                <w:rFonts w:eastAsia="Times New Roman"/>
                <w:b/>
                <w:bCs/>
              </w:rPr>
              <w:t>part</w:t>
            </w:r>
            <w:r w:rsidR="7428C40A" w:rsidRPr="00683FF0">
              <w:rPr>
                <w:rFonts w:eastAsia="Times New Roman"/>
                <w:b/>
                <w:bCs/>
              </w:rPr>
              <w:t xml:space="preserve"> with this provisional progress indicator. </w:t>
            </w:r>
            <w:r w:rsidR="328507D3" w:rsidRPr="00683FF0">
              <w:t>The Government is undertaking a series of actions in response to recommendation 8.2</w:t>
            </w:r>
            <w:r w:rsidR="7EC15C08" w:rsidRPr="00683FF0">
              <w:t xml:space="preserve"> (</w:t>
            </w:r>
            <w:r w:rsidR="003A010C" w:rsidRPr="00683FF0">
              <w:t xml:space="preserve">as </w:t>
            </w:r>
            <w:r w:rsidR="7EC15C08" w:rsidRPr="00683FF0">
              <w:t>listed</w:t>
            </w:r>
            <w:r w:rsidR="003A010C" w:rsidRPr="00683FF0">
              <w:t xml:space="preserve"> in </w:t>
            </w:r>
            <w:r w:rsidR="0075201E" w:rsidRPr="00683FF0">
              <w:t xml:space="preserve">the </w:t>
            </w:r>
            <w:r w:rsidR="003A010C" w:rsidRPr="00683FF0">
              <w:t>response</w:t>
            </w:r>
            <w:r w:rsidR="7EC15C08" w:rsidRPr="00683FF0">
              <w:t xml:space="preserve"> above</w:t>
            </w:r>
            <w:r w:rsidR="6427C8BE" w:rsidRPr="00683FF0">
              <w:t xml:space="preserve">). </w:t>
            </w:r>
            <w:r w:rsidR="003A010C" w:rsidRPr="00683FF0">
              <w:t xml:space="preserve">To avoid </w:t>
            </w:r>
            <w:r w:rsidR="07FC9F56" w:rsidRPr="00683FF0">
              <w:t>pre-empt</w:t>
            </w:r>
            <w:r w:rsidR="003A010C" w:rsidRPr="00683FF0">
              <w:t>ing</w:t>
            </w:r>
            <w:r w:rsidR="07FC9F56" w:rsidRPr="00683FF0">
              <w:t xml:space="preserve"> future policy decisions, or the outcome of public consultation and engagement, </w:t>
            </w:r>
            <w:r w:rsidR="0075201E" w:rsidRPr="00683FF0">
              <w:t xml:space="preserve">the </w:t>
            </w:r>
            <w:r w:rsidR="0BB2F7E6" w:rsidRPr="00683FF0">
              <w:t>Government will not publish a work plan in the timeframe recommended by the Commission. Instead, r</w:t>
            </w:r>
            <w:r w:rsidR="328507D3" w:rsidRPr="00683FF0">
              <w:t xml:space="preserve">egular reporting against the </w:t>
            </w:r>
            <w:r w:rsidR="0BB2F7E6" w:rsidRPr="00683FF0">
              <w:t xml:space="preserve">actions set out in </w:t>
            </w:r>
            <w:r w:rsidR="603100C9" w:rsidRPr="00683FF0">
              <w:t xml:space="preserve">the </w:t>
            </w:r>
            <w:r w:rsidR="00FD74DA" w:rsidRPr="00683FF0">
              <w:t>emissions reduction plan</w:t>
            </w:r>
            <w:r w:rsidR="328507D3" w:rsidRPr="00683FF0">
              <w:t xml:space="preserve"> </w:t>
            </w:r>
            <w:r w:rsidR="2FB2042D" w:rsidRPr="00683FF0">
              <w:t xml:space="preserve">will </w:t>
            </w:r>
            <w:r w:rsidR="328507D3" w:rsidRPr="00683FF0">
              <w:t>help establish milestones</w:t>
            </w:r>
            <w:r w:rsidR="0BB2F7E6" w:rsidRPr="00683FF0">
              <w:t xml:space="preserve"> and direct future work planning.</w:t>
            </w:r>
            <w:r w:rsidR="00C44B1E" w:rsidRPr="00683FF0">
              <w:t xml:space="preserve"> </w:t>
            </w:r>
          </w:p>
        </w:tc>
      </w:tr>
      <w:tr w:rsidR="4533B24F" w:rsidRPr="00683FF0" w14:paraId="3AFD0894" w14:textId="77777777" w:rsidTr="007179A3">
        <w:tc>
          <w:tcPr>
            <w:tcW w:w="4106" w:type="dxa"/>
          </w:tcPr>
          <w:p w14:paraId="33738FCB" w14:textId="5E2C19AF" w:rsidR="4533B24F" w:rsidRPr="00683FF0" w:rsidRDefault="4533B24F" w:rsidP="007179A3">
            <w:pPr>
              <w:pStyle w:val="TableText"/>
            </w:pPr>
          </w:p>
        </w:tc>
        <w:tc>
          <w:tcPr>
            <w:tcW w:w="4399" w:type="dxa"/>
          </w:tcPr>
          <w:p w14:paraId="275E474F" w14:textId="2DDD9A47" w:rsidR="28852C49" w:rsidRPr="00683FF0" w:rsidRDefault="28852C49" w:rsidP="007179A3">
            <w:pPr>
              <w:pStyle w:val="TableText"/>
            </w:pPr>
            <w:r w:rsidRPr="00683FF0">
              <w:rPr>
                <w:b/>
                <w:bCs/>
              </w:rPr>
              <w:t>Responsible agenc</w:t>
            </w:r>
            <w:r w:rsidR="6F3C8C2A" w:rsidRPr="00683FF0">
              <w:rPr>
                <w:b/>
                <w:bCs/>
              </w:rPr>
              <w:t>ies</w:t>
            </w:r>
            <w:r w:rsidRPr="00683FF0">
              <w:rPr>
                <w:b/>
                <w:bCs/>
              </w:rPr>
              <w:t>:</w:t>
            </w:r>
            <w:r w:rsidRPr="00683FF0">
              <w:t xml:space="preserve"> Ministry for the Environment, </w:t>
            </w:r>
            <w:r w:rsidR="00F41112" w:rsidRPr="00683FF0">
              <w:t>Ministry of Housing and Urban Development</w:t>
            </w:r>
            <w:r w:rsidRPr="00683FF0">
              <w:t xml:space="preserve">, </w:t>
            </w:r>
            <w:r w:rsidR="00F41112" w:rsidRPr="00683FF0">
              <w:t>Ministry of Transport</w:t>
            </w:r>
            <w:r w:rsidR="09835BBE" w:rsidRPr="00683FF0">
              <w:t xml:space="preserve">, </w:t>
            </w:r>
            <w:r w:rsidRPr="00683FF0">
              <w:t>Treasury</w:t>
            </w:r>
            <w:r w:rsidR="3B02E4FF" w:rsidRPr="00683FF0">
              <w:t xml:space="preserve"> </w:t>
            </w:r>
            <w:r w:rsidR="7172D34F" w:rsidRPr="00683FF0">
              <w:t>(</w:t>
            </w:r>
            <w:r w:rsidR="09835BBE" w:rsidRPr="00683FF0" w:rsidDel="008B7216">
              <w:t>Te Waihanga</w:t>
            </w:r>
            <w:r w:rsidR="5EC71F50" w:rsidRPr="00683FF0">
              <w:t xml:space="preserve"> (8.1)</w:t>
            </w:r>
            <w:r w:rsidR="0FA44725" w:rsidRPr="00683FF0">
              <w:t>,</w:t>
            </w:r>
            <w:r w:rsidR="649124DD" w:rsidRPr="00683FF0" w:rsidDel="008B7216">
              <w:t xml:space="preserve"> </w:t>
            </w:r>
            <w:r w:rsidR="0B32F7AF" w:rsidRPr="00683FF0">
              <w:t xml:space="preserve">Waka Kotahi, Kāinga Ora, </w:t>
            </w:r>
            <w:r w:rsidR="00F41112" w:rsidRPr="00683FF0">
              <w:t>Department of Internal Affairs</w:t>
            </w:r>
            <w:r w:rsidR="0B32F7AF" w:rsidRPr="00683FF0">
              <w:t>, M</w:t>
            </w:r>
            <w:r w:rsidR="00F41112" w:rsidRPr="00683FF0">
              <w:t xml:space="preserve">inistry of Business, Innovation </w:t>
            </w:r>
            <w:r w:rsidR="00591D68" w:rsidRPr="00683FF0">
              <w:t>and</w:t>
            </w:r>
            <w:r w:rsidR="00F41112" w:rsidRPr="00683FF0">
              <w:t xml:space="preserve"> Employment</w:t>
            </w:r>
            <w:r w:rsidR="1BC7F559" w:rsidRPr="00683FF0">
              <w:t xml:space="preserve"> (8.1)</w:t>
            </w:r>
            <w:r w:rsidR="1D7D5D69" w:rsidRPr="00683FF0">
              <w:t>)</w:t>
            </w:r>
          </w:p>
          <w:p w14:paraId="5B048542" w14:textId="31864406" w:rsidR="28852C49" w:rsidRPr="00683FF0" w:rsidRDefault="28852C49" w:rsidP="00687F87">
            <w:pPr>
              <w:pStyle w:val="TableText"/>
              <w:spacing w:before="0"/>
            </w:pPr>
            <w:r w:rsidRPr="00683FF0">
              <w:rPr>
                <w:b/>
                <w:bCs/>
              </w:rPr>
              <w:t>Responsible Minister</w:t>
            </w:r>
            <w:r w:rsidR="6F3C8C2A" w:rsidRPr="00683FF0">
              <w:rPr>
                <w:b/>
                <w:bCs/>
              </w:rPr>
              <w:t>s</w:t>
            </w:r>
            <w:r w:rsidRPr="00683FF0">
              <w:rPr>
                <w:b/>
                <w:bCs/>
              </w:rPr>
              <w:t>:</w:t>
            </w:r>
            <w:r w:rsidRPr="00683FF0">
              <w:t xml:space="preserve"> Minister</w:t>
            </w:r>
            <w:r w:rsidR="616BF61F" w:rsidRPr="00683FF0">
              <w:t>s</w:t>
            </w:r>
            <w:r w:rsidRPr="00683FF0">
              <w:t xml:space="preserve"> o</w:t>
            </w:r>
            <w:r w:rsidR="616BF61F" w:rsidRPr="00683FF0">
              <w:t>f</w:t>
            </w:r>
            <w:r w:rsidRPr="00683FF0">
              <w:t xml:space="preserve"> </w:t>
            </w:r>
            <w:r w:rsidR="657D43A2" w:rsidRPr="00683FF0">
              <w:t xml:space="preserve">Environment, </w:t>
            </w:r>
            <w:r w:rsidR="616BF61F" w:rsidRPr="00683FF0">
              <w:t xml:space="preserve">Housing, </w:t>
            </w:r>
            <w:r w:rsidRPr="00683FF0">
              <w:t>Transport</w:t>
            </w:r>
            <w:r w:rsidR="009446D5" w:rsidRPr="00683FF0">
              <w:t>,</w:t>
            </w:r>
            <w:r w:rsidR="004C095F" w:rsidRPr="00683FF0">
              <w:t xml:space="preserve"> </w:t>
            </w:r>
            <w:r w:rsidR="649124DD" w:rsidRPr="00683FF0">
              <w:t>Infrastructure</w:t>
            </w:r>
          </w:p>
          <w:p w14:paraId="614D2AB1" w14:textId="52A7DC56" w:rsidR="4533B24F" w:rsidRPr="00683FF0" w:rsidRDefault="3DF834C3" w:rsidP="00687F87">
            <w:pPr>
              <w:pStyle w:val="TableText"/>
              <w:spacing w:before="0"/>
              <w:rPr>
                <w:rFonts w:eastAsia="Times New Roman"/>
                <w:b/>
                <w:bCs/>
              </w:rPr>
            </w:pPr>
            <w:r w:rsidRPr="00683FF0">
              <w:rPr>
                <w:b/>
                <w:bCs/>
              </w:rPr>
              <w:t>Timeline</w:t>
            </w:r>
            <w:r w:rsidRPr="00683FF0">
              <w:t>: 2022–25 (EB1) and ongoing</w:t>
            </w:r>
          </w:p>
        </w:tc>
      </w:tr>
    </w:tbl>
    <w:p w14:paraId="49CF43D3" w14:textId="671ECD99" w:rsidR="00657CB6" w:rsidRPr="00683FF0" w:rsidRDefault="00657CB6" w:rsidP="007179A3">
      <w:pPr>
        <w:pStyle w:val="Heading2"/>
        <w:spacing w:after="240"/>
      </w:pPr>
      <w:bookmarkStart w:id="17" w:name="_Toc103175824"/>
      <w:bookmarkStart w:id="18" w:name="_Toc103778787"/>
      <w:r w:rsidRPr="00683FF0">
        <w:lastRenderedPageBreak/>
        <w:t>Coordinat</w:t>
      </w:r>
      <w:r w:rsidR="008E5E76" w:rsidRPr="00683FF0">
        <w:t>ing</w:t>
      </w:r>
      <w:r w:rsidRPr="00683FF0">
        <w:t xml:space="preserve"> efforts</w:t>
      </w:r>
      <w:r w:rsidR="008E5E76" w:rsidRPr="00683FF0">
        <w:t xml:space="preserve"> to address climate change</w:t>
      </w:r>
      <w:r w:rsidRPr="00683FF0">
        <w:t xml:space="preserve"> across government</w:t>
      </w:r>
      <w:bookmarkEnd w:id="17"/>
      <w:bookmarkEnd w:id="18"/>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111"/>
        <w:gridCol w:w="4394"/>
      </w:tblGrid>
      <w:tr w:rsidR="00B7432A" w:rsidRPr="00683FF0" w14:paraId="4814FA37" w14:textId="77777777" w:rsidTr="00B7432A">
        <w:trPr>
          <w:tblHeader/>
        </w:trPr>
        <w:tc>
          <w:tcPr>
            <w:tcW w:w="4106" w:type="dxa"/>
            <w:tcBorders>
              <w:top w:val="single" w:sz="4" w:space="0" w:color="1B556B" w:themeColor="text2"/>
              <w:bottom w:val="nil"/>
            </w:tcBorders>
            <w:shd w:val="clear" w:color="auto" w:fill="1B556B" w:themeFill="text2"/>
            <w:vAlign w:val="center"/>
          </w:tcPr>
          <w:p w14:paraId="0B316526" w14:textId="33D58B68" w:rsidR="00DF21EF" w:rsidRPr="00683FF0" w:rsidRDefault="00DF21EF" w:rsidP="00BB5F68">
            <w:pPr>
              <w:pStyle w:val="TableTextbold"/>
              <w:keepNext/>
              <w:rPr>
                <w:color w:val="FFFFFF" w:themeColor="background1"/>
              </w:rPr>
            </w:pPr>
            <w:r w:rsidRPr="00683FF0">
              <w:rPr>
                <w:color w:val="FFFFFF" w:themeColor="background1"/>
              </w:rPr>
              <w:t xml:space="preserve">Report </w:t>
            </w:r>
            <w:r w:rsidR="00771203" w:rsidRPr="00683FF0">
              <w:rPr>
                <w:color w:val="FFFFFF" w:themeColor="background1"/>
              </w:rPr>
              <w:t>r</w:t>
            </w:r>
            <w:r w:rsidRPr="00683FF0">
              <w:rPr>
                <w:color w:val="FFFFFF" w:themeColor="background1"/>
              </w:rPr>
              <w:t>ecommendation</w:t>
            </w:r>
          </w:p>
        </w:tc>
        <w:tc>
          <w:tcPr>
            <w:tcW w:w="4388" w:type="dxa"/>
            <w:tcBorders>
              <w:top w:val="single" w:sz="4" w:space="0" w:color="1B556B" w:themeColor="text2"/>
              <w:bottom w:val="nil"/>
            </w:tcBorders>
            <w:shd w:val="clear" w:color="auto" w:fill="1B556B" w:themeFill="text2"/>
            <w:vAlign w:val="center"/>
          </w:tcPr>
          <w:p w14:paraId="0102160F" w14:textId="2251DB5E" w:rsidR="00DF21EF" w:rsidRPr="00683FF0" w:rsidRDefault="00DF21EF" w:rsidP="00BB5F68">
            <w:pPr>
              <w:pStyle w:val="TableTextbold"/>
              <w:keepNext/>
              <w:rPr>
                <w:color w:val="FFFFFF" w:themeColor="background1"/>
              </w:rPr>
            </w:pPr>
            <w:r w:rsidRPr="00683FF0">
              <w:rPr>
                <w:color w:val="FFFFFF" w:themeColor="background1"/>
              </w:rPr>
              <w:t xml:space="preserve">Government </w:t>
            </w:r>
            <w:r w:rsidR="00771203" w:rsidRPr="00683FF0">
              <w:rPr>
                <w:color w:val="FFFFFF" w:themeColor="background1"/>
              </w:rPr>
              <w:t>r</w:t>
            </w:r>
            <w:r w:rsidRPr="00683FF0">
              <w:rPr>
                <w:color w:val="FFFFFF" w:themeColor="background1"/>
              </w:rPr>
              <w:t>esponse</w:t>
            </w:r>
          </w:p>
        </w:tc>
      </w:tr>
      <w:tr w:rsidR="00DF21EF" w:rsidRPr="00683FF0" w14:paraId="5079F636" w14:textId="77777777" w:rsidTr="00B7432A">
        <w:tc>
          <w:tcPr>
            <w:tcW w:w="4106" w:type="dxa"/>
            <w:tcBorders>
              <w:top w:val="nil"/>
            </w:tcBorders>
            <w:shd w:val="clear" w:color="auto" w:fill="auto"/>
          </w:tcPr>
          <w:p w14:paraId="67CFF5BB" w14:textId="39595CAC" w:rsidR="00DF21EF" w:rsidRPr="00683FF0" w:rsidRDefault="00DF21EF" w:rsidP="00BB5F68">
            <w:pPr>
              <w:pStyle w:val="TableTextbold"/>
              <w:keepNext/>
              <w:spacing w:after="0"/>
            </w:pPr>
            <w:r w:rsidRPr="00683FF0">
              <w:t xml:space="preserve">Recommendation 9 </w:t>
            </w:r>
            <w:r w:rsidR="00771203" w:rsidRPr="00683FF0">
              <w:t>–</w:t>
            </w:r>
            <w:r w:rsidRPr="00683FF0">
              <w:t xml:space="preserve"> Coordinate efforts to address climate change across government</w:t>
            </w:r>
          </w:p>
          <w:p w14:paraId="301305DD" w14:textId="5918AE28" w:rsidR="00DF21EF" w:rsidRPr="00683FF0" w:rsidRDefault="00DF21EF" w:rsidP="00BB5F68">
            <w:pPr>
              <w:pStyle w:val="TableText"/>
              <w:keepNext/>
              <w:spacing w:after="0"/>
            </w:pPr>
            <w:r w:rsidRPr="00683FF0">
              <w:t>We recommend that the Government commit to:</w:t>
            </w:r>
          </w:p>
        </w:tc>
        <w:tc>
          <w:tcPr>
            <w:tcW w:w="4388" w:type="dxa"/>
            <w:tcBorders>
              <w:top w:val="nil"/>
            </w:tcBorders>
            <w:shd w:val="clear" w:color="auto" w:fill="auto"/>
          </w:tcPr>
          <w:p w14:paraId="64D4BD95" w14:textId="77777777" w:rsidR="00DF21EF" w:rsidRPr="00683FF0" w:rsidRDefault="00DF21EF" w:rsidP="00BB5F68">
            <w:pPr>
              <w:pStyle w:val="TableText"/>
              <w:keepNext/>
            </w:pPr>
          </w:p>
        </w:tc>
      </w:tr>
      <w:tr w:rsidR="00DF21EF" w:rsidRPr="00683FF0" w14:paraId="4636D326" w14:textId="77777777" w:rsidTr="00B7432A">
        <w:tc>
          <w:tcPr>
            <w:tcW w:w="4106" w:type="dxa"/>
            <w:shd w:val="clear" w:color="auto" w:fill="FFFFFF" w:themeFill="background1"/>
          </w:tcPr>
          <w:p w14:paraId="71E763D5" w14:textId="7DC81C2E" w:rsidR="00DF21EF" w:rsidRPr="00683FF0" w:rsidRDefault="00DF21EF" w:rsidP="00BB5F68">
            <w:pPr>
              <w:pStyle w:val="TableText"/>
              <w:keepNext/>
            </w:pPr>
            <w:r w:rsidRPr="00683FF0">
              <w:t>9.1. Nominating specific Ministers and agencies with accountability for implementing policies and strategies in the emissions reduction plans in line with emissions budgets.</w:t>
            </w:r>
          </w:p>
        </w:tc>
        <w:tc>
          <w:tcPr>
            <w:tcW w:w="4388" w:type="dxa"/>
            <w:shd w:val="clear" w:color="auto" w:fill="FFFFFF" w:themeFill="background1"/>
          </w:tcPr>
          <w:p w14:paraId="54EDEA00" w14:textId="29F766BC" w:rsidR="00C35B84" w:rsidRPr="00683FF0" w:rsidRDefault="00F56B37" w:rsidP="00BB5F68">
            <w:pPr>
              <w:pStyle w:val="TableText"/>
              <w:keepNext/>
            </w:pPr>
            <w:r w:rsidRPr="00683FF0">
              <w:rPr>
                <w:rFonts w:eastAsia="Times New Roman"/>
                <w:b/>
              </w:rPr>
              <w:t xml:space="preserve">9.1. </w:t>
            </w:r>
            <w:r w:rsidR="00DC0160" w:rsidRPr="00683FF0">
              <w:rPr>
                <w:rFonts w:eastAsia="Times New Roman"/>
                <w:b/>
              </w:rPr>
              <w:t>The Government agrees with this recommendation.</w:t>
            </w:r>
            <w:r w:rsidR="00771203" w:rsidRPr="00683FF0">
              <w:t xml:space="preserve"> </w:t>
            </w:r>
            <w:r w:rsidR="00C35B84" w:rsidRPr="00683FF0">
              <w:t xml:space="preserve">An interdepartmental executive board of climate change public sector </w:t>
            </w:r>
            <w:r w:rsidR="00771203" w:rsidRPr="00683FF0">
              <w:t>c</w:t>
            </w:r>
            <w:r w:rsidR="00C35B84" w:rsidRPr="00683FF0">
              <w:t xml:space="preserve">hief </w:t>
            </w:r>
            <w:r w:rsidR="00771203" w:rsidRPr="00683FF0">
              <w:t>e</w:t>
            </w:r>
            <w:r w:rsidR="00C35B84" w:rsidRPr="00683FF0">
              <w:t xml:space="preserve">xecutives will be established </w:t>
            </w:r>
            <w:r w:rsidR="10A76922" w:rsidRPr="00683FF0">
              <w:t xml:space="preserve">to coordinate the implementation of the </w:t>
            </w:r>
            <w:r w:rsidR="00FD74DA" w:rsidRPr="00683FF0">
              <w:t>emissions reduction plan</w:t>
            </w:r>
            <w:r w:rsidR="10A76922" w:rsidRPr="00683FF0">
              <w:t xml:space="preserve">. Officials are preparing </w:t>
            </w:r>
            <w:r w:rsidR="00C35B84" w:rsidRPr="00683FF0">
              <w:t xml:space="preserve">advice on institutional form and functions for a monitoring and accountability framework for the </w:t>
            </w:r>
            <w:r w:rsidR="00FD74DA" w:rsidRPr="00683FF0">
              <w:t>emissions reduction plan</w:t>
            </w:r>
            <w:r w:rsidR="00C35B84" w:rsidRPr="00683FF0">
              <w:t xml:space="preserve">. Ministers and agency chief executives have been assigned committed actions in the </w:t>
            </w:r>
            <w:r w:rsidR="00FD74DA" w:rsidRPr="00683FF0">
              <w:t>emissions reduction plan</w:t>
            </w:r>
            <w:r w:rsidR="00FD74DA" w:rsidRPr="00683FF0" w:rsidDel="00FD74DA">
              <w:t xml:space="preserve"> </w:t>
            </w:r>
            <w:r w:rsidR="00C35B84" w:rsidRPr="00683FF0">
              <w:t>and sector</w:t>
            </w:r>
            <w:r w:rsidR="00771203" w:rsidRPr="00683FF0">
              <w:t xml:space="preserve"> </w:t>
            </w:r>
            <w:r w:rsidR="00C35B84" w:rsidRPr="00683FF0">
              <w:t xml:space="preserve">sub-targets </w:t>
            </w:r>
            <w:r w:rsidR="00771203" w:rsidRPr="00683FF0">
              <w:t xml:space="preserve">(see </w:t>
            </w:r>
            <w:r w:rsidR="00C35B84" w:rsidRPr="00683FF0">
              <w:t>CAB-22-Min-0055-01</w:t>
            </w:r>
            <w:r w:rsidR="00771203" w:rsidRPr="00683FF0">
              <w:t>)</w:t>
            </w:r>
            <w:r w:rsidR="00C35B84" w:rsidRPr="00683FF0">
              <w:t xml:space="preserve">. Officials will also develop an implementation plan </w:t>
            </w:r>
            <w:r w:rsidR="00771203" w:rsidRPr="00683FF0">
              <w:t xml:space="preserve">that </w:t>
            </w:r>
            <w:r w:rsidR="00C35B84" w:rsidRPr="00683FF0">
              <w:t>aggregates sectoral targets and provides a baseline to monitor from</w:t>
            </w:r>
            <w:r w:rsidR="00771203" w:rsidRPr="00683FF0">
              <w:t xml:space="preserve">; </w:t>
            </w:r>
            <w:r w:rsidR="00C35B84" w:rsidRPr="00683FF0">
              <w:t>this plan will be provided to Cabinet later in 2022.</w:t>
            </w:r>
          </w:p>
        </w:tc>
      </w:tr>
      <w:tr w:rsidR="00DF21EF" w:rsidRPr="00683FF0" w14:paraId="58A02747" w14:textId="77777777" w:rsidTr="00B7432A">
        <w:tc>
          <w:tcPr>
            <w:tcW w:w="4106" w:type="dxa"/>
            <w:shd w:val="clear" w:color="auto" w:fill="FFFFFF" w:themeFill="background1"/>
          </w:tcPr>
          <w:p w14:paraId="404F27C8" w14:textId="13FF0ECF" w:rsidR="00DF21EF" w:rsidRPr="00683FF0" w:rsidRDefault="00DF21EF" w:rsidP="00B7432A">
            <w:pPr>
              <w:pStyle w:val="TableText"/>
            </w:pPr>
            <w:r w:rsidRPr="00683FF0">
              <w:t>9.2. Assessing and meeting funding requirements for implementing each emissions reduction plan in line with emissions budgets.</w:t>
            </w:r>
          </w:p>
        </w:tc>
        <w:tc>
          <w:tcPr>
            <w:tcW w:w="4388" w:type="dxa"/>
            <w:shd w:val="clear" w:color="auto" w:fill="FFFFFF" w:themeFill="background1"/>
          </w:tcPr>
          <w:p w14:paraId="37B5E85E" w14:textId="74FEA173" w:rsidR="00C35B84" w:rsidRPr="00683FF0" w:rsidRDefault="00F56B37" w:rsidP="00B7432A">
            <w:pPr>
              <w:pStyle w:val="TableText"/>
            </w:pPr>
            <w:r w:rsidRPr="00683FF0">
              <w:rPr>
                <w:rFonts w:eastAsia="Times New Roman"/>
                <w:b/>
              </w:rPr>
              <w:t xml:space="preserve">9.2. </w:t>
            </w:r>
            <w:r w:rsidR="00DC0160" w:rsidRPr="00683FF0">
              <w:rPr>
                <w:rFonts w:eastAsia="Times New Roman"/>
                <w:b/>
              </w:rPr>
              <w:t>The Government agrees with this recommendation.</w:t>
            </w:r>
            <w:r w:rsidR="00DC0160" w:rsidRPr="00683FF0">
              <w:rPr>
                <w:rFonts w:eastAsia="Times New Roman"/>
              </w:rPr>
              <w:t xml:space="preserve"> </w:t>
            </w:r>
            <w:r w:rsidR="00C35B84" w:rsidRPr="00683FF0">
              <w:t xml:space="preserve">This is a key part of ongoing work to develop this and future </w:t>
            </w:r>
            <w:r w:rsidR="00FD74DA" w:rsidRPr="00683FF0">
              <w:t>emissions reduction plan</w:t>
            </w:r>
            <w:r w:rsidR="00C35B84" w:rsidRPr="00683FF0">
              <w:t>s. In the course of policy development</w:t>
            </w:r>
            <w:r w:rsidR="00771203" w:rsidRPr="00683FF0">
              <w:t>,</w:t>
            </w:r>
            <w:r w:rsidR="00C35B84" w:rsidRPr="00683FF0">
              <w:t xml:space="preserve"> agencies are responsible for considering what funding is required, as well as considering whether existing funding can be used. </w:t>
            </w:r>
            <w:r w:rsidR="19C6BB6C" w:rsidRPr="00683FF0">
              <w:t>Where additional funding is required, the</w:t>
            </w:r>
            <w:r w:rsidR="00AA26E5" w:rsidRPr="00683FF0">
              <w:t xml:space="preserve"> Climate Emergency Response Fund</w:t>
            </w:r>
            <w:r w:rsidR="00C35B84" w:rsidRPr="00683FF0">
              <w:t xml:space="preserve"> </w:t>
            </w:r>
            <w:r w:rsidR="00AA26E5" w:rsidRPr="00683FF0">
              <w:t>(</w:t>
            </w:r>
            <w:r w:rsidR="00C35B84" w:rsidRPr="00683FF0">
              <w:t>CERF</w:t>
            </w:r>
            <w:r w:rsidR="00AA26E5" w:rsidRPr="00683FF0">
              <w:t>)</w:t>
            </w:r>
            <w:r w:rsidR="00C35B84" w:rsidRPr="00683FF0">
              <w:t xml:space="preserve"> </w:t>
            </w:r>
            <w:r w:rsidR="19C6BB6C" w:rsidRPr="00683FF0">
              <w:t>can provide</w:t>
            </w:r>
            <w:r w:rsidR="00C35B84" w:rsidRPr="00683FF0">
              <w:t xml:space="preserve"> funding to support initiatives</w:t>
            </w:r>
            <w:r w:rsidR="00FD74DA" w:rsidRPr="00683FF0">
              <w:t xml:space="preserve"> related to the emissions reduction plan</w:t>
            </w:r>
            <w:r w:rsidR="00C35B84" w:rsidRPr="00683FF0">
              <w:t>. (</w:t>
            </w:r>
            <w:r w:rsidR="003F3862" w:rsidRPr="00683FF0">
              <w:t>c</w:t>
            </w:r>
            <w:r w:rsidR="00C35B84" w:rsidRPr="00683FF0">
              <w:t>hapter 6</w:t>
            </w:r>
            <w:r w:rsidRPr="00683FF0">
              <w:t>:</w:t>
            </w:r>
            <w:r w:rsidR="00C35B84" w:rsidRPr="00683FF0">
              <w:t xml:space="preserve"> </w:t>
            </w:r>
            <w:r w:rsidR="005434AC" w:rsidRPr="00683FF0">
              <w:t>F</w:t>
            </w:r>
            <w:r w:rsidR="00C35B84" w:rsidRPr="00683FF0">
              <w:t xml:space="preserve">unding </w:t>
            </w:r>
            <w:r w:rsidR="00656FB6" w:rsidRPr="00683FF0">
              <w:t>and finance,</w:t>
            </w:r>
            <w:r w:rsidR="00C35B84" w:rsidRPr="00683FF0">
              <w:t xml:space="preserve"> </w:t>
            </w:r>
            <w:r w:rsidR="00656FB6" w:rsidRPr="00683FF0">
              <w:t>a</w:t>
            </w:r>
            <w:r w:rsidR="00C35B84" w:rsidRPr="00683FF0">
              <w:t xml:space="preserve">ction </w:t>
            </w:r>
            <w:r w:rsidR="00312160" w:rsidRPr="00683FF0">
              <w:t>6.1</w:t>
            </w:r>
            <w:r w:rsidR="00C35B84" w:rsidRPr="00683FF0">
              <w:t>).</w:t>
            </w:r>
          </w:p>
        </w:tc>
      </w:tr>
      <w:tr w:rsidR="00DF21EF" w:rsidRPr="00683FF0" w14:paraId="7AC0417E" w14:textId="77777777" w:rsidTr="00B7432A">
        <w:tc>
          <w:tcPr>
            <w:tcW w:w="4106" w:type="dxa"/>
            <w:shd w:val="clear" w:color="auto" w:fill="FFFFFF" w:themeFill="background1"/>
          </w:tcPr>
          <w:p w14:paraId="7F9EADD1" w14:textId="52F754BC" w:rsidR="00DF21EF" w:rsidRPr="00683FF0" w:rsidRDefault="00DF21EF" w:rsidP="00B7432A">
            <w:pPr>
              <w:pStyle w:val="TableText"/>
            </w:pPr>
            <w:r w:rsidRPr="00683FF0">
              <w:t>9.3. Establishing Vote Climate Change as a specific multi-agency appropriation which consolidates existing and future government funding for core climate change mitigation and adaptation activities.</w:t>
            </w:r>
          </w:p>
        </w:tc>
        <w:tc>
          <w:tcPr>
            <w:tcW w:w="4388" w:type="dxa"/>
            <w:shd w:val="clear" w:color="auto" w:fill="FFFFFF" w:themeFill="background1"/>
          </w:tcPr>
          <w:p w14:paraId="057F2BCE" w14:textId="0C7D75F8" w:rsidR="00C35B84" w:rsidRPr="00683FF0" w:rsidRDefault="00F56B37" w:rsidP="00B7432A">
            <w:pPr>
              <w:pStyle w:val="TableText"/>
            </w:pPr>
            <w:r w:rsidRPr="00683FF0">
              <w:rPr>
                <w:rFonts w:eastAsia="Times New Roman"/>
                <w:b/>
              </w:rPr>
              <w:t xml:space="preserve">9.3. </w:t>
            </w:r>
            <w:r w:rsidR="00DC0160" w:rsidRPr="00683FF0">
              <w:rPr>
                <w:rFonts w:eastAsia="Times New Roman"/>
                <w:b/>
              </w:rPr>
              <w:t>The Government disagrees with this recommendation</w:t>
            </w:r>
            <w:r w:rsidR="00114EB5" w:rsidRPr="00683FF0">
              <w:t>.</w:t>
            </w:r>
            <w:r w:rsidR="21EEF80F" w:rsidRPr="00683FF0">
              <w:rPr>
                <w:rFonts w:eastAsia="Calibri" w:cs="Calibri"/>
              </w:rPr>
              <w:t xml:space="preserve"> The Government considers a specific Vote or Appropriation is not the best way of increasing transparency, and it would not align with how the public finance system operates. However, the Government believes that the establishment of the Climate Emergency Response Fund – as a dedicated funding source for new climate initiatives – will support the intent behind this recommendation (chapter 6: Funding and finance, action 6.1).</w:t>
            </w:r>
          </w:p>
        </w:tc>
      </w:tr>
      <w:tr w:rsidR="00DF21EF" w:rsidRPr="00683FF0" w14:paraId="16C17BC5" w14:textId="77777777" w:rsidTr="00B7432A">
        <w:tc>
          <w:tcPr>
            <w:tcW w:w="4106" w:type="dxa"/>
            <w:shd w:val="clear" w:color="auto" w:fill="FFFFFF" w:themeFill="background1"/>
          </w:tcPr>
          <w:p w14:paraId="0FCE1DB4" w14:textId="2B1A3E67" w:rsidR="00DF21EF" w:rsidRPr="00683FF0" w:rsidRDefault="00DF21EF" w:rsidP="00B7432A">
            <w:pPr>
              <w:pStyle w:val="TableText"/>
            </w:pPr>
            <w:r w:rsidRPr="00683FF0">
              <w:t>9.4. Providing consistent signalling across investments, policy statements, direction to officials, internal policies and directives to ensure that all regulatory and policy frameworks and decisions are aligned with low emissions and climate resilience objectives.</w:t>
            </w:r>
          </w:p>
        </w:tc>
        <w:tc>
          <w:tcPr>
            <w:tcW w:w="4388" w:type="dxa"/>
            <w:shd w:val="clear" w:color="auto" w:fill="FFFFFF" w:themeFill="background1"/>
          </w:tcPr>
          <w:p w14:paraId="71564C7E" w14:textId="1A47085F" w:rsidR="00C35B84" w:rsidRPr="00683FF0" w:rsidRDefault="007D41CC" w:rsidP="00B7432A">
            <w:pPr>
              <w:pStyle w:val="TableText"/>
            </w:pPr>
            <w:r w:rsidRPr="00683FF0">
              <w:rPr>
                <w:rFonts w:eastAsia="Times New Roman" w:cstheme="minorHAnsi"/>
                <w:b/>
                <w:bCs/>
              </w:rPr>
              <w:t xml:space="preserve">9.4. </w:t>
            </w:r>
            <w:r w:rsidR="00DC0160" w:rsidRPr="00683FF0">
              <w:rPr>
                <w:rFonts w:eastAsia="Times New Roman" w:cstheme="minorHAnsi"/>
                <w:b/>
                <w:bCs/>
              </w:rPr>
              <w:t xml:space="preserve">The Government agrees in principle with this recommendation. </w:t>
            </w:r>
            <w:r w:rsidR="00114EB5" w:rsidRPr="00683FF0">
              <w:t>The Government</w:t>
            </w:r>
            <w:r w:rsidR="00C35B84" w:rsidRPr="00683FF0">
              <w:t xml:space="preserve"> agree</w:t>
            </w:r>
            <w:r w:rsidR="00114EB5" w:rsidRPr="00683FF0">
              <w:t>s</w:t>
            </w:r>
            <w:r w:rsidR="00C35B84" w:rsidRPr="00683FF0">
              <w:t xml:space="preserve"> that climate change should be considered throughout government’s work. Given the breadth of the recommendation</w:t>
            </w:r>
            <w:r w:rsidR="00E51836" w:rsidRPr="00683FF0">
              <w:t>, the Government</w:t>
            </w:r>
            <w:r w:rsidR="00C35B84" w:rsidRPr="00683FF0">
              <w:t xml:space="preserve"> </w:t>
            </w:r>
            <w:r w:rsidR="00E51836" w:rsidRPr="00683FF0">
              <w:t>does</w:t>
            </w:r>
            <w:r w:rsidR="00C35B84" w:rsidRPr="00683FF0">
              <w:t xml:space="preserve"> not consider it possible to accept </w:t>
            </w:r>
            <w:r w:rsidR="00E51836" w:rsidRPr="00683FF0">
              <w:t xml:space="preserve">it </w:t>
            </w:r>
            <w:r w:rsidR="00C35B84" w:rsidRPr="00683FF0">
              <w:t>in full, as</w:t>
            </w:r>
            <w:r w:rsidR="00506E31" w:rsidRPr="00683FF0">
              <w:t xml:space="preserve"> implementing</w:t>
            </w:r>
            <w:r w:rsidR="00C35B84" w:rsidRPr="00683FF0">
              <w:t xml:space="preserve"> it will be subject to the specifics of the area in question. Officials and ministers will need to consider how climate change can be </w:t>
            </w:r>
            <w:r w:rsidR="00713434" w:rsidRPr="00683FF0">
              <w:t xml:space="preserve">best </w:t>
            </w:r>
            <w:r w:rsidR="00C35B84" w:rsidRPr="00683FF0">
              <w:t>considered throughout all stages of their work on a case-by-case basis</w:t>
            </w:r>
            <w:r w:rsidR="0010755D" w:rsidRPr="00683FF0">
              <w:t xml:space="preserve"> (</w:t>
            </w:r>
            <w:r w:rsidR="00DC2C31" w:rsidRPr="00683FF0">
              <w:t>c</w:t>
            </w:r>
            <w:r w:rsidR="0010755D" w:rsidRPr="00683FF0">
              <w:t>hapter</w:t>
            </w:r>
            <w:r w:rsidR="00506E31" w:rsidRPr="00683FF0">
              <w:t xml:space="preserve"> 6</w:t>
            </w:r>
            <w:r w:rsidR="00656FB6" w:rsidRPr="00683FF0">
              <w:t>:</w:t>
            </w:r>
            <w:r w:rsidR="0010755D" w:rsidRPr="00683FF0">
              <w:t xml:space="preserve"> </w:t>
            </w:r>
            <w:r w:rsidR="00506E31" w:rsidRPr="00683FF0">
              <w:t>F</w:t>
            </w:r>
            <w:r w:rsidR="0010755D" w:rsidRPr="00683FF0">
              <w:t xml:space="preserve">unding </w:t>
            </w:r>
            <w:r w:rsidR="00DB7C92" w:rsidRPr="00683FF0">
              <w:t>and finance,</w:t>
            </w:r>
            <w:r w:rsidR="0010755D" w:rsidRPr="00683FF0">
              <w:t xml:space="preserve"> </w:t>
            </w:r>
            <w:r w:rsidR="00DB7C92" w:rsidRPr="00683FF0">
              <w:t>a</w:t>
            </w:r>
            <w:r w:rsidR="0010755D" w:rsidRPr="00683FF0">
              <w:t xml:space="preserve">ction </w:t>
            </w:r>
            <w:r w:rsidR="00E86CD1" w:rsidRPr="00683FF0">
              <w:t>6.</w:t>
            </w:r>
            <w:r w:rsidR="0010755D" w:rsidRPr="00683FF0">
              <w:t>2).</w:t>
            </w:r>
          </w:p>
        </w:tc>
      </w:tr>
      <w:tr w:rsidR="00EF34D9" w:rsidRPr="00683FF0" w14:paraId="5506DC2E" w14:textId="77777777" w:rsidTr="00B7432A">
        <w:tc>
          <w:tcPr>
            <w:tcW w:w="4106" w:type="dxa"/>
            <w:shd w:val="clear" w:color="auto" w:fill="FFFFFF" w:themeFill="background1"/>
          </w:tcPr>
          <w:p w14:paraId="25DCC593" w14:textId="77777777" w:rsidR="00EF34D9" w:rsidRPr="00683FF0" w:rsidRDefault="00EF34D9" w:rsidP="00B7432A">
            <w:pPr>
              <w:pStyle w:val="TableText"/>
            </w:pPr>
          </w:p>
        </w:tc>
        <w:tc>
          <w:tcPr>
            <w:tcW w:w="4388" w:type="dxa"/>
            <w:shd w:val="clear" w:color="auto" w:fill="FFFFFF" w:themeFill="background1"/>
          </w:tcPr>
          <w:p w14:paraId="5003B2FA" w14:textId="77777777" w:rsidR="00EF34D9" w:rsidRPr="00683FF0" w:rsidRDefault="00EF34D9" w:rsidP="00B7432A">
            <w:pPr>
              <w:pStyle w:val="TableTextbold"/>
            </w:pPr>
            <w:r w:rsidRPr="00683FF0">
              <w:t>Responsible agencies:</w:t>
            </w:r>
          </w:p>
          <w:p w14:paraId="6A395FD2" w14:textId="7EDC5873" w:rsidR="00EF34D9" w:rsidRPr="00683FF0" w:rsidRDefault="00EF34D9" w:rsidP="00B7432A">
            <w:pPr>
              <w:pStyle w:val="TableBullet"/>
            </w:pPr>
            <w:r w:rsidRPr="00683FF0">
              <w:t xml:space="preserve">9.1. Ministry for Environment </w:t>
            </w:r>
          </w:p>
          <w:p w14:paraId="7C50217F" w14:textId="58DC04FF" w:rsidR="00EF34D9" w:rsidRPr="00683FF0" w:rsidRDefault="00EF34D9" w:rsidP="00B7432A">
            <w:pPr>
              <w:pStyle w:val="TableBullet"/>
            </w:pPr>
            <w:r w:rsidRPr="00683FF0">
              <w:t>9.2</w:t>
            </w:r>
            <w:r w:rsidR="00506E31" w:rsidRPr="00683FF0">
              <w:t>–</w:t>
            </w:r>
            <w:r w:rsidRPr="00683FF0">
              <w:t xml:space="preserve">4. Treasury </w:t>
            </w:r>
          </w:p>
          <w:p w14:paraId="6E45913C" w14:textId="15A4CED1" w:rsidR="00ED757E" w:rsidRPr="00683FF0" w:rsidRDefault="00EF34D9" w:rsidP="00B7432A">
            <w:pPr>
              <w:pStyle w:val="TableTextbold"/>
            </w:pPr>
            <w:r w:rsidRPr="00683FF0">
              <w:lastRenderedPageBreak/>
              <w:t>Responsible Minister</w:t>
            </w:r>
            <w:r w:rsidR="00506E31" w:rsidRPr="00683FF0">
              <w:t>s</w:t>
            </w:r>
            <w:r w:rsidRPr="00683FF0">
              <w:t xml:space="preserve">: </w:t>
            </w:r>
          </w:p>
          <w:p w14:paraId="54199FF4" w14:textId="6AE43854" w:rsidR="00ED757E" w:rsidRPr="00683FF0" w:rsidRDefault="00ED757E" w:rsidP="00B7432A">
            <w:pPr>
              <w:pStyle w:val="TableBullet"/>
            </w:pPr>
            <w:r w:rsidRPr="00683FF0">
              <w:t>9.1. Minister of Climate Change</w:t>
            </w:r>
          </w:p>
          <w:p w14:paraId="2921FFCC" w14:textId="0BB89809" w:rsidR="00EF34D9" w:rsidRPr="00683FF0" w:rsidRDefault="00ED757E" w:rsidP="00B7432A">
            <w:pPr>
              <w:pStyle w:val="TableBullet"/>
            </w:pPr>
            <w:r w:rsidRPr="00683FF0">
              <w:t>9.2</w:t>
            </w:r>
            <w:r w:rsidR="00506E31" w:rsidRPr="00683FF0">
              <w:t>–</w:t>
            </w:r>
            <w:r w:rsidRPr="00683FF0">
              <w:t>4</w:t>
            </w:r>
            <w:r w:rsidR="007D41CC" w:rsidRPr="00683FF0">
              <w:t>.</w:t>
            </w:r>
            <w:r w:rsidRPr="00683FF0">
              <w:t xml:space="preserve"> </w:t>
            </w:r>
            <w:r w:rsidR="00EF34D9" w:rsidRPr="00683FF0">
              <w:t xml:space="preserve">Minister of Finance </w:t>
            </w:r>
          </w:p>
          <w:p w14:paraId="21946581" w14:textId="0B8CB499" w:rsidR="00EF34D9" w:rsidRPr="00683FF0" w:rsidRDefault="00EF34D9" w:rsidP="00C21865">
            <w:pPr>
              <w:pStyle w:val="TableText"/>
              <w:spacing w:before="0"/>
              <w:rPr>
                <w:rFonts w:eastAsia="Times New Roman" w:cstheme="minorHAnsi"/>
                <w:b/>
                <w:bCs/>
                <w:szCs w:val="18"/>
              </w:rPr>
            </w:pPr>
            <w:r w:rsidRPr="00683FF0">
              <w:rPr>
                <w:b/>
                <w:bCs/>
              </w:rPr>
              <w:t>Timeline</w:t>
            </w:r>
            <w:r w:rsidRPr="00683FF0">
              <w:t>: 2022</w:t>
            </w:r>
            <w:r w:rsidR="00506E31" w:rsidRPr="00683FF0">
              <w:t>–</w:t>
            </w:r>
            <w:r w:rsidRPr="00683FF0">
              <w:t>25 (EB1) and</w:t>
            </w:r>
            <w:r w:rsidRPr="00683FF0" w:rsidDel="00982CAF">
              <w:t xml:space="preserve"> </w:t>
            </w:r>
            <w:r w:rsidRPr="00683FF0">
              <w:t>ongoing</w:t>
            </w:r>
          </w:p>
        </w:tc>
      </w:tr>
    </w:tbl>
    <w:p w14:paraId="7D6BEBEC" w14:textId="7F80DC21" w:rsidR="50E302AE" w:rsidRPr="00683FF0" w:rsidRDefault="50E302AE" w:rsidP="00C21865">
      <w:pPr>
        <w:pStyle w:val="BodyText"/>
        <w:spacing w:before="0" w:after="0"/>
      </w:pPr>
    </w:p>
    <w:p w14:paraId="4A2A274B" w14:textId="64D77A80" w:rsidR="00657CB6" w:rsidRPr="00683FF0" w:rsidRDefault="008E5E76" w:rsidP="00BB5F68">
      <w:pPr>
        <w:pStyle w:val="Heading2"/>
        <w:spacing w:after="240"/>
      </w:pPr>
      <w:bookmarkStart w:id="19" w:name="_Toc103175825"/>
      <w:bookmarkStart w:id="20" w:name="_Toc103778788"/>
      <w:r w:rsidRPr="00683FF0">
        <w:t>Ensuring inclusive and effective consultation, engagement and public participation</w:t>
      </w:r>
      <w:bookmarkEnd w:id="19"/>
      <w:bookmarkEnd w:id="20"/>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ook w:val="04A0" w:firstRow="1" w:lastRow="0" w:firstColumn="1" w:lastColumn="0" w:noHBand="0" w:noVBand="1"/>
      </w:tblPr>
      <w:tblGrid>
        <w:gridCol w:w="4252"/>
        <w:gridCol w:w="4253"/>
      </w:tblGrid>
      <w:tr w:rsidR="00BB5F68" w:rsidRPr="00683FF0" w14:paraId="67D546A0" w14:textId="77777777" w:rsidTr="00BB5F68">
        <w:trPr>
          <w:trHeight w:val="340"/>
        </w:trPr>
        <w:tc>
          <w:tcPr>
            <w:tcW w:w="4508" w:type="dxa"/>
            <w:tcBorders>
              <w:top w:val="single" w:sz="4" w:space="0" w:color="1B556B" w:themeColor="text2"/>
              <w:bottom w:val="nil"/>
            </w:tcBorders>
            <w:shd w:val="clear" w:color="auto" w:fill="1B556B" w:themeFill="text2"/>
            <w:vAlign w:val="center"/>
          </w:tcPr>
          <w:p w14:paraId="17E8BF84" w14:textId="7DA2E6E7" w:rsidR="00DF21EF" w:rsidRPr="00683FF0" w:rsidRDefault="00DF21EF" w:rsidP="00BB5F68">
            <w:pPr>
              <w:pStyle w:val="TableTextbold"/>
              <w:rPr>
                <w:color w:val="FFFFFF" w:themeColor="background1"/>
              </w:rPr>
            </w:pPr>
            <w:r w:rsidRPr="00683FF0">
              <w:rPr>
                <w:color w:val="FFFFFF" w:themeColor="background1"/>
              </w:rPr>
              <w:t xml:space="preserve">Report </w:t>
            </w:r>
            <w:r w:rsidR="00506E31"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5707F881" w14:textId="6D811F9B" w:rsidR="00DF21EF" w:rsidRPr="00683FF0" w:rsidRDefault="00DF21EF" w:rsidP="00BB5F68">
            <w:pPr>
              <w:pStyle w:val="TableTextbold"/>
              <w:rPr>
                <w:color w:val="FFFFFF" w:themeColor="background1"/>
              </w:rPr>
            </w:pPr>
            <w:r w:rsidRPr="00683FF0">
              <w:rPr>
                <w:color w:val="FFFFFF" w:themeColor="background1"/>
              </w:rPr>
              <w:t xml:space="preserve">Government </w:t>
            </w:r>
            <w:r w:rsidR="00506E31" w:rsidRPr="00683FF0">
              <w:rPr>
                <w:color w:val="FFFFFF" w:themeColor="background1"/>
              </w:rPr>
              <w:t>r</w:t>
            </w:r>
            <w:r w:rsidRPr="00683FF0">
              <w:rPr>
                <w:color w:val="FFFFFF" w:themeColor="background1"/>
              </w:rPr>
              <w:t>esponse</w:t>
            </w:r>
          </w:p>
        </w:tc>
      </w:tr>
      <w:tr w:rsidR="00DF21EF" w:rsidRPr="00683FF0" w14:paraId="3EC49C48" w14:textId="77777777" w:rsidTr="00BB5F68">
        <w:tc>
          <w:tcPr>
            <w:tcW w:w="4508" w:type="dxa"/>
            <w:tcBorders>
              <w:top w:val="nil"/>
            </w:tcBorders>
            <w:shd w:val="clear" w:color="auto" w:fill="FFFFFF" w:themeFill="background1"/>
          </w:tcPr>
          <w:p w14:paraId="437BCE38" w14:textId="77777777" w:rsidR="00DF21EF" w:rsidRPr="00683FF0" w:rsidRDefault="00DF21EF" w:rsidP="00C21865">
            <w:pPr>
              <w:pStyle w:val="TableTextbold"/>
              <w:spacing w:after="0"/>
            </w:pPr>
            <w:r w:rsidRPr="00683FF0">
              <w:t>Recommendation 10 – Ensure inclusive and effective consultation, engagement and public participation</w:t>
            </w:r>
          </w:p>
          <w:p w14:paraId="0949A139" w14:textId="77777777" w:rsidR="00DF21EF" w:rsidRPr="00683FF0" w:rsidRDefault="00DF21EF" w:rsidP="00BB5F68">
            <w:pPr>
              <w:pStyle w:val="TableText"/>
            </w:pPr>
            <w:r w:rsidRPr="00683FF0">
              <w:t>We recommend that the Government commit to:</w:t>
            </w:r>
          </w:p>
          <w:p w14:paraId="27818A50" w14:textId="21914E6A" w:rsidR="00DF21EF" w:rsidRPr="00683FF0" w:rsidRDefault="00BB5F68" w:rsidP="00BB5F68">
            <w:pPr>
              <w:pStyle w:val="TableText"/>
              <w:spacing w:before="0"/>
              <w:ind w:left="284" w:hanging="284"/>
            </w:pPr>
            <w:r w:rsidRPr="00683FF0">
              <w:t>1</w:t>
            </w:r>
            <w:r w:rsidRPr="00683FF0">
              <w:tab/>
            </w:r>
            <w:r w:rsidR="00DF21EF" w:rsidRPr="00683FF0">
              <w:t xml:space="preserve">Evolving more effective mechanisms to incorporate the views of the public when determining how to prioritise climate actions and policies to meet emissions budgets, to create more inclusive policy development. </w:t>
            </w:r>
          </w:p>
        </w:tc>
        <w:tc>
          <w:tcPr>
            <w:tcW w:w="4508" w:type="dxa"/>
            <w:tcBorders>
              <w:top w:val="nil"/>
            </w:tcBorders>
            <w:shd w:val="clear" w:color="auto" w:fill="FFFFFF" w:themeFill="background1"/>
          </w:tcPr>
          <w:p w14:paraId="0B737D73" w14:textId="4DE33504" w:rsidR="0010755D" w:rsidRPr="00683FF0" w:rsidRDefault="004C011B" w:rsidP="00BB5F68">
            <w:pPr>
              <w:pStyle w:val="TableText"/>
            </w:pPr>
            <w:r w:rsidRPr="00683FF0">
              <w:rPr>
                <w:rFonts w:eastAsia="Times New Roman" w:cstheme="minorHAnsi"/>
                <w:b/>
                <w:bCs/>
              </w:rPr>
              <w:t xml:space="preserve">The Government agrees in principle with this recommendation. </w:t>
            </w:r>
            <w:r w:rsidR="00472781" w:rsidRPr="00683FF0">
              <w:t>The Government is investigating ways to increase public participation in climate policy and prioritising actions (</w:t>
            </w:r>
            <w:r w:rsidR="00AD094D" w:rsidRPr="00683FF0">
              <w:t>c</w:t>
            </w:r>
            <w:r w:rsidR="00472781" w:rsidRPr="00683FF0">
              <w:t>hapter 3: Equitable transition</w:t>
            </w:r>
            <w:r w:rsidR="00AD094D" w:rsidRPr="00683FF0">
              <w:t>,</w:t>
            </w:r>
            <w:r w:rsidR="00472781" w:rsidRPr="00683FF0">
              <w:t xml:space="preserve"> </w:t>
            </w:r>
            <w:r w:rsidR="00CD42D0" w:rsidRPr="00683FF0">
              <w:t>a</w:t>
            </w:r>
            <w:r w:rsidR="00472781" w:rsidRPr="00683FF0">
              <w:t>ction 3.5.2)</w:t>
            </w:r>
            <w:r w:rsidR="009801D0" w:rsidRPr="00683FF0">
              <w:t>.</w:t>
            </w:r>
          </w:p>
          <w:p w14:paraId="245DE540" w14:textId="7B159FD3" w:rsidR="0010755D" w:rsidRPr="00683FF0" w:rsidRDefault="0010755D" w:rsidP="00BB5F68">
            <w:pPr>
              <w:pStyle w:val="TableText"/>
            </w:pPr>
            <w:r w:rsidRPr="00683FF0">
              <w:rPr>
                <w:b/>
                <w:bCs/>
              </w:rPr>
              <w:t>Responsible agency:</w:t>
            </w:r>
            <w:r w:rsidRPr="00683FF0">
              <w:t xml:space="preserve"> Ministry for the Environment </w:t>
            </w:r>
          </w:p>
          <w:p w14:paraId="41307D39" w14:textId="014F4546" w:rsidR="0010755D" w:rsidRPr="00683FF0" w:rsidRDefault="0010755D" w:rsidP="00C21865">
            <w:pPr>
              <w:pStyle w:val="TableText"/>
              <w:spacing w:before="0"/>
            </w:pPr>
            <w:r w:rsidRPr="00683FF0">
              <w:rPr>
                <w:b/>
                <w:bCs/>
              </w:rPr>
              <w:t>Responsible Minister:</w:t>
            </w:r>
            <w:r w:rsidRPr="00683FF0">
              <w:t xml:space="preserve"> Minister o</w:t>
            </w:r>
            <w:r w:rsidR="004C011B" w:rsidRPr="00683FF0">
              <w:t>f</w:t>
            </w:r>
            <w:r w:rsidRPr="00683FF0">
              <w:t xml:space="preserve"> Climate Change</w:t>
            </w:r>
          </w:p>
          <w:p w14:paraId="2FA3ECEA" w14:textId="34F8249D" w:rsidR="0010755D" w:rsidRPr="00683FF0" w:rsidRDefault="0010755D" w:rsidP="00C21865">
            <w:pPr>
              <w:pStyle w:val="TableText"/>
              <w:spacing w:before="0"/>
              <w:rPr>
                <w:szCs w:val="18"/>
              </w:rPr>
            </w:pPr>
            <w:r w:rsidRPr="00683FF0">
              <w:rPr>
                <w:b/>
                <w:bCs/>
              </w:rPr>
              <w:t>Timeline</w:t>
            </w:r>
            <w:r w:rsidRPr="00683FF0">
              <w:t>: 2022</w:t>
            </w:r>
            <w:r w:rsidR="00FD32D7" w:rsidRPr="00683FF0">
              <w:t>–</w:t>
            </w:r>
            <w:r w:rsidRPr="00683FF0">
              <w:t>25 (EB1) and</w:t>
            </w:r>
            <w:r w:rsidRPr="00683FF0" w:rsidDel="00982CAF">
              <w:t xml:space="preserve"> </w:t>
            </w:r>
            <w:r w:rsidRPr="00683FF0">
              <w:t>ongoing</w:t>
            </w:r>
          </w:p>
        </w:tc>
      </w:tr>
    </w:tbl>
    <w:p w14:paraId="0332DCB0" w14:textId="62B9A9C6" w:rsidR="50E302AE" w:rsidRPr="00683FF0" w:rsidRDefault="50E302AE" w:rsidP="00BB5F68">
      <w:pPr>
        <w:pStyle w:val="BodyText"/>
      </w:pPr>
    </w:p>
    <w:p w14:paraId="5F64CC38" w14:textId="77777777" w:rsidR="00B64191" w:rsidRPr="00683FF0" w:rsidRDefault="00B64191" w:rsidP="00BB5F68">
      <w:pPr>
        <w:pStyle w:val="BodyText"/>
      </w:pPr>
      <w:r w:rsidRPr="00683FF0">
        <w:br w:type="page"/>
      </w:r>
    </w:p>
    <w:p w14:paraId="033AF592" w14:textId="29674C6F" w:rsidR="008E5E76" w:rsidRPr="00683FF0" w:rsidRDefault="00B64191" w:rsidP="00AC3040">
      <w:pPr>
        <w:pStyle w:val="Heading1"/>
      </w:pPr>
      <w:bookmarkStart w:id="21" w:name="_Toc103175826"/>
      <w:bookmarkStart w:id="22" w:name="_Toc103778789"/>
      <w:r w:rsidRPr="00683FF0">
        <w:lastRenderedPageBreak/>
        <w:t>Recommendations 11</w:t>
      </w:r>
      <w:r w:rsidR="00FD32D7" w:rsidRPr="00683FF0">
        <w:t>–</w:t>
      </w:r>
      <w:r w:rsidRPr="00683FF0">
        <w:t xml:space="preserve">16: </w:t>
      </w:r>
      <w:r w:rsidR="00BB5F68" w:rsidRPr="00683FF0">
        <w:br/>
      </w:r>
      <w:r w:rsidR="008E5E76" w:rsidRPr="00683FF0">
        <w:t>Policy direction that cuts across sectors</w:t>
      </w:r>
      <w:bookmarkEnd w:id="21"/>
      <w:bookmarkEnd w:id="22"/>
    </w:p>
    <w:p w14:paraId="4D598F1F" w14:textId="3D3644F7" w:rsidR="008E5E76" w:rsidRPr="00683FF0" w:rsidRDefault="008E5E76" w:rsidP="0084456B">
      <w:pPr>
        <w:pStyle w:val="Heading2"/>
        <w:spacing w:before="240" w:after="240"/>
      </w:pPr>
      <w:bookmarkStart w:id="23" w:name="_Toc103175827"/>
      <w:bookmarkStart w:id="24" w:name="_Toc103778790"/>
      <w:r w:rsidRPr="00683FF0">
        <w:t>Strengthen market incentives to drive low</w:t>
      </w:r>
      <w:r w:rsidR="00C21865" w:rsidRPr="00683FF0">
        <w:noBreakHyphen/>
      </w:r>
      <w:r w:rsidRPr="00683FF0">
        <w:t>emissions choices</w:t>
      </w:r>
      <w:bookmarkEnd w:id="23"/>
      <w:bookmarkEnd w:id="24"/>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CellMar>
          <w:left w:w="85" w:type="dxa"/>
          <w:right w:w="85" w:type="dxa"/>
        </w:tblCellMar>
        <w:tblLook w:val="04A0" w:firstRow="1" w:lastRow="0" w:firstColumn="1" w:lastColumn="0" w:noHBand="0" w:noVBand="1"/>
      </w:tblPr>
      <w:tblGrid>
        <w:gridCol w:w="4253"/>
        <w:gridCol w:w="4252"/>
      </w:tblGrid>
      <w:tr w:rsidR="00496F2A" w:rsidRPr="00683FF0" w14:paraId="6CD891ED" w14:textId="77777777" w:rsidTr="003E67D8">
        <w:trPr>
          <w:tblHeader/>
        </w:trPr>
        <w:tc>
          <w:tcPr>
            <w:tcW w:w="4253" w:type="dxa"/>
            <w:tcBorders>
              <w:top w:val="single" w:sz="4" w:space="0" w:color="1B556B" w:themeColor="text2"/>
              <w:bottom w:val="nil"/>
            </w:tcBorders>
            <w:shd w:val="clear" w:color="auto" w:fill="1B556B" w:themeFill="text2"/>
            <w:vAlign w:val="center"/>
          </w:tcPr>
          <w:p w14:paraId="1F261D10" w14:textId="22A59158" w:rsidR="00DF21EF" w:rsidRPr="00683FF0" w:rsidRDefault="00DF21EF" w:rsidP="00496F2A">
            <w:pPr>
              <w:pStyle w:val="TableTextbold"/>
              <w:rPr>
                <w:color w:val="FFFFFF" w:themeColor="background1"/>
              </w:rPr>
            </w:pPr>
            <w:r w:rsidRPr="00683FF0">
              <w:rPr>
                <w:color w:val="FFFFFF" w:themeColor="background1"/>
              </w:rPr>
              <w:t xml:space="preserve">Report </w:t>
            </w:r>
            <w:r w:rsidR="008450E6" w:rsidRPr="00683FF0">
              <w:rPr>
                <w:color w:val="FFFFFF" w:themeColor="background1"/>
              </w:rPr>
              <w:t>r</w:t>
            </w:r>
            <w:r w:rsidRPr="00683FF0">
              <w:rPr>
                <w:color w:val="FFFFFF" w:themeColor="background1"/>
              </w:rPr>
              <w:t>ecommendation</w:t>
            </w:r>
          </w:p>
        </w:tc>
        <w:tc>
          <w:tcPr>
            <w:tcW w:w="4252" w:type="dxa"/>
            <w:tcBorders>
              <w:top w:val="single" w:sz="4" w:space="0" w:color="1B556B" w:themeColor="text2"/>
              <w:bottom w:val="nil"/>
            </w:tcBorders>
            <w:shd w:val="clear" w:color="auto" w:fill="1B556B" w:themeFill="text2"/>
            <w:vAlign w:val="center"/>
          </w:tcPr>
          <w:p w14:paraId="1435BE77" w14:textId="44C5A653" w:rsidR="00DF21EF" w:rsidRPr="00683FF0" w:rsidRDefault="00DF21EF" w:rsidP="00496F2A">
            <w:pPr>
              <w:pStyle w:val="TableTextbold"/>
              <w:rPr>
                <w:color w:val="FFFFFF" w:themeColor="background1"/>
              </w:rPr>
            </w:pPr>
            <w:r w:rsidRPr="00683FF0">
              <w:rPr>
                <w:color w:val="FFFFFF" w:themeColor="background1"/>
              </w:rPr>
              <w:t xml:space="preserve">Government </w:t>
            </w:r>
            <w:r w:rsidR="008450E6" w:rsidRPr="00683FF0">
              <w:rPr>
                <w:color w:val="FFFFFF" w:themeColor="background1"/>
              </w:rPr>
              <w:t>r</w:t>
            </w:r>
            <w:r w:rsidRPr="00683FF0">
              <w:rPr>
                <w:color w:val="FFFFFF" w:themeColor="background1"/>
              </w:rPr>
              <w:t>esponse</w:t>
            </w:r>
          </w:p>
        </w:tc>
      </w:tr>
      <w:tr w:rsidR="00DF21EF" w:rsidRPr="00683FF0" w14:paraId="52F63A39" w14:textId="77777777" w:rsidTr="003E67D8">
        <w:tc>
          <w:tcPr>
            <w:tcW w:w="4253" w:type="dxa"/>
            <w:tcBorders>
              <w:top w:val="nil"/>
            </w:tcBorders>
            <w:shd w:val="clear" w:color="auto" w:fill="auto"/>
          </w:tcPr>
          <w:p w14:paraId="7BB8440E" w14:textId="6D8A9152" w:rsidR="00DF21EF" w:rsidRPr="00683FF0" w:rsidRDefault="0055561F" w:rsidP="00496F2A">
            <w:pPr>
              <w:pStyle w:val="TableTextbold"/>
              <w:spacing w:after="0"/>
            </w:pPr>
            <w:r w:rsidRPr="00683FF0">
              <w:t xml:space="preserve">Recommendation 11 </w:t>
            </w:r>
            <w:r w:rsidR="00775499" w:rsidRPr="00683FF0">
              <w:t>–</w:t>
            </w:r>
            <w:r w:rsidRPr="00683FF0">
              <w:t xml:space="preserve"> Strengthen market incentives to drive low-emissions choices</w:t>
            </w:r>
          </w:p>
          <w:p w14:paraId="020E6D6B" w14:textId="77777777" w:rsidR="00EE1C91" w:rsidRPr="00683FF0" w:rsidRDefault="00EE1C91" w:rsidP="00496F2A">
            <w:pPr>
              <w:pStyle w:val="TableText"/>
              <w:spacing w:after="0"/>
            </w:pPr>
            <w:r w:rsidRPr="00683FF0">
              <w:t xml:space="preserve">We recommend that, in the first emissions reduction plan, the Government commit to: </w:t>
            </w:r>
          </w:p>
          <w:p w14:paraId="3517035D" w14:textId="7E884023" w:rsidR="00EE1C91" w:rsidRPr="00683FF0" w:rsidRDefault="00EE1C91" w:rsidP="00496F2A">
            <w:pPr>
              <w:pStyle w:val="TableText"/>
              <w:rPr>
                <w:b/>
                <w:bCs/>
              </w:rPr>
            </w:pPr>
            <w:r w:rsidRPr="00683FF0">
              <w:t>Amending and continually improving the NZ ETS so that it delivers the incentives needed to achieve emissions budgets. This should include:</w:t>
            </w:r>
          </w:p>
        </w:tc>
        <w:tc>
          <w:tcPr>
            <w:tcW w:w="4252" w:type="dxa"/>
            <w:tcBorders>
              <w:top w:val="nil"/>
            </w:tcBorders>
            <w:shd w:val="clear" w:color="auto" w:fill="auto"/>
          </w:tcPr>
          <w:p w14:paraId="4EE8C5B9" w14:textId="77777777" w:rsidR="00DF21EF" w:rsidRPr="00683FF0" w:rsidRDefault="00DF21EF" w:rsidP="00496F2A">
            <w:pPr>
              <w:pStyle w:val="TableText"/>
            </w:pPr>
          </w:p>
        </w:tc>
      </w:tr>
      <w:tr w:rsidR="00DF21EF" w:rsidRPr="00683FF0" w14:paraId="57460BDA" w14:textId="77777777" w:rsidTr="003E67D8">
        <w:tc>
          <w:tcPr>
            <w:tcW w:w="4253" w:type="dxa"/>
            <w:shd w:val="clear" w:color="auto" w:fill="FFFFFF" w:themeFill="background1"/>
          </w:tcPr>
          <w:p w14:paraId="4B248BC0" w14:textId="4D1C2DE9" w:rsidR="00DF21EF" w:rsidRPr="00683FF0" w:rsidRDefault="00EE1C91" w:rsidP="00496F2A">
            <w:pPr>
              <w:pStyle w:val="TableText"/>
            </w:pPr>
            <w:r w:rsidRPr="00683FF0">
              <w:t>11.1. Amending the NZ ETS to strengthen the incentive for gross emissions reductions and to manage the amount of exotic forest planting the NZ</w:t>
            </w:r>
            <w:r w:rsidR="00246A46" w:rsidRPr="00683FF0">
              <w:t> </w:t>
            </w:r>
            <w:r w:rsidRPr="00683FF0">
              <w:t>ETS drives, in line with the Commission’s advice on the proportion of</w:t>
            </w:r>
            <w:r w:rsidR="00246A46" w:rsidRPr="00683FF0">
              <w:t> </w:t>
            </w:r>
            <w:r w:rsidRPr="00683FF0">
              <w:t>emissions reductions and removals necessary for</w:t>
            </w:r>
            <w:r w:rsidR="00246A46" w:rsidRPr="00683FF0">
              <w:t> </w:t>
            </w:r>
            <w:r w:rsidRPr="00683FF0">
              <w:t>meeting emissions budgets (see also Recommendation 25).</w:t>
            </w:r>
          </w:p>
        </w:tc>
        <w:tc>
          <w:tcPr>
            <w:tcW w:w="4252" w:type="dxa"/>
            <w:shd w:val="clear" w:color="auto" w:fill="FFFFFF" w:themeFill="background1"/>
          </w:tcPr>
          <w:p w14:paraId="541225EE" w14:textId="7780752C" w:rsidR="00D36259" w:rsidRPr="00683FF0" w:rsidRDefault="00D035C1" w:rsidP="00496F2A">
            <w:pPr>
              <w:pStyle w:val="TableText"/>
            </w:pPr>
            <w:r w:rsidRPr="00683FF0">
              <w:rPr>
                <w:b/>
                <w:bCs/>
              </w:rPr>
              <w:t xml:space="preserve">11.1. </w:t>
            </w:r>
            <w:r w:rsidR="00BC5D4F" w:rsidRPr="00683FF0">
              <w:rPr>
                <w:b/>
                <w:bCs/>
              </w:rPr>
              <w:t>The Government a</w:t>
            </w:r>
            <w:r w:rsidR="00C5707C" w:rsidRPr="00683FF0">
              <w:rPr>
                <w:b/>
                <w:bCs/>
              </w:rPr>
              <w:t>gree</w:t>
            </w:r>
            <w:r w:rsidR="00BC5D4F" w:rsidRPr="00683FF0">
              <w:rPr>
                <w:b/>
                <w:bCs/>
              </w:rPr>
              <w:t xml:space="preserve">s </w:t>
            </w:r>
            <w:r w:rsidR="00C5707C" w:rsidRPr="00683FF0">
              <w:rPr>
                <w:b/>
                <w:bCs/>
              </w:rPr>
              <w:t>in</w:t>
            </w:r>
            <w:r w:rsidR="00BC5D4F" w:rsidRPr="00683FF0">
              <w:rPr>
                <w:b/>
                <w:bCs/>
              </w:rPr>
              <w:t xml:space="preserve"> </w:t>
            </w:r>
            <w:r w:rsidR="00C5707C" w:rsidRPr="00683FF0">
              <w:rPr>
                <w:b/>
                <w:bCs/>
              </w:rPr>
              <w:t xml:space="preserve">principle </w:t>
            </w:r>
            <w:r w:rsidR="00BC5D4F" w:rsidRPr="00683FF0">
              <w:rPr>
                <w:b/>
                <w:bCs/>
              </w:rPr>
              <w:t>with this recommendation</w:t>
            </w:r>
            <w:r w:rsidR="003B3DF7" w:rsidRPr="00683FF0">
              <w:t xml:space="preserve">. </w:t>
            </w:r>
            <w:r w:rsidR="00866771" w:rsidRPr="00683FF0">
              <w:t xml:space="preserve">Policy </w:t>
            </w:r>
            <w:r w:rsidR="00E426E8" w:rsidRPr="00683FF0">
              <w:t xml:space="preserve">analysis is </w:t>
            </w:r>
            <w:r w:rsidR="008A5720" w:rsidRPr="00683FF0">
              <w:t xml:space="preserve">underway on unit supply in the NZ ETS to assess whether changes </w:t>
            </w:r>
            <w:r w:rsidR="00CF0108" w:rsidRPr="00683FF0">
              <w:t xml:space="preserve">to the </w:t>
            </w:r>
            <w:r w:rsidR="00A360DF" w:rsidRPr="00683FF0">
              <w:t>scheme</w:t>
            </w:r>
            <w:r w:rsidR="00CF0108" w:rsidRPr="00683FF0">
              <w:t xml:space="preserve"> </w:t>
            </w:r>
            <w:r w:rsidR="008A5720" w:rsidRPr="00683FF0">
              <w:t xml:space="preserve">are needed to </w:t>
            </w:r>
            <w:r w:rsidR="008F3302" w:rsidRPr="00683FF0">
              <w:t>drive an appropriate</w:t>
            </w:r>
            <w:r w:rsidR="008A5720" w:rsidRPr="00683FF0">
              <w:t xml:space="preserve"> balance </w:t>
            </w:r>
            <w:r w:rsidR="008F3302" w:rsidRPr="00683FF0">
              <w:t>of</w:t>
            </w:r>
            <w:r w:rsidR="008A5720" w:rsidRPr="00683FF0">
              <w:t xml:space="preserve"> gross and net </w:t>
            </w:r>
            <w:r w:rsidR="008E5FA5" w:rsidRPr="00683FF0">
              <w:t xml:space="preserve">emissions </w:t>
            </w:r>
            <w:r w:rsidR="008A5720" w:rsidRPr="00683FF0">
              <w:t xml:space="preserve">reductions. </w:t>
            </w:r>
            <w:r w:rsidR="0010755D" w:rsidRPr="00683FF0">
              <w:t>The Government will decide by the end of 2022 on whether to change NZ</w:t>
            </w:r>
            <w:r w:rsidR="00246A46" w:rsidRPr="00683FF0">
              <w:t> </w:t>
            </w:r>
            <w:r w:rsidR="0010755D" w:rsidRPr="00683FF0">
              <w:t>ETS rules in the future and</w:t>
            </w:r>
            <w:r w:rsidR="00DB7C92" w:rsidRPr="00683FF0">
              <w:t>,</w:t>
            </w:r>
            <w:r w:rsidR="0010755D" w:rsidRPr="00683FF0">
              <w:t xml:space="preserve"> if changes are necessary</w:t>
            </w:r>
            <w:r w:rsidR="00DB7C92" w:rsidRPr="00683FF0">
              <w:t>,</w:t>
            </w:r>
            <w:r w:rsidR="0010755D" w:rsidRPr="00683FF0">
              <w:t xml:space="preserve"> will also decide on preferred options </w:t>
            </w:r>
            <w:r w:rsidR="00D36259" w:rsidRPr="00683FF0">
              <w:t>(</w:t>
            </w:r>
            <w:r w:rsidR="00DD494A" w:rsidRPr="00683FF0">
              <w:t>c</w:t>
            </w:r>
            <w:r w:rsidR="00D36259" w:rsidRPr="00683FF0">
              <w:t>hapter 5</w:t>
            </w:r>
            <w:r w:rsidR="00DB7C92" w:rsidRPr="00683FF0">
              <w:t>:</w:t>
            </w:r>
            <w:r w:rsidR="00D36259" w:rsidRPr="00683FF0">
              <w:t xml:space="preserve"> Emissions pricing</w:t>
            </w:r>
            <w:r w:rsidR="00DB7C92" w:rsidRPr="00683FF0">
              <w:t>,</w:t>
            </w:r>
            <w:r w:rsidR="00D36259" w:rsidRPr="00683FF0">
              <w:t xml:space="preserve"> </w:t>
            </w:r>
            <w:r w:rsidR="00DB7C92" w:rsidRPr="00683FF0">
              <w:t>a</w:t>
            </w:r>
            <w:r w:rsidR="00D36259" w:rsidRPr="00683FF0">
              <w:t xml:space="preserve">ction </w:t>
            </w:r>
            <w:r w:rsidR="00340181" w:rsidRPr="00683FF0">
              <w:t>5.</w:t>
            </w:r>
            <w:r w:rsidR="00473D80" w:rsidRPr="00683FF0">
              <w:t>2</w:t>
            </w:r>
            <w:r w:rsidR="00F721C1" w:rsidRPr="00683FF0">
              <w:t>.1</w:t>
            </w:r>
            <w:r w:rsidR="00D36259" w:rsidRPr="00683FF0">
              <w:t>).</w:t>
            </w:r>
          </w:p>
        </w:tc>
      </w:tr>
      <w:tr w:rsidR="00DF21EF" w:rsidRPr="00683FF0" w14:paraId="5D607B23" w14:textId="77777777" w:rsidTr="003E67D8">
        <w:tc>
          <w:tcPr>
            <w:tcW w:w="4253" w:type="dxa"/>
            <w:shd w:val="clear" w:color="auto" w:fill="FFFFFF" w:themeFill="background1"/>
          </w:tcPr>
          <w:p w14:paraId="676BC3B8" w14:textId="77777777" w:rsidR="00EE1C91" w:rsidRPr="00683FF0" w:rsidRDefault="00EE1C91" w:rsidP="00496F2A">
            <w:pPr>
              <w:pStyle w:val="TableText"/>
            </w:pPr>
            <w:r w:rsidRPr="00683FF0">
              <w:t>11.2. Updating NZ ETS unit supply and price control settings to:</w:t>
            </w:r>
          </w:p>
          <w:p w14:paraId="4CC8E730" w14:textId="5AE73C61" w:rsidR="00EE1C91" w:rsidRPr="00683FF0" w:rsidRDefault="00496F2A" w:rsidP="00496F2A">
            <w:pPr>
              <w:pStyle w:val="TableText"/>
              <w:spacing w:before="0"/>
              <w:ind w:left="284" w:hanging="284"/>
            </w:pPr>
            <w:r w:rsidRPr="00683FF0">
              <w:t>a</w:t>
            </w:r>
            <w:r w:rsidR="00386F6C" w:rsidRPr="00683FF0">
              <w:t>.</w:t>
            </w:r>
            <w:r w:rsidRPr="00683FF0">
              <w:tab/>
            </w:r>
            <w:r w:rsidR="00EE1C91" w:rsidRPr="00683FF0">
              <w:t>Align unit volumes with emissions budgets, taking into account the need to reduce the NZU stockpile.</w:t>
            </w:r>
          </w:p>
          <w:p w14:paraId="2522469B" w14:textId="74043B10" w:rsidR="00EE1C91" w:rsidRPr="00683FF0" w:rsidRDefault="00496F2A" w:rsidP="00496F2A">
            <w:pPr>
              <w:pStyle w:val="TableText"/>
              <w:spacing w:before="0"/>
              <w:ind w:left="284" w:hanging="284"/>
            </w:pPr>
            <w:r w:rsidRPr="00683FF0">
              <w:t>b</w:t>
            </w:r>
            <w:r w:rsidR="00386F6C" w:rsidRPr="00683FF0">
              <w:t>.</w:t>
            </w:r>
            <w:r w:rsidRPr="00683FF0">
              <w:tab/>
            </w:r>
            <w:r w:rsidR="00EE1C91" w:rsidRPr="00683FF0">
              <w:t>Increase the cost containment reserve trigger price to $70 at the first possible opportunity and then every year by at least 10% plus inflation.</w:t>
            </w:r>
          </w:p>
          <w:p w14:paraId="354195B8" w14:textId="615ACF3E" w:rsidR="00DF21EF" w:rsidRPr="00683FF0" w:rsidRDefault="00496F2A" w:rsidP="003E67D8">
            <w:pPr>
              <w:pStyle w:val="TableText"/>
              <w:keepNext/>
              <w:spacing w:before="0"/>
              <w:ind w:left="284" w:hanging="284"/>
            </w:pPr>
            <w:r w:rsidRPr="00683FF0">
              <w:t>c</w:t>
            </w:r>
            <w:r w:rsidR="00386F6C" w:rsidRPr="00683FF0">
              <w:t>.</w:t>
            </w:r>
            <w:r w:rsidRPr="00683FF0">
              <w:tab/>
            </w:r>
            <w:r w:rsidR="00EE1C91" w:rsidRPr="00683FF0">
              <w:t>Maintain continuity with recent prices, by increasing the auction reserve trigger price to $30 as soon as practical, followed by annual increases of 5% plus inflation per year.</w:t>
            </w:r>
          </w:p>
        </w:tc>
        <w:tc>
          <w:tcPr>
            <w:tcW w:w="4252" w:type="dxa"/>
            <w:shd w:val="clear" w:color="auto" w:fill="FFFFFF" w:themeFill="background1"/>
          </w:tcPr>
          <w:p w14:paraId="32E229EB" w14:textId="0EEB0BB9" w:rsidR="0010755D" w:rsidRPr="00683FF0" w:rsidRDefault="00D035C1" w:rsidP="00496F2A">
            <w:pPr>
              <w:pStyle w:val="TableText"/>
              <w:rPr>
                <w:sz w:val="20"/>
                <w:szCs w:val="20"/>
              </w:rPr>
            </w:pPr>
            <w:r w:rsidRPr="00683FF0">
              <w:rPr>
                <w:b/>
                <w:bCs/>
              </w:rPr>
              <w:t xml:space="preserve">11.2. </w:t>
            </w:r>
            <w:r w:rsidR="004C011B" w:rsidRPr="00683FF0">
              <w:rPr>
                <w:b/>
                <w:bCs/>
              </w:rPr>
              <w:t>The Government agrees with this recommendation.</w:t>
            </w:r>
          </w:p>
          <w:p w14:paraId="36680600" w14:textId="3B9AA1AE" w:rsidR="00D9631B" w:rsidRPr="00683FF0" w:rsidRDefault="0010755D" w:rsidP="00496F2A">
            <w:pPr>
              <w:pStyle w:val="TableText"/>
            </w:pPr>
            <w:r w:rsidRPr="00683FF0">
              <w:rPr>
                <w:b/>
                <w:bCs/>
              </w:rPr>
              <w:t>11.2a.</w:t>
            </w:r>
            <w:r w:rsidRPr="00683FF0">
              <w:rPr>
                <w:b/>
                <w:bCs/>
                <w:sz w:val="20"/>
                <w:szCs w:val="20"/>
              </w:rPr>
              <w:t xml:space="preserve"> </w:t>
            </w:r>
            <w:r w:rsidR="00E51836" w:rsidRPr="00683FF0">
              <w:t xml:space="preserve">The Government </w:t>
            </w:r>
            <w:r w:rsidRPr="00683FF0">
              <w:t>agreed to update the NZ</w:t>
            </w:r>
            <w:r w:rsidR="00587A9C" w:rsidRPr="00683FF0">
              <w:t> </w:t>
            </w:r>
            <w:r w:rsidRPr="00683FF0">
              <w:t xml:space="preserve">ETS settings </w:t>
            </w:r>
            <w:r w:rsidR="00E86D0C" w:rsidRPr="00683FF0">
              <w:t xml:space="preserve">out to 2026 </w:t>
            </w:r>
            <w:r w:rsidRPr="00683FF0">
              <w:t xml:space="preserve">as per the Commission’s recommendations from 1 January 2022. Regulations </w:t>
            </w:r>
            <w:r w:rsidR="002F144F" w:rsidRPr="00683FF0">
              <w:t xml:space="preserve">were </w:t>
            </w:r>
            <w:r w:rsidRPr="00683FF0">
              <w:t xml:space="preserve">published in the NZ Gazette on 30 September 2021. </w:t>
            </w:r>
          </w:p>
          <w:p w14:paraId="0399E79C" w14:textId="3CACF1E4" w:rsidR="00DF21EF" w:rsidRPr="00683FF0" w:rsidRDefault="0010755D" w:rsidP="00496F2A">
            <w:pPr>
              <w:pStyle w:val="TableText"/>
            </w:pPr>
            <w:r w:rsidRPr="00683FF0">
              <w:t>This year, as part of the 2022 update to the unit limit and price control settings for 2025</w:t>
            </w:r>
            <w:r w:rsidR="00557314" w:rsidRPr="00683FF0">
              <w:t>-</w:t>
            </w:r>
            <w:r w:rsidRPr="00683FF0">
              <w:t>27, the Government will use the one-off provision to update the settings for 2023 and 2024</w:t>
            </w:r>
            <w:r w:rsidR="000867B6" w:rsidRPr="00683FF0">
              <w:t>,</w:t>
            </w:r>
            <w:r w:rsidRPr="00683FF0">
              <w:t xml:space="preserve"> which will consider the newly set emissions budgets and advice from the Commission (</w:t>
            </w:r>
            <w:r w:rsidR="00DD494A" w:rsidRPr="00683FF0">
              <w:t>c</w:t>
            </w:r>
            <w:r w:rsidRPr="00683FF0">
              <w:t>hapter 5</w:t>
            </w:r>
            <w:r w:rsidR="000867B6" w:rsidRPr="00683FF0">
              <w:t>:</w:t>
            </w:r>
            <w:r w:rsidRPr="00683FF0">
              <w:t xml:space="preserve"> Emissions pricing</w:t>
            </w:r>
            <w:r w:rsidR="000867B6" w:rsidRPr="00683FF0">
              <w:t>,</w:t>
            </w:r>
            <w:r w:rsidRPr="00683FF0">
              <w:t xml:space="preserve"> </w:t>
            </w:r>
            <w:r w:rsidR="000867B6" w:rsidRPr="00683FF0">
              <w:t>a</w:t>
            </w:r>
            <w:r w:rsidRPr="00683FF0">
              <w:t xml:space="preserve">ction </w:t>
            </w:r>
            <w:r w:rsidR="00340181" w:rsidRPr="00683FF0">
              <w:t>5.</w:t>
            </w:r>
            <w:r w:rsidR="00473D80" w:rsidRPr="00683FF0">
              <w:t>1</w:t>
            </w:r>
            <w:r w:rsidRPr="00683FF0">
              <w:t>).</w:t>
            </w:r>
          </w:p>
          <w:p w14:paraId="4D59A2A2" w14:textId="792F74EE" w:rsidR="0010755D" w:rsidRPr="00683FF0" w:rsidRDefault="0010755D" w:rsidP="00496F2A">
            <w:pPr>
              <w:pStyle w:val="TableText"/>
            </w:pPr>
            <w:r w:rsidRPr="00683FF0">
              <w:rPr>
                <w:b/>
                <w:bCs/>
              </w:rPr>
              <w:t>11.2b</w:t>
            </w:r>
            <w:r w:rsidRPr="00683FF0">
              <w:t xml:space="preserve">. </w:t>
            </w:r>
            <w:r w:rsidR="00E51836" w:rsidRPr="00683FF0">
              <w:t xml:space="preserve">The Government </w:t>
            </w:r>
            <w:r w:rsidRPr="00683FF0">
              <w:t xml:space="preserve">agreed to update the NZ ETS settings </w:t>
            </w:r>
            <w:r w:rsidR="00E86D0C" w:rsidRPr="00683FF0">
              <w:t>out to 2026</w:t>
            </w:r>
            <w:r w:rsidRPr="00683FF0">
              <w:t xml:space="preserve"> as per the Commission’s recommendations from 1 January 2022. Regulations</w:t>
            </w:r>
            <w:r w:rsidR="000867B6" w:rsidRPr="00683FF0">
              <w:t xml:space="preserve"> were</w:t>
            </w:r>
            <w:r w:rsidRPr="00683FF0">
              <w:t xml:space="preserve"> published in the NZ Gazette on 30 September 2021. </w:t>
            </w:r>
          </w:p>
          <w:p w14:paraId="3019806C" w14:textId="16DD85BD" w:rsidR="00D36259" w:rsidRPr="00683FF0" w:rsidRDefault="0010755D" w:rsidP="00911E3A">
            <w:pPr>
              <w:pStyle w:val="TableText"/>
            </w:pPr>
            <w:r w:rsidRPr="00683FF0">
              <w:rPr>
                <w:b/>
                <w:bCs/>
              </w:rPr>
              <w:t>11.2c.</w:t>
            </w:r>
            <w:r w:rsidRPr="00683FF0">
              <w:t xml:space="preserve"> </w:t>
            </w:r>
            <w:r w:rsidR="00E51836" w:rsidRPr="00683FF0">
              <w:t xml:space="preserve">The Government </w:t>
            </w:r>
            <w:r w:rsidRPr="00683FF0">
              <w:t xml:space="preserve">agreed to update the NZ ETS settings </w:t>
            </w:r>
            <w:r w:rsidR="00E86D0C" w:rsidRPr="00683FF0">
              <w:t xml:space="preserve">out to 2026 </w:t>
            </w:r>
            <w:r w:rsidRPr="00683FF0">
              <w:t>as per the Commission’s recommendations from 1 January 2022. Regulations</w:t>
            </w:r>
            <w:r w:rsidR="000867B6" w:rsidRPr="00683FF0">
              <w:t xml:space="preserve"> were</w:t>
            </w:r>
            <w:r w:rsidRPr="00683FF0">
              <w:t xml:space="preserve"> published in the NZ Gazette on 30 September 2021.</w:t>
            </w:r>
            <w:r w:rsidR="00D36259" w:rsidRPr="00683FF0">
              <w:t xml:space="preserve"> </w:t>
            </w:r>
          </w:p>
        </w:tc>
      </w:tr>
      <w:tr w:rsidR="00DF21EF" w:rsidRPr="00683FF0" w14:paraId="0D5D7B43" w14:textId="77777777" w:rsidTr="003E67D8">
        <w:tc>
          <w:tcPr>
            <w:tcW w:w="4253" w:type="dxa"/>
            <w:shd w:val="clear" w:color="auto" w:fill="FFFFFF" w:themeFill="background1"/>
          </w:tcPr>
          <w:p w14:paraId="5960C7A1" w14:textId="3B7CB05F" w:rsidR="00DF21EF" w:rsidRPr="00683FF0" w:rsidRDefault="00D36259" w:rsidP="003E67D8">
            <w:pPr>
              <w:pStyle w:val="TableText"/>
              <w:keepNext/>
            </w:pPr>
            <w:r w:rsidRPr="00683FF0">
              <w:lastRenderedPageBreak/>
              <w:t xml:space="preserve">11.3. </w:t>
            </w:r>
            <w:r w:rsidR="00EE1C91" w:rsidRPr="00683FF0">
              <w:t>Establishing an effective market governance regime for the NZ ETS as soon as possible to mitigate risks to market function, delivered through an interagency team.</w:t>
            </w:r>
          </w:p>
        </w:tc>
        <w:tc>
          <w:tcPr>
            <w:tcW w:w="4252" w:type="dxa"/>
            <w:shd w:val="clear" w:color="auto" w:fill="FFFFFF" w:themeFill="background1"/>
          </w:tcPr>
          <w:p w14:paraId="70D74420" w14:textId="6E6CF035" w:rsidR="00D36259" w:rsidRPr="00683FF0" w:rsidRDefault="00363C6B" w:rsidP="003E67D8">
            <w:pPr>
              <w:pStyle w:val="TableText"/>
              <w:keepNext/>
            </w:pPr>
            <w:r w:rsidRPr="00683FF0">
              <w:rPr>
                <w:rFonts w:eastAsia="Times New Roman" w:cstheme="minorHAnsi"/>
                <w:b/>
                <w:bCs/>
              </w:rPr>
              <w:t xml:space="preserve">11.3. </w:t>
            </w:r>
            <w:r w:rsidR="004C011B" w:rsidRPr="00683FF0">
              <w:rPr>
                <w:rFonts w:eastAsia="Times New Roman" w:cstheme="minorHAnsi"/>
                <w:b/>
                <w:bCs/>
              </w:rPr>
              <w:t>The Government agrees with this recommendation.</w:t>
            </w:r>
            <w:r w:rsidR="004C011B" w:rsidRPr="00683FF0">
              <w:rPr>
                <w:rFonts w:eastAsia="Times New Roman" w:cstheme="minorHAnsi"/>
              </w:rPr>
              <w:t xml:space="preserve"> </w:t>
            </w:r>
            <w:r w:rsidR="00D36259" w:rsidRPr="00683FF0">
              <w:t xml:space="preserve">The Government is working on options to address seven identified market risks and construct an effective market governance framework for the NZ ETS. Policy decisions are expected in mid-2022 with a legislative Bill to be introduced </w:t>
            </w:r>
            <w:r w:rsidR="00902CF3" w:rsidRPr="00683FF0">
              <w:t xml:space="preserve">in </w:t>
            </w:r>
            <w:r w:rsidR="00D36259" w:rsidRPr="00683FF0">
              <w:t>late 2022 (</w:t>
            </w:r>
            <w:r w:rsidR="00DD494A" w:rsidRPr="00683FF0">
              <w:t>c</w:t>
            </w:r>
            <w:r w:rsidR="00D36259" w:rsidRPr="00683FF0">
              <w:t>hapter 5</w:t>
            </w:r>
            <w:r w:rsidR="00902CF3" w:rsidRPr="00683FF0">
              <w:t>:</w:t>
            </w:r>
            <w:r w:rsidR="00D36259" w:rsidRPr="00683FF0">
              <w:t xml:space="preserve"> Emissions pricing</w:t>
            </w:r>
            <w:r w:rsidR="00902CF3" w:rsidRPr="00683FF0">
              <w:t>,</w:t>
            </w:r>
            <w:r w:rsidR="00D36259" w:rsidRPr="00683FF0">
              <w:t xml:space="preserve"> </w:t>
            </w:r>
            <w:r w:rsidR="00902CF3" w:rsidRPr="00683FF0">
              <w:t>a</w:t>
            </w:r>
            <w:r w:rsidR="00D36259" w:rsidRPr="00683FF0">
              <w:t xml:space="preserve">ction </w:t>
            </w:r>
            <w:r w:rsidR="00340181" w:rsidRPr="00683FF0">
              <w:t>5.</w:t>
            </w:r>
            <w:r w:rsidR="00D36259" w:rsidRPr="00683FF0">
              <w:t>3).</w:t>
            </w:r>
          </w:p>
        </w:tc>
      </w:tr>
      <w:tr w:rsidR="00DF21EF" w:rsidRPr="00683FF0" w14:paraId="03F81228" w14:textId="77777777" w:rsidTr="003E67D8">
        <w:tc>
          <w:tcPr>
            <w:tcW w:w="4253" w:type="dxa"/>
            <w:shd w:val="clear" w:color="auto" w:fill="FFFFFF" w:themeFill="background1"/>
          </w:tcPr>
          <w:p w14:paraId="17071386" w14:textId="6644664A" w:rsidR="00EE1C91" w:rsidRPr="00683FF0" w:rsidRDefault="00D36259" w:rsidP="00911E3A">
            <w:pPr>
              <w:pStyle w:val="TableText"/>
            </w:pPr>
            <w:r w:rsidRPr="00683FF0">
              <w:t>11.4</w:t>
            </w:r>
            <w:r w:rsidR="00D035C1" w:rsidRPr="00683FF0">
              <w:t>.</w:t>
            </w:r>
            <w:r w:rsidRPr="00683FF0">
              <w:t xml:space="preserve"> </w:t>
            </w:r>
            <w:r w:rsidR="00EE1C91" w:rsidRPr="00683FF0">
              <w:t>Continually improving the NZ ETS, including by:</w:t>
            </w:r>
          </w:p>
          <w:p w14:paraId="2E21C757" w14:textId="77777777" w:rsidR="00EE1C91" w:rsidRPr="00683FF0" w:rsidRDefault="00EE1C91" w:rsidP="00D21268">
            <w:pPr>
              <w:pStyle w:val="TableText"/>
              <w:numPr>
                <w:ilvl w:val="0"/>
                <w:numId w:val="17"/>
              </w:numPr>
              <w:spacing w:before="0"/>
            </w:pPr>
            <w:r w:rsidRPr="00683FF0">
              <w:t>Developing and implementing a plan for recycling proceeds from NZ ETS unit auctions into emissions reductions, adaptation, climate education, equitable transitions and meeting international climate change obligations. This plan should include mechanisms to ensure that it contributes to equitable outcomes for Iwi/Māori.</w:t>
            </w:r>
          </w:p>
          <w:p w14:paraId="64C5FEFF" w14:textId="77777777" w:rsidR="00EE1C91" w:rsidRPr="00683FF0" w:rsidRDefault="00EE1C91" w:rsidP="00D21268">
            <w:pPr>
              <w:pStyle w:val="TableText"/>
              <w:numPr>
                <w:ilvl w:val="0"/>
                <w:numId w:val="17"/>
              </w:numPr>
              <w:spacing w:before="0"/>
            </w:pPr>
            <w:r w:rsidRPr="00683FF0">
              <w:t>Implementing the legislated process for review and phase-out of industrial free allocation, reviewing other aspects of industrial free allocation policy to ensure they are fit for purpose and exploring other policy instruments that over the longer term could be used to address the risk of emissions leakage.</w:t>
            </w:r>
          </w:p>
          <w:p w14:paraId="1E9A768E" w14:textId="77777777" w:rsidR="00EE1C91" w:rsidRPr="00683FF0" w:rsidRDefault="00EE1C91" w:rsidP="00D21268">
            <w:pPr>
              <w:pStyle w:val="TableText"/>
              <w:numPr>
                <w:ilvl w:val="0"/>
                <w:numId w:val="17"/>
              </w:numPr>
              <w:spacing w:before="0"/>
            </w:pPr>
            <w:r w:rsidRPr="00683FF0">
              <w:t>Providing more information to reduce uncertainty about adjustments to NZ ETS settings, to support informed decision-making by market participants.</w:t>
            </w:r>
          </w:p>
          <w:p w14:paraId="564E61BA" w14:textId="71106FB5" w:rsidR="00DF21EF" w:rsidRPr="00683FF0" w:rsidRDefault="00EE1C91" w:rsidP="00D21268">
            <w:pPr>
              <w:pStyle w:val="TableText"/>
              <w:numPr>
                <w:ilvl w:val="0"/>
                <w:numId w:val="17"/>
              </w:numPr>
              <w:spacing w:before="0"/>
            </w:pPr>
            <w:r w:rsidRPr="00683FF0">
              <w:t>Urgently clarifying the role and avenues for voluntary mitigation in Aotearoa, so that businesses and other organisations can understand the options available to them for making robust voluntary commitments or claims.</w:t>
            </w:r>
          </w:p>
        </w:tc>
        <w:tc>
          <w:tcPr>
            <w:tcW w:w="4252" w:type="dxa"/>
            <w:shd w:val="clear" w:color="auto" w:fill="FFFFFF" w:themeFill="background1"/>
          </w:tcPr>
          <w:p w14:paraId="0963819E" w14:textId="28A9FA80" w:rsidR="4927480B" w:rsidRPr="00683FF0" w:rsidRDefault="00D36259" w:rsidP="00911E3A">
            <w:pPr>
              <w:pStyle w:val="TableText"/>
              <w:rPr>
                <w:rFonts w:eastAsia="Calibri" w:cs="Calibri"/>
              </w:rPr>
            </w:pPr>
            <w:r w:rsidRPr="00683FF0">
              <w:rPr>
                <w:b/>
                <w:bCs/>
              </w:rPr>
              <w:t>11.4a.</w:t>
            </w:r>
            <w:r w:rsidR="00147D82" w:rsidRPr="00683FF0">
              <w:rPr>
                <w:b/>
                <w:bCs/>
              </w:rPr>
              <w:t xml:space="preserve"> </w:t>
            </w:r>
            <w:r w:rsidR="00147D82" w:rsidRPr="00683FF0">
              <w:rPr>
                <w:rFonts w:eastAsia="Times New Roman"/>
                <w:b/>
              </w:rPr>
              <w:t>The Government agrees with this recommendation.</w:t>
            </w:r>
            <w:r w:rsidRPr="00683FF0">
              <w:rPr>
                <w:b/>
                <w:bCs/>
              </w:rPr>
              <w:t xml:space="preserve"> </w:t>
            </w:r>
            <w:r w:rsidRPr="00683FF0">
              <w:t xml:space="preserve">The Government has established the </w:t>
            </w:r>
            <w:r w:rsidR="5EF9C287" w:rsidRPr="00683FF0">
              <w:t xml:space="preserve">Climate </w:t>
            </w:r>
            <w:r w:rsidR="00B27D2D" w:rsidRPr="00683FF0">
              <w:t>Emergency Response Fund</w:t>
            </w:r>
            <w:r w:rsidRPr="00683FF0">
              <w:t xml:space="preserve"> </w:t>
            </w:r>
            <w:r w:rsidR="4927480B" w:rsidRPr="00683FF0">
              <w:rPr>
                <w:rFonts w:eastAsia="Calibri" w:cs="Calibri"/>
              </w:rPr>
              <w:t>with a $4.5 billion down payment. This is proportional to NZ ETS auction cash proceeds over 2022/23 to 2025/26, as forecast in</w:t>
            </w:r>
            <w:r w:rsidR="003E67D8" w:rsidRPr="00683FF0">
              <w:rPr>
                <w:rFonts w:eastAsia="Calibri" w:cs="Calibri"/>
              </w:rPr>
              <w:t> </w:t>
            </w:r>
            <w:r w:rsidR="4927480B" w:rsidRPr="00683FF0">
              <w:rPr>
                <w:rFonts w:eastAsia="Calibri" w:cs="Calibri"/>
              </w:rPr>
              <w:t>the Treasury’s Half-Year Economic and Fiscal Update</w:t>
            </w:r>
            <w:r w:rsidR="003E67D8" w:rsidRPr="00683FF0">
              <w:rPr>
                <w:rFonts w:eastAsia="Calibri" w:cs="Calibri"/>
              </w:rPr>
              <w:t> </w:t>
            </w:r>
            <w:r w:rsidR="4927480B" w:rsidRPr="00683FF0">
              <w:rPr>
                <w:rFonts w:eastAsia="Calibri" w:cs="Calibri"/>
              </w:rPr>
              <w:t>2021.</w:t>
            </w:r>
          </w:p>
          <w:p w14:paraId="22D8D92F" w14:textId="0A9BBB1D" w:rsidR="0034434F" w:rsidRPr="00683FF0" w:rsidRDefault="00D36259" w:rsidP="00911E3A">
            <w:pPr>
              <w:pStyle w:val="TableText"/>
            </w:pPr>
            <w:r w:rsidRPr="00683FF0">
              <w:t xml:space="preserve">The current criteria for the CERF determine eligibility based on evidence of emissions reduction, addressing distributional impacts of the transition or taking an ao Māori approach to climate action. The outcomes noted by the </w:t>
            </w:r>
            <w:r w:rsidR="00147D82" w:rsidRPr="00683FF0">
              <w:t>Commission</w:t>
            </w:r>
            <w:r w:rsidRPr="00683FF0">
              <w:t xml:space="preserve"> can therefore be addressed through the breadth of these existing criteria (which can additionally be amended in future) (</w:t>
            </w:r>
            <w:r w:rsidR="00DD494A" w:rsidRPr="00683FF0">
              <w:t>c</w:t>
            </w:r>
            <w:r w:rsidRPr="00683FF0">
              <w:t xml:space="preserve">hapter </w:t>
            </w:r>
            <w:r w:rsidR="00DC4719" w:rsidRPr="00683FF0">
              <w:t>6</w:t>
            </w:r>
            <w:r w:rsidRPr="00683FF0">
              <w:t xml:space="preserve">: </w:t>
            </w:r>
            <w:r w:rsidR="00902CF3" w:rsidRPr="00683FF0">
              <w:t>F</w:t>
            </w:r>
            <w:r w:rsidRPr="00683FF0">
              <w:t xml:space="preserve">unding </w:t>
            </w:r>
            <w:r w:rsidR="00902CF3" w:rsidRPr="00683FF0">
              <w:t>and finance,</w:t>
            </w:r>
            <w:r w:rsidRPr="00683FF0">
              <w:t xml:space="preserve"> </w:t>
            </w:r>
            <w:r w:rsidR="00902CF3" w:rsidRPr="00683FF0">
              <w:t>a</w:t>
            </w:r>
            <w:r w:rsidRPr="00683FF0">
              <w:t xml:space="preserve">ction </w:t>
            </w:r>
            <w:r w:rsidR="00340181" w:rsidRPr="00683FF0">
              <w:t>6.</w:t>
            </w:r>
            <w:r w:rsidRPr="00683FF0">
              <w:t>1).</w:t>
            </w:r>
          </w:p>
          <w:p w14:paraId="28141130" w14:textId="78ECF7D5" w:rsidR="00674258" w:rsidRPr="00683FF0" w:rsidRDefault="00D36259" w:rsidP="00911E3A">
            <w:pPr>
              <w:pStyle w:val="TableText"/>
            </w:pPr>
            <w:r w:rsidRPr="00683FF0">
              <w:rPr>
                <w:b/>
                <w:bCs/>
              </w:rPr>
              <w:t>11.4b</w:t>
            </w:r>
            <w:r w:rsidRPr="00683FF0">
              <w:t xml:space="preserve">. </w:t>
            </w:r>
            <w:r w:rsidR="00147D82" w:rsidRPr="00683FF0">
              <w:rPr>
                <w:rFonts w:eastAsia="Times New Roman" w:cstheme="minorHAnsi"/>
                <w:b/>
                <w:bCs/>
              </w:rPr>
              <w:t>The Government agrees with th</w:t>
            </w:r>
            <w:r w:rsidR="00CF60F2" w:rsidRPr="00683FF0">
              <w:rPr>
                <w:rFonts w:eastAsia="Times New Roman" w:cstheme="minorHAnsi"/>
                <w:b/>
                <w:bCs/>
              </w:rPr>
              <w:t>is</w:t>
            </w:r>
            <w:r w:rsidR="00147D82" w:rsidRPr="00683FF0">
              <w:rPr>
                <w:rFonts w:eastAsia="Times New Roman" w:cstheme="minorHAnsi"/>
                <w:b/>
                <w:bCs/>
              </w:rPr>
              <w:t xml:space="preserve"> recommendation.</w:t>
            </w:r>
            <w:r w:rsidR="00147D82" w:rsidRPr="00683FF0">
              <w:rPr>
                <w:b/>
                <w:bCs/>
              </w:rPr>
              <w:t xml:space="preserve"> </w:t>
            </w:r>
            <w:r w:rsidR="00DA40C2" w:rsidRPr="00683FF0">
              <w:t>Implement the</w:t>
            </w:r>
            <w:r w:rsidR="00674258" w:rsidRPr="00683FF0">
              <w:t xml:space="preserve"> process for review and phase-out</w:t>
            </w:r>
            <w:r w:rsidR="00083B7A" w:rsidRPr="00683FF0">
              <w:t xml:space="preserve"> of industrial </w:t>
            </w:r>
            <w:r w:rsidR="003461C0" w:rsidRPr="00683FF0">
              <w:t xml:space="preserve">free </w:t>
            </w:r>
            <w:r w:rsidR="00083B7A" w:rsidRPr="00683FF0">
              <w:t xml:space="preserve">allocation: The phase-out </w:t>
            </w:r>
            <w:r w:rsidR="00E97EE9" w:rsidRPr="00683FF0">
              <w:t>of indus</w:t>
            </w:r>
            <w:r w:rsidR="003461C0" w:rsidRPr="00683FF0">
              <w:t>trial allocation</w:t>
            </w:r>
            <w:r w:rsidR="00083B7A" w:rsidRPr="00683FF0">
              <w:t xml:space="preserve"> has commenced</w:t>
            </w:r>
            <w:r w:rsidR="00B95D8A" w:rsidRPr="00683FF0">
              <w:t xml:space="preserve">. </w:t>
            </w:r>
            <w:r w:rsidR="007A3851" w:rsidRPr="00683FF0">
              <w:t>O</w:t>
            </w:r>
            <w:r w:rsidR="008D2DBB" w:rsidRPr="00683FF0">
              <w:t>n</w:t>
            </w:r>
            <w:r w:rsidR="00B95D8A" w:rsidRPr="00683FF0">
              <w:t xml:space="preserve"> the Minister’s request</w:t>
            </w:r>
            <w:r w:rsidR="008D2DBB" w:rsidRPr="00683FF0">
              <w:t>,</w:t>
            </w:r>
            <w:r w:rsidR="00B95D8A" w:rsidRPr="00683FF0">
              <w:t xml:space="preserve"> </w:t>
            </w:r>
            <w:r w:rsidR="00D104ED" w:rsidRPr="00683FF0">
              <w:t xml:space="preserve">the Commission </w:t>
            </w:r>
            <w:r w:rsidR="00B87A17" w:rsidRPr="00683FF0">
              <w:t xml:space="preserve">must </w:t>
            </w:r>
            <w:r w:rsidR="00D104ED" w:rsidRPr="00683FF0">
              <w:t xml:space="preserve">consider and recommend if </w:t>
            </w:r>
            <w:r w:rsidR="00832FE5" w:rsidRPr="00683FF0">
              <w:t xml:space="preserve">increased or decreased phase-out rates </w:t>
            </w:r>
            <w:r w:rsidR="009B4254" w:rsidRPr="00683FF0">
              <w:t>should be set</w:t>
            </w:r>
            <w:r w:rsidR="006A3432" w:rsidRPr="00683FF0">
              <w:t xml:space="preserve"> (s</w:t>
            </w:r>
            <w:r w:rsidR="00013D7A" w:rsidRPr="00683FF0">
              <w:t>ee</w:t>
            </w:r>
            <w:r w:rsidR="006A3432" w:rsidRPr="00683FF0">
              <w:t xml:space="preserve"> </w:t>
            </w:r>
            <w:r w:rsidR="000E0992" w:rsidRPr="00683FF0">
              <w:t xml:space="preserve">section </w:t>
            </w:r>
            <w:r w:rsidR="00013D7A" w:rsidRPr="00683FF0">
              <w:t>5ZOB of the CCRA)</w:t>
            </w:r>
            <w:r w:rsidR="00832FE5" w:rsidRPr="00683FF0">
              <w:t xml:space="preserve">. </w:t>
            </w:r>
          </w:p>
          <w:p w14:paraId="3D5F4BB8" w14:textId="770FBFDE" w:rsidR="00D36259" w:rsidRPr="00683FF0" w:rsidRDefault="00D36259" w:rsidP="00911E3A">
            <w:pPr>
              <w:pStyle w:val="TableText"/>
            </w:pPr>
            <w:r w:rsidRPr="00683FF0">
              <w:t>Update industrial allocation policy: The Government will seek final decisions on updates to industrial allocation policy by mid-2022</w:t>
            </w:r>
            <w:r w:rsidR="000E0992" w:rsidRPr="00683FF0">
              <w:t>,</w:t>
            </w:r>
            <w:r w:rsidRPr="00683FF0">
              <w:t xml:space="preserve"> with a legislative Bill to be introduced late 2022 </w:t>
            </w:r>
            <w:r w:rsidR="0034434F" w:rsidRPr="00683FF0">
              <w:t>(</w:t>
            </w:r>
            <w:r w:rsidR="00DD494A" w:rsidRPr="00683FF0">
              <w:t>c</w:t>
            </w:r>
            <w:r w:rsidR="0034434F" w:rsidRPr="00683FF0">
              <w:t>hapter 5</w:t>
            </w:r>
            <w:r w:rsidR="000E0992" w:rsidRPr="00683FF0">
              <w:t>:</w:t>
            </w:r>
            <w:r w:rsidR="0034434F" w:rsidRPr="00683FF0">
              <w:t xml:space="preserve"> Emissions pricing</w:t>
            </w:r>
            <w:r w:rsidR="000E0992" w:rsidRPr="00683FF0">
              <w:t>,</w:t>
            </w:r>
            <w:r w:rsidR="0034434F" w:rsidRPr="00683FF0">
              <w:t xml:space="preserve"> </w:t>
            </w:r>
            <w:r w:rsidR="000E0992" w:rsidRPr="00683FF0">
              <w:t>a</w:t>
            </w:r>
            <w:r w:rsidR="0034434F" w:rsidRPr="00683FF0">
              <w:t xml:space="preserve">ction </w:t>
            </w:r>
            <w:r w:rsidR="00354946" w:rsidRPr="00683FF0">
              <w:t>5.</w:t>
            </w:r>
            <w:r w:rsidR="0034434F" w:rsidRPr="00683FF0">
              <w:t>4.1).</w:t>
            </w:r>
          </w:p>
          <w:p w14:paraId="16388426" w14:textId="768DDB44" w:rsidR="00D36259" w:rsidRPr="00683FF0" w:rsidRDefault="00D36259" w:rsidP="00911E3A">
            <w:pPr>
              <w:pStyle w:val="TableText"/>
            </w:pPr>
            <w:r w:rsidRPr="00683FF0">
              <w:t xml:space="preserve">Investigate long-term options to address emissions leakage: The Government will assess the risk of emissions leakage in </w:t>
            </w:r>
            <w:r w:rsidR="00A02DE8" w:rsidRPr="00683FF0">
              <w:t>Aotearoa</w:t>
            </w:r>
            <w:r w:rsidRPr="00683FF0">
              <w:t xml:space="preserve"> and long-term policy options to address any risks, starting with the cement sector</w:t>
            </w:r>
            <w:r w:rsidR="0034434F" w:rsidRPr="00683FF0">
              <w:t xml:space="preserve"> (</w:t>
            </w:r>
            <w:r w:rsidR="00DD494A" w:rsidRPr="00683FF0">
              <w:t>c</w:t>
            </w:r>
            <w:r w:rsidR="0034434F" w:rsidRPr="00683FF0">
              <w:t>hapter</w:t>
            </w:r>
            <w:r w:rsidR="00363C6B" w:rsidRPr="00683FF0">
              <w:t> </w:t>
            </w:r>
            <w:r w:rsidR="0034434F" w:rsidRPr="00683FF0">
              <w:t>5</w:t>
            </w:r>
            <w:r w:rsidR="000E0992" w:rsidRPr="00683FF0">
              <w:t>:</w:t>
            </w:r>
            <w:r w:rsidR="0034434F" w:rsidRPr="00683FF0">
              <w:t xml:space="preserve"> Emissions pricing</w:t>
            </w:r>
            <w:r w:rsidR="000E0992" w:rsidRPr="00683FF0">
              <w:t>,</w:t>
            </w:r>
            <w:r w:rsidR="0034434F" w:rsidRPr="00683FF0">
              <w:t xml:space="preserve"> </w:t>
            </w:r>
            <w:r w:rsidR="000E0992" w:rsidRPr="00683FF0">
              <w:t>a</w:t>
            </w:r>
            <w:r w:rsidR="0034434F" w:rsidRPr="00683FF0">
              <w:t xml:space="preserve">ction </w:t>
            </w:r>
            <w:r w:rsidR="00354946" w:rsidRPr="00683FF0">
              <w:t>5.</w:t>
            </w:r>
            <w:r w:rsidR="0034434F" w:rsidRPr="00683FF0">
              <w:t>4.2).</w:t>
            </w:r>
          </w:p>
          <w:p w14:paraId="47A263BF" w14:textId="16BDF09F" w:rsidR="0034434F" w:rsidRPr="00683FF0" w:rsidRDefault="0034434F" w:rsidP="00911E3A">
            <w:pPr>
              <w:pStyle w:val="TableText"/>
            </w:pPr>
            <w:r w:rsidRPr="00683FF0">
              <w:rPr>
                <w:b/>
                <w:bCs/>
              </w:rPr>
              <w:t>11.4c.</w:t>
            </w:r>
            <w:r w:rsidRPr="00683FF0">
              <w:t xml:space="preserve"> </w:t>
            </w:r>
            <w:r w:rsidR="00147D82" w:rsidRPr="00683FF0">
              <w:rPr>
                <w:rFonts w:eastAsia="Times New Roman" w:cstheme="minorHAnsi"/>
                <w:b/>
                <w:bCs/>
              </w:rPr>
              <w:t>The Government agrees with this recommendation.</w:t>
            </w:r>
            <w:r w:rsidRPr="00683FF0">
              <w:rPr>
                <w:b/>
              </w:rPr>
              <w:t xml:space="preserve"> </w:t>
            </w:r>
            <w:r w:rsidRPr="00683FF0">
              <w:t>Alongside the 2022 update of the NZ</w:t>
            </w:r>
            <w:r w:rsidR="000E0992" w:rsidRPr="00683FF0">
              <w:t> </w:t>
            </w:r>
            <w:r w:rsidRPr="00683FF0">
              <w:t>ETS unit supply and price control settings, the Government intends to publish supporting information on how NZ ETS settings are determined</w:t>
            </w:r>
            <w:r w:rsidR="000E0992" w:rsidRPr="00683FF0">
              <w:t>. This will</w:t>
            </w:r>
            <w:r w:rsidRPr="00683FF0">
              <w:t xml:space="preserve"> includ</w:t>
            </w:r>
            <w:r w:rsidR="000E0992" w:rsidRPr="00683FF0">
              <w:t>e</w:t>
            </w:r>
            <w:r w:rsidRPr="00683FF0">
              <w:t xml:space="preserve"> how events such as </w:t>
            </w:r>
            <w:r w:rsidR="00644998" w:rsidRPr="00683FF0">
              <w:t xml:space="preserve">significant changes in </w:t>
            </w:r>
            <w:r w:rsidR="00A02DE8" w:rsidRPr="00683FF0">
              <w:t xml:space="preserve">Aotearoa </w:t>
            </w:r>
            <w:r w:rsidR="00644998" w:rsidRPr="00683FF0">
              <w:t>New Zealand’s emissions profile</w:t>
            </w:r>
            <w:r w:rsidR="001B4B31" w:rsidRPr="00683FF0">
              <w:t>, or the triggering of the cost containment reserve</w:t>
            </w:r>
            <w:r w:rsidR="00BF4E15" w:rsidRPr="00683FF0">
              <w:t>,</w:t>
            </w:r>
            <w:r w:rsidRPr="00683FF0">
              <w:t xml:space="preserve"> will affect unit supply</w:t>
            </w:r>
            <w:r w:rsidRPr="00683FF0">
              <w:rPr>
                <w:rFonts w:eastAsia="Times New Roman" w:cstheme="minorHAnsi"/>
                <w:sz w:val="20"/>
                <w:szCs w:val="20"/>
              </w:rPr>
              <w:t xml:space="preserve"> </w:t>
            </w:r>
            <w:r w:rsidRPr="00683FF0">
              <w:t>(</w:t>
            </w:r>
            <w:r w:rsidR="00DD494A" w:rsidRPr="00683FF0">
              <w:t>c</w:t>
            </w:r>
            <w:r w:rsidRPr="00683FF0">
              <w:t>hapter 5</w:t>
            </w:r>
            <w:r w:rsidR="00BF4E15" w:rsidRPr="00683FF0">
              <w:t>:</w:t>
            </w:r>
            <w:r w:rsidRPr="00683FF0">
              <w:t xml:space="preserve"> Emissions pricing</w:t>
            </w:r>
            <w:r w:rsidR="00BF4E15" w:rsidRPr="00683FF0">
              <w:t>,</w:t>
            </w:r>
            <w:r w:rsidRPr="00683FF0">
              <w:t xml:space="preserve"> </w:t>
            </w:r>
            <w:r w:rsidR="00BF4E15" w:rsidRPr="00683FF0">
              <w:t>a</w:t>
            </w:r>
            <w:r w:rsidRPr="00683FF0">
              <w:t xml:space="preserve">ction </w:t>
            </w:r>
            <w:r w:rsidR="00354946" w:rsidRPr="00683FF0">
              <w:t>5.</w:t>
            </w:r>
            <w:r w:rsidR="008D1303" w:rsidRPr="00683FF0">
              <w:t>1</w:t>
            </w:r>
            <w:r w:rsidRPr="00683FF0">
              <w:t>).</w:t>
            </w:r>
          </w:p>
          <w:p w14:paraId="1807F2BE" w14:textId="5C4F69E9" w:rsidR="00D36259" w:rsidRPr="00683FF0" w:rsidRDefault="0034434F" w:rsidP="001A1E13">
            <w:pPr>
              <w:pStyle w:val="TableText"/>
            </w:pPr>
            <w:r w:rsidRPr="00683FF0">
              <w:rPr>
                <w:b/>
                <w:bCs/>
              </w:rPr>
              <w:t>11.4d.</w:t>
            </w:r>
            <w:r w:rsidRPr="00683FF0">
              <w:t xml:space="preserve"> </w:t>
            </w:r>
            <w:r w:rsidR="00147D82" w:rsidRPr="00683FF0">
              <w:rPr>
                <w:rFonts w:eastAsia="Times New Roman" w:cstheme="minorHAnsi"/>
                <w:b/>
                <w:bCs/>
              </w:rPr>
              <w:t>The Government agrees with this recommendation.</w:t>
            </w:r>
            <w:r w:rsidRPr="00683FF0">
              <w:rPr>
                <w:b/>
              </w:rPr>
              <w:t xml:space="preserve"> </w:t>
            </w:r>
            <w:r w:rsidRPr="00683FF0">
              <w:t>The Government updated its VCM guidance in early 2022. Additional work is planned to</w:t>
            </w:r>
            <w:r w:rsidR="003E67D8" w:rsidRPr="00683FF0">
              <w:t> </w:t>
            </w:r>
            <w:r w:rsidRPr="00683FF0">
              <w:t>develop a VCM framework. Next steps will be considered in November 2022 (</w:t>
            </w:r>
            <w:r w:rsidR="00DD494A" w:rsidRPr="00683FF0">
              <w:t>c</w:t>
            </w:r>
            <w:r w:rsidRPr="00683FF0">
              <w:t>hapter 5</w:t>
            </w:r>
            <w:r w:rsidR="001E0191" w:rsidRPr="00683FF0">
              <w:t>:</w:t>
            </w:r>
            <w:r w:rsidRPr="00683FF0">
              <w:t xml:space="preserve"> Emissions pricing</w:t>
            </w:r>
            <w:r w:rsidR="001E0191" w:rsidRPr="00683FF0">
              <w:t>,</w:t>
            </w:r>
            <w:r w:rsidRPr="00683FF0">
              <w:t xml:space="preserve"> </w:t>
            </w:r>
            <w:r w:rsidR="001E0191" w:rsidRPr="00683FF0">
              <w:t>a</w:t>
            </w:r>
            <w:r w:rsidRPr="00683FF0">
              <w:t xml:space="preserve">ction </w:t>
            </w:r>
            <w:r w:rsidR="00354946" w:rsidRPr="00683FF0">
              <w:t>5.</w:t>
            </w:r>
            <w:r w:rsidRPr="00683FF0">
              <w:t>5).</w:t>
            </w:r>
            <w:r w:rsidR="003E67D8" w:rsidRPr="00683FF0">
              <w:br/>
            </w:r>
          </w:p>
        </w:tc>
      </w:tr>
      <w:tr w:rsidR="00ED757E" w:rsidRPr="00683FF0" w14:paraId="520E4C72" w14:textId="77777777" w:rsidTr="003E67D8">
        <w:tc>
          <w:tcPr>
            <w:tcW w:w="4253" w:type="dxa"/>
            <w:shd w:val="clear" w:color="auto" w:fill="FFFFFF" w:themeFill="background1"/>
          </w:tcPr>
          <w:p w14:paraId="51557721" w14:textId="77777777" w:rsidR="00ED757E" w:rsidRPr="00683FF0" w:rsidRDefault="00ED757E" w:rsidP="00EE1C91">
            <w:pPr>
              <w:spacing w:before="40" w:after="40"/>
              <w:rPr>
                <w:sz w:val="18"/>
                <w:szCs w:val="18"/>
              </w:rPr>
            </w:pPr>
          </w:p>
        </w:tc>
        <w:tc>
          <w:tcPr>
            <w:tcW w:w="4252" w:type="dxa"/>
            <w:shd w:val="clear" w:color="auto" w:fill="FFFFFF" w:themeFill="background1"/>
          </w:tcPr>
          <w:p w14:paraId="3D03574B" w14:textId="02632A13" w:rsidR="00ED757E" w:rsidRPr="00683FF0" w:rsidRDefault="00ED757E" w:rsidP="001A1E13">
            <w:pPr>
              <w:pStyle w:val="TableText"/>
            </w:pPr>
            <w:r w:rsidRPr="00683FF0">
              <w:rPr>
                <w:b/>
                <w:bCs/>
              </w:rPr>
              <w:t>Responsible agencies:</w:t>
            </w:r>
            <w:r w:rsidR="001E0191" w:rsidRPr="00683FF0">
              <w:t xml:space="preserve"> </w:t>
            </w:r>
            <w:r w:rsidRPr="00683FF0">
              <w:t>Ministry for the Environment, Ministry for Primary Industries</w:t>
            </w:r>
            <w:r w:rsidR="00615BBD" w:rsidRPr="00683FF0">
              <w:t xml:space="preserve">, Ministry of Business, Innovation </w:t>
            </w:r>
            <w:r w:rsidR="00591D68" w:rsidRPr="00683FF0">
              <w:t xml:space="preserve">and </w:t>
            </w:r>
            <w:r w:rsidR="00615BBD" w:rsidRPr="00683FF0">
              <w:t>Employment, Ministry of Transport</w:t>
            </w:r>
            <w:r w:rsidR="00054101" w:rsidRPr="00683FF0">
              <w:t>, Treasury</w:t>
            </w:r>
            <w:r w:rsidR="009E1D38" w:rsidRPr="00683FF0">
              <w:t>, Inland Revenue</w:t>
            </w:r>
          </w:p>
          <w:p w14:paraId="4C659B10" w14:textId="010025CB" w:rsidR="00ED757E" w:rsidRPr="00683FF0" w:rsidRDefault="00ED757E" w:rsidP="003E67D8">
            <w:pPr>
              <w:pStyle w:val="TableText"/>
              <w:spacing w:before="0"/>
            </w:pPr>
            <w:r w:rsidRPr="00683FF0">
              <w:rPr>
                <w:b/>
                <w:bCs/>
              </w:rPr>
              <w:t>Responsible Ministers:</w:t>
            </w:r>
            <w:r w:rsidRPr="00683FF0">
              <w:t xml:space="preserve"> Ministers of Climate Change, </w:t>
            </w:r>
            <w:r w:rsidR="00DE2972" w:rsidRPr="00683FF0">
              <w:t>Agriculture, Forestry</w:t>
            </w:r>
            <w:r w:rsidR="0076763D" w:rsidRPr="00683FF0">
              <w:t>, Energy and Resources</w:t>
            </w:r>
            <w:r w:rsidR="00DF3100" w:rsidRPr="00683FF0">
              <w:t xml:space="preserve">, </w:t>
            </w:r>
            <w:r w:rsidR="00D3742C" w:rsidRPr="00683FF0">
              <w:t>Transport</w:t>
            </w:r>
            <w:r w:rsidR="009E1D38" w:rsidRPr="00683FF0">
              <w:t xml:space="preserve">, Finance, Revenue </w:t>
            </w:r>
          </w:p>
          <w:p w14:paraId="56C80255" w14:textId="5FA0A285" w:rsidR="00ED757E" w:rsidRPr="00683FF0" w:rsidRDefault="00ED757E" w:rsidP="003E67D8">
            <w:pPr>
              <w:pStyle w:val="TableText"/>
              <w:spacing w:before="0"/>
              <w:rPr>
                <w:rFonts w:eastAsia="Times New Roman" w:cstheme="minorHAnsi"/>
                <w:b/>
                <w:bCs/>
              </w:rPr>
            </w:pPr>
            <w:r w:rsidRPr="00683FF0">
              <w:rPr>
                <w:b/>
                <w:bCs/>
              </w:rPr>
              <w:t>Timeline</w:t>
            </w:r>
            <w:r w:rsidRPr="00683FF0">
              <w:t>: 2022</w:t>
            </w:r>
            <w:r w:rsidR="00972507" w:rsidRPr="00683FF0">
              <w:t>–</w:t>
            </w:r>
            <w:r w:rsidRPr="00683FF0">
              <w:t xml:space="preserve">25 (EB1) </w:t>
            </w:r>
            <w:r w:rsidR="00BF2051" w:rsidRPr="00683FF0">
              <w:t xml:space="preserve">and ongoing </w:t>
            </w:r>
          </w:p>
        </w:tc>
      </w:tr>
    </w:tbl>
    <w:p w14:paraId="5593A8D0" w14:textId="2E012835" w:rsidR="008E5E76" w:rsidRPr="00683FF0" w:rsidRDefault="008E5E76" w:rsidP="001A1E13">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ook w:val="04A0" w:firstRow="1" w:lastRow="0" w:firstColumn="1" w:lastColumn="0" w:noHBand="0" w:noVBand="1"/>
      </w:tblPr>
      <w:tblGrid>
        <w:gridCol w:w="4211"/>
        <w:gridCol w:w="4294"/>
      </w:tblGrid>
      <w:tr w:rsidR="001A1E13" w:rsidRPr="00683FF0" w14:paraId="7D77C360" w14:textId="77777777" w:rsidTr="00587A9C">
        <w:trPr>
          <w:trHeight w:val="340"/>
        </w:trPr>
        <w:tc>
          <w:tcPr>
            <w:tcW w:w="4211" w:type="dxa"/>
            <w:tcBorders>
              <w:top w:val="single" w:sz="4" w:space="0" w:color="1B556B" w:themeColor="text2"/>
              <w:bottom w:val="nil"/>
            </w:tcBorders>
            <w:shd w:val="clear" w:color="auto" w:fill="1B556B" w:themeFill="text2"/>
            <w:vAlign w:val="center"/>
          </w:tcPr>
          <w:p w14:paraId="08027EF6" w14:textId="3087A561" w:rsidR="00EE1C91" w:rsidRPr="00683FF0" w:rsidRDefault="00EE1C91" w:rsidP="001A1E13">
            <w:pPr>
              <w:pStyle w:val="TableTextbold"/>
              <w:rPr>
                <w:color w:val="FFFFFF" w:themeColor="background1"/>
              </w:rPr>
            </w:pPr>
            <w:r w:rsidRPr="00683FF0">
              <w:rPr>
                <w:color w:val="FFFFFF" w:themeColor="background1"/>
              </w:rPr>
              <w:t xml:space="preserve">Report </w:t>
            </w:r>
            <w:r w:rsidR="00972507" w:rsidRPr="00683FF0">
              <w:rPr>
                <w:color w:val="FFFFFF" w:themeColor="background1"/>
              </w:rPr>
              <w:t>r</w:t>
            </w:r>
            <w:r w:rsidRPr="00683FF0">
              <w:rPr>
                <w:color w:val="FFFFFF" w:themeColor="background1"/>
              </w:rPr>
              <w:t>ecommendation</w:t>
            </w:r>
          </w:p>
        </w:tc>
        <w:tc>
          <w:tcPr>
            <w:tcW w:w="4294" w:type="dxa"/>
            <w:tcBorders>
              <w:top w:val="single" w:sz="4" w:space="0" w:color="1B556B" w:themeColor="text2"/>
              <w:bottom w:val="nil"/>
            </w:tcBorders>
            <w:shd w:val="clear" w:color="auto" w:fill="1B556B" w:themeFill="text2"/>
            <w:vAlign w:val="center"/>
          </w:tcPr>
          <w:p w14:paraId="62CD6A66" w14:textId="5EE044A4" w:rsidR="00EE1C91" w:rsidRPr="00683FF0" w:rsidRDefault="00EE1C91" w:rsidP="001A1E13">
            <w:pPr>
              <w:pStyle w:val="TableTextbold"/>
              <w:rPr>
                <w:color w:val="FFFFFF" w:themeColor="background1"/>
              </w:rPr>
            </w:pPr>
            <w:r w:rsidRPr="00683FF0">
              <w:rPr>
                <w:color w:val="FFFFFF" w:themeColor="background1"/>
              </w:rPr>
              <w:t xml:space="preserve">Government </w:t>
            </w:r>
            <w:r w:rsidR="00972507" w:rsidRPr="00683FF0">
              <w:rPr>
                <w:color w:val="FFFFFF" w:themeColor="background1"/>
              </w:rPr>
              <w:t>r</w:t>
            </w:r>
            <w:r w:rsidRPr="00683FF0">
              <w:rPr>
                <w:color w:val="FFFFFF" w:themeColor="background1"/>
              </w:rPr>
              <w:t>esponse</w:t>
            </w:r>
          </w:p>
        </w:tc>
      </w:tr>
      <w:tr w:rsidR="00EE1C91" w:rsidRPr="00683FF0" w14:paraId="2BA7CCD0" w14:textId="77777777" w:rsidTr="00587A9C">
        <w:tc>
          <w:tcPr>
            <w:tcW w:w="4211" w:type="dxa"/>
            <w:tcBorders>
              <w:top w:val="nil"/>
              <w:bottom w:val="nil"/>
            </w:tcBorders>
            <w:shd w:val="clear" w:color="auto" w:fill="D2DDE1" w:themeFill="background2"/>
            <w:tcMar>
              <w:right w:w="57" w:type="dxa"/>
            </w:tcMar>
          </w:tcPr>
          <w:p w14:paraId="768F4636" w14:textId="67044D75" w:rsidR="00EE1C91" w:rsidRPr="00683FF0" w:rsidRDefault="00EE1C91" w:rsidP="001A1E13">
            <w:pPr>
              <w:pStyle w:val="TableTextbold"/>
            </w:pPr>
            <w:r w:rsidRPr="00683FF0">
              <w:t>Recommendation 11 – Provisional progress indicators</w:t>
            </w:r>
          </w:p>
        </w:tc>
        <w:tc>
          <w:tcPr>
            <w:tcW w:w="4294" w:type="dxa"/>
            <w:tcBorders>
              <w:top w:val="nil"/>
              <w:bottom w:val="nil"/>
            </w:tcBorders>
            <w:shd w:val="clear" w:color="auto" w:fill="D2DDE1" w:themeFill="background2"/>
          </w:tcPr>
          <w:p w14:paraId="71858E0F" w14:textId="77777777" w:rsidR="00EE1C91" w:rsidRPr="00683FF0" w:rsidRDefault="00EE1C91" w:rsidP="00AC3040">
            <w:pPr>
              <w:rPr>
                <w:sz w:val="18"/>
                <w:szCs w:val="18"/>
              </w:rPr>
            </w:pPr>
          </w:p>
        </w:tc>
      </w:tr>
      <w:tr w:rsidR="00EE1C91" w:rsidRPr="00683FF0" w14:paraId="251D51D4" w14:textId="77777777" w:rsidTr="00587A9C">
        <w:tc>
          <w:tcPr>
            <w:tcW w:w="4211" w:type="dxa"/>
            <w:tcBorders>
              <w:top w:val="nil"/>
            </w:tcBorders>
          </w:tcPr>
          <w:p w14:paraId="5F6908AC" w14:textId="1FDC7F61" w:rsidR="00EE1C91" w:rsidRPr="00683FF0" w:rsidRDefault="00EE1C91" w:rsidP="001A1E13">
            <w:pPr>
              <w:pStyle w:val="TableText"/>
            </w:pPr>
            <w:r w:rsidRPr="00683FF0">
              <w:t>11.1. Government to have, by 31 December 2022, developed proposals for strengthening the NZ ETS incentive for gross emissions reductions and managing the amount of exotic forest planting driven by the scheme, with amendments to be effective by 31</w:t>
            </w:r>
            <w:r w:rsidR="001A1E13" w:rsidRPr="00683FF0">
              <w:t> </w:t>
            </w:r>
            <w:r w:rsidRPr="00683FF0">
              <w:t>December 2024.</w:t>
            </w:r>
          </w:p>
        </w:tc>
        <w:tc>
          <w:tcPr>
            <w:tcW w:w="4294" w:type="dxa"/>
            <w:tcBorders>
              <w:top w:val="nil"/>
            </w:tcBorders>
          </w:tcPr>
          <w:p w14:paraId="5B7EA8C4" w14:textId="7B1F2AE7" w:rsidR="0034434F" w:rsidRPr="00683FF0" w:rsidRDefault="000706B8" w:rsidP="001A1E13">
            <w:pPr>
              <w:pStyle w:val="TableText"/>
            </w:pPr>
            <w:r w:rsidRPr="00683FF0">
              <w:rPr>
                <w:rFonts w:eastAsia="Times New Roman" w:cstheme="minorHAnsi"/>
                <w:b/>
                <w:bCs/>
              </w:rPr>
              <w:t xml:space="preserve">11.1. </w:t>
            </w:r>
            <w:r w:rsidR="00773B16" w:rsidRPr="00683FF0">
              <w:rPr>
                <w:rFonts w:eastAsia="Times New Roman" w:cstheme="minorHAnsi"/>
                <w:b/>
                <w:bCs/>
              </w:rPr>
              <w:t xml:space="preserve">The Government agrees in part with this </w:t>
            </w:r>
            <w:r w:rsidR="007221C8" w:rsidRPr="00683FF0">
              <w:rPr>
                <w:rFonts w:eastAsia="Times New Roman" w:cstheme="minorHAnsi"/>
                <w:b/>
                <w:bCs/>
              </w:rPr>
              <w:t>provisional progress indicator</w:t>
            </w:r>
            <w:r w:rsidR="001E6BA8" w:rsidRPr="00683FF0">
              <w:t xml:space="preserve">. </w:t>
            </w:r>
            <w:r w:rsidR="00773B16" w:rsidRPr="00683FF0">
              <w:t xml:space="preserve">Policy analysis is </w:t>
            </w:r>
            <w:r w:rsidR="00FB3513" w:rsidRPr="00683FF0">
              <w:t>underway,</w:t>
            </w:r>
            <w:r w:rsidR="00101F84" w:rsidRPr="00683FF0">
              <w:t xml:space="preserve"> and</w:t>
            </w:r>
            <w:r w:rsidR="00C3605F" w:rsidRPr="00683FF0">
              <w:t xml:space="preserve"> the Government</w:t>
            </w:r>
            <w:r w:rsidR="00101F84" w:rsidRPr="00683FF0">
              <w:t xml:space="preserve"> will decide by </w:t>
            </w:r>
            <w:r w:rsidR="00E65AF0" w:rsidRPr="00683FF0">
              <w:t>the end of 2022 whether changes are need</w:t>
            </w:r>
            <w:r w:rsidR="00A7150A" w:rsidRPr="00683FF0">
              <w:t>ed</w:t>
            </w:r>
            <w:r w:rsidR="00E65AF0" w:rsidRPr="00683FF0">
              <w:t xml:space="preserve"> to the NZ ETS to </w:t>
            </w:r>
            <w:r w:rsidR="00E90D9B" w:rsidRPr="00683FF0">
              <w:t xml:space="preserve">drive an appropriate </w:t>
            </w:r>
            <w:r w:rsidR="00E65AF0" w:rsidRPr="00683FF0">
              <w:t>balance</w:t>
            </w:r>
            <w:r w:rsidR="00A7150A" w:rsidRPr="00683FF0">
              <w:t xml:space="preserve"> of</w:t>
            </w:r>
            <w:r w:rsidR="00E65AF0" w:rsidRPr="00683FF0">
              <w:t xml:space="preserve"> gross and net emissions reductions. </w:t>
            </w:r>
            <w:r w:rsidR="00555511" w:rsidRPr="00683FF0">
              <w:t xml:space="preserve">The Government cannot commit to </w:t>
            </w:r>
            <w:r w:rsidR="00EB60CC" w:rsidRPr="00683FF0">
              <w:t>amendments by 31 December 202</w:t>
            </w:r>
            <w:r w:rsidR="00AD2085" w:rsidRPr="00683FF0">
              <w:t>4</w:t>
            </w:r>
            <w:r w:rsidR="00EB60CC" w:rsidRPr="00683FF0">
              <w:t xml:space="preserve"> due to uncertainty </w:t>
            </w:r>
            <w:r w:rsidR="00FB3513" w:rsidRPr="00683FF0">
              <w:t>with</w:t>
            </w:r>
            <w:r w:rsidR="00EB60CC" w:rsidRPr="00683FF0">
              <w:t xml:space="preserve"> </w:t>
            </w:r>
            <w:r w:rsidR="00FB3513" w:rsidRPr="00683FF0">
              <w:t>policy decisions</w:t>
            </w:r>
            <w:r w:rsidR="00E079E8" w:rsidRPr="00683FF0">
              <w:t xml:space="preserve"> and </w:t>
            </w:r>
            <w:r w:rsidR="00EB60CC" w:rsidRPr="00683FF0">
              <w:t>legislative timelines</w:t>
            </w:r>
            <w:r w:rsidR="006B14C7" w:rsidRPr="00683FF0">
              <w:t xml:space="preserve"> </w:t>
            </w:r>
            <w:r w:rsidR="0034434F" w:rsidRPr="00683FF0">
              <w:t>(</w:t>
            </w:r>
            <w:r w:rsidR="00DD494A" w:rsidRPr="00683FF0">
              <w:t>c</w:t>
            </w:r>
            <w:r w:rsidR="0034434F" w:rsidRPr="00683FF0">
              <w:t>hapter 5</w:t>
            </w:r>
            <w:r w:rsidR="005348CA" w:rsidRPr="00683FF0">
              <w:t>:</w:t>
            </w:r>
            <w:r w:rsidR="0034434F" w:rsidRPr="00683FF0">
              <w:t xml:space="preserve"> Emissions pricing</w:t>
            </w:r>
            <w:r w:rsidR="005348CA" w:rsidRPr="00683FF0">
              <w:t>,</w:t>
            </w:r>
            <w:r w:rsidR="0034434F" w:rsidRPr="00683FF0">
              <w:t xml:space="preserve"> </w:t>
            </w:r>
            <w:r w:rsidR="005348CA" w:rsidRPr="00683FF0">
              <w:t>a</w:t>
            </w:r>
            <w:r w:rsidR="0034434F" w:rsidRPr="00683FF0">
              <w:t xml:space="preserve">ction </w:t>
            </w:r>
            <w:r w:rsidR="00354946" w:rsidRPr="00683FF0">
              <w:t>5.</w:t>
            </w:r>
            <w:r w:rsidR="003A039C" w:rsidRPr="00683FF0">
              <w:t>2</w:t>
            </w:r>
            <w:r w:rsidR="00C45EA0" w:rsidRPr="00683FF0">
              <w:t>.1</w:t>
            </w:r>
            <w:r w:rsidR="0034434F" w:rsidRPr="00683FF0">
              <w:t>).</w:t>
            </w:r>
          </w:p>
        </w:tc>
      </w:tr>
      <w:tr w:rsidR="0034434F" w:rsidRPr="00683FF0" w14:paraId="6D67464F" w14:textId="77777777" w:rsidTr="00587A9C">
        <w:trPr>
          <w:trHeight w:val="1843"/>
        </w:trPr>
        <w:tc>
          <w:tcPr>
            <w:tcW w:w="4211" w:type="dxa"/>
          </w:tcPr>
          <w:p w14:paraId="70D8F7B2" w14:textId="01979150" w:rsidR="0034434F" w:rsidRPr="00683FF0" w:rsidRDefault="0034434F" w:rsidP="001A1E13">
            <w:pPr>
              <w:pStyle w:val="TableText"/>
            </w:pPr>
            <w:r w:rsidRPr="00683FF0">
              <w:t>11.2. Government to ensure that, in the next annual update to NZ ETS settings, unit volumes are aligned with emissions budgets and price control settings are increased.</w:t>
            </w:r>
          </w:p>
        </w:tc>
        <w:tc>
          <w:tcPr>
            <w:tcW w:w="4294" w:type="dxa"/>
          </w:tcPr>
          <w:p w14:paraId="781D7D53" w14:textId="3E1D2FB9" w:rsidR="00D9631B" w:rsidRPr="00683FF0" w:rsidRDefault="000706B8" w:rsidP="001A1E13">
            <w:pPr>
              <w:pStyle w:val="TableText"/>
            </w:pPr>
            <w:r w:rsidRPr="00683FF0">
              <w:rPr>
                <w:rFonts w:eastAsia="Times New Roman" w:cstheme="minorHAnsi"/>
                <w:b/>
                <w:bCs/>
              </w:rPr>
              <w:t xml:space="preserve">11.2. </w:t>
            </w:r>
            <w:r w:rsidR="005E1197" w:rsidRPr="00683FF0">
              <w:rPr>
                <w:rFonts w:eastAsia="Times New Roman" w:cstheme="minorHAnsi"/>
                <w:b/>
                <w:bCs/>
              </w:rPr>
              <w:t xml:space="preserve">The Government agrees with this </w:t>
            </w:r>
            <w:r w:rsidR="00DF16AA" w:rsidRPr="00683FF0">
              <w:rPr>
                <w:rFonts w:eastAsia="Times New Roman" w:cstheme="minorHAnsi"/>
                <w:b/>
                <w:bCs/>
              </w:rPr>
              <w:t>provisional progress indicator</w:t>
            </w:r>
            <w:r w:rsidR="005E1197" w:rsidRPr="00683FF0">
              <w:rPr>
                <w:rFonts w:eastAsia="Times New Roman" w:cstheme="minorHAnsi"/>
                <w:b/>
                <w:bCs/>
              </w:rPr>
              <w:t>.</w:t>
            </w:r>
            <w:r w:rsidR="005E1197" w:rsidRPr="00683FF0">
              <w:rPr>
                <w:rFonts w:eastAsia="Times New Roman" w:cstheme="minorHAnsi"/>
              </w:rPr>
              <w:t xml:space="preserve"> </w:t>
            </w:r>
            <w:r w:rsidR="00660BEF" w:rsidRPr="00683FF0">
              <w:t xml:space="preserve">The Government </w:t>
            </w:r>
            <w:r w:rsidR="0034434F" w:rsidRPr="00683FF0">
              <w:t xml:space="preserve">agreed to update the NZ ETS settings as per the Commission’s recommendations from 1 January 2022. Regulations </w:t>
            </w:r>
            <w:r w:rsidR="001833B5" w:rsidRPr="00683FF0">
              <w:t xml:space="preserve">were </w:t>
            </w:r>
            <w:r w:rsidR="0034434F" w:rsidRPr="00683FF0">
              <w:t xml:space="preserve">published in the NZ Gazette on 30 September 2021. </w:t>
            </w:r>
          </w:p>
          <w:p w14:paraId="4EA36505" w14:textId="11BBC675" w:rsidR="0034434F" w:rsidRPr="00683FF0" w:rsidRDefault="0034434F" w:rsidP="001A1E13">
            <w:pPr>
              <w:pStyle w:val="TableText"/>
            </w:pPr>
            <w:r w:rsidRPr="00683FF0">
              <w:t xml:space="preserve">The next </w:t>
            </w:r>
            <w:r w:rsidR="003F356E" w:rsidRPr="00683FF0">
              <w:t>annual u</w:t>
            </w:r>
            <w:r w:rsidRPr="00683FF0">
              <w:t xml:space="preserve">nit supply and price control settings will be updated before the end of 2022 </w:t>
            </w:r>
            <w:r w:rsidR="004459AA" w:rsidRPr="00683FF0">
              <w:t>and take into acc</w:t>
            </w:r>
            <w:r w:rsidR="003F356E" w:rsidRPr="00683FF0">
              <w:t xml:space="preserve">ount the newly set emissions budgets </w:t>
            </w:r>
            <w:r w:rsidRPr="00683FF0">
              <w:t>(</w:t>
            </w:r>
            <w:r w:rsidR="00DD494A" w:rsidRPr="00683FF0">
              <w:t>c</w:t>
            </w:r>
            <w:r w:rsidRPr="00683FF0">
              <w:t>hapter 5</w:t>
            </w:r>
            <w:r w:rsidR="001833B5" w:rsidRPr="00683FF0">
              <w:t>:</w:t>
            </w:r>
            <w:r w:rsidRPr="00683FF0">
              <w:t xml:space="preserve"> Emissions pricing</w:t>
            </w:r>
            <w:r w:rsidR="001833B5" w:rsidRPr="00683FF0">
              <w:t>,</w:t>
            </w:r>
            <w:r w:rsidRPr="00683FF0">
              <w:t xml:space="preserve"> </w:t>
            </w:r>
            <w:r w:rsidR="001833B5" w:rsidRPr="00683FF0">
              <w:t>a</w:t>
            </w:r>
            <w:r w:rsidRPr="00683FF0">
              <w:t xml:space="preserve">ction </w:t>
            </w:r>
            <w:r w:rsidR="00354946" w:rsidRPr="00683FF0">
              <w:t>5.</w:t>
            </w:r>
            <w:r w:rsidR="00473D80" w:rsidRPr="00683FF0">
              <w:t>1</w:t>
            </w:r>
            <w:r w:rsidRPr="00683FF0">
              <w:t>).</w:t>
            </w:r>
          </w:p>
        </w:tc>
      </w:tr>
      <w:tr w:rsidR="0034434F" w:rsidRPr="00683FF0" w14:paraId="247948AF" w14:textId="77777777" w:rsidTr="00587A9C">
        <w:tc>
          <w:tcPr>
            <w:tcW w:w="4211" w:type="dxa"/>
          </w:tcPr>
          <w:p w14:paraId="0E6526C8" w14:textId="5D4DE747" w:rsidR="0034434F" w:rsidRPr="00683FF0" w:rsidRDefault="0034434F" w:rsidP="001A1E13">
            <w:pPr>
              <w:pStyle w:val="TableText"/>
            </w:pPr>
            <w:r w:rsidRPr="00683FF0">
              <w:t>11.3. Government to develop proposals by 30 June 2022 for establishing an effective market governance regime for the NZ ETS, and to have legislated to address the most significant risks by no later than 30</w:t>
            </w:r>
            <w:r w:rsidR="001A1E13" w:rsidRPr="00683FF0">
              <w:t> </w:t>
            </w:r>
            <w:r w:rsidRPr="00683FF0">
              <w:t>June 2023.</w:t>
            </w:r>
          </w:p>
        </w:tc>
        <w:tc>
          <w:tcPr>
            <w:tcW w:w="4294" w:type="dxa"/>
          </w:tcPr>
          <w:p w14:paraId="598D8021" w14:textId="3BF937EC" w:rsidR="0034434F" w:rsidRPr="00683FF0" w:rsidRDefault="000706B8" w:rsidP="001A1E13">
            <w:pPr>
              <w:pStyle w:val="TableText"/>
            </w:pPr>
            <w:r w:rsidRPr="00683FF0">
              <w:rPr>
                <w:rFonts w:eastAsia="Times New Roman" w:cstheme="minorHAnsi"/>
                <w:b/>
                <w:bCs/>
              </w:rPr>
              <w:t xml:space="preserve">11.3. </w:t>
            </w:r>
            <w:r w:rsidR="005E1197" w:rsidRPr="00683FF0">
              <w:rPr>
                <w:rFonts w:eastAsia="Times New Roman" w:cstheme="minorHAnsi"/>
                <w:b/>
                <w:bCs/>
              </w:rPr>
              <w:t xml:space="preserve">The Government agrees in part with this </w:t>
            </w:r>
            <w:r w:rsidR="00DF16AA" w:rsidRPr="00683FF0">
              <w:rPr>
                <w:rFonts w:eastAsia="Times New Roman" w:cstheme="minorHAnsi"/>
                <w:b/>
                <w:bCs/>
              </w:rPr>
              <w:t>provisional progress indicator</w:t>
            </w:r>
            <w:r w:rsidR="005E1197" w:rsidRPr="00683FF0">
              <w:rPr>
                <w:rFonts w:eastAsia="Times New Roman" w:cstheme="minorHAnsi"/>
                <w:b/>
                <w:bCs/>
              </w:rPr>
              <w:t>.</w:t>
            </w:r>
            <w:r w:rsidR="005E1197" w:rsidRPr="00683FF0">
              <w:rPr>
                <w:rFonts w:eastAsia="Times New Roman" w:cstheme="minorHAnsi"/>
              </w:rPr>
              <w:t xml:space="preserve"> </w:t>
            </w:r>
            <w:r w:rsidR="0034434F" w:rsidRPr="00683FF0">
              <w:t>Policy decisions are expected in mid-2022 with a legislative Bill to be introduced</w:t>
            </w:r>
            <w:r w:rsidR="001833B5" w:rsidRPr="00683FF0">
              <w:t xml:space="preserve"> in</w:t>
            </w:r>
            <w:r w:rsidR="0034434F" w:rsidRPr="00683FF0">
              <w:t xml:space="preserve"> late 2022. The Government cannot commit to legislative changes to address the most significant market risks by 30 June 2023 due to uncertainty in legislative timelines (</w:t>
            </w:r>
            <w:r w:rsidR="00DD494A" w:rsidRPr="00683FF0">
              <w:t>c</w:t>
            </w:r>
            <w:r w:rsidR="0034434F" w:rsidRPr="00683FF0">
              <w:t>hapter 5</w:t>
            </w:r>
            <w:r w:rsidR="001833B5" w:rsidRPr="00683FF0">
              <w:t>:</w:t>
            </w:r>
            <w:r w:rsidR="0034434F" w:rsidRPr="00683FF0">
              <w:t xml:space="preserve"> Emissions pricing</w:t>
            </w:r>
            <w:r w:rsidR="001833B5" w:rsidRPr="00683FF0">
              <w:t>,</w:t>
            </w:r>
            <w:r w:rsidR="0034434F" w:rsidRPr="00683FF0">
              <w:t xml:space="preserve"> </w:t>
            </w:r>
            <w:r w:rsidR="001833B5" w:rsidRPr="00683FF0">
              <w:t>a</w:t>
            </w:r>
            <w:r w:rsidR="0034434F" w:rsidRPr="00683FF0">
              <w:t xml:space="preserve">ction </w:t>
            </w:r>
            <w:r w:rsidR="00354946" w:rsidRPr="00683FF0">
              <w:t>5.</w:t>
            </w:r>
            <w:r w:rsidR="0034434F" w:rsidRPr="00683FF0">
              <w:t>3).</w:t>
            </w:r>
          </w:p>
        </w:tc>
      </w:tr>
      <w:tr w:rsidR="0034434F" w:rsidRPr="00683FF0" w14:paraId="25248140" w14:textId="77777777" w:rsidTr="00587A9C">
        <w:trPr>
          <w:trHeight w:val="1183"/>
        </w:trPr>
        <w:tc>
          <w:tcPr>
            <w:tcW w:w="4211" w:type="dxa"/>
          </w:tcPr>
          <w:p w14:paraId="21FE5BB0" w14:textId="0D5CD726" w:rsidR="0034434F" w:rsidRPr="00683FF0" w:rsidRDefault="0034434F" w:rsidP="001A1E13">
            <w:pPr>
              <w:pStyle w:val="TableText"/>
            </w:pPr>
            <w:r w:rsidRPr="00683FF0">
              <w:t>11.4. Government to develop and publish a plan for recycling proceeds from NZ ETS unit auctions by 30</w:t>
            </w:r>
            <w:r w:rsidR="001A1E13" w:rsidRPr="00683FF0">
              <w:t> </w:t>
            </w:r>
            <w:r w:rsidRPr="00683FF0">
              <w:t>June 2022, followed by annual reporting on the implementation of the plan and how the proceeds have been used.</w:t>
            </w:r>
          </w:p>
        </w:tc>
        <w:tc>
          <w:tcPr>
            <w:tcW w:w="4294" w:type="dxa"/>
          </w:tcPr>
          <w:p w14:paraId="361029E8" w14:textId="3FE1910B" w:rsidR="0034434F" w:rsidRPr="00683FF0" w:rsidRDefault="000706B8" w:rsidP="001A1E13">
            <w:pPr>
              <w:pStyle w:val="TableText"/>
            </w:pPr>
            <w:r w:rsidRPr="00683FF0">
              <w:rPr>
                <w:rFonts w:eastAsia="Times New Roman" w:cstheme="minorHAnsi"/>
                <w:b/>
                <w:bCs/>
              </w:rPr>
              <w:t xml:space="preserve">11.4. </w:t>
            </w:r>
            <w:r w:rsidR="005E1197" w:rsidRPr="00683FF0">
              <w:rPr>
                <w:rFonts w:eastAsia="Times New Roman" w:cstheme="minorHAnsi"/>
                <w:b/>
                <w:bCs/>
              </w:rPr>
              <w:t>The Government agrees in principle with this recommendation.</w:t>
            </w:r>
            <w:r w:rsidR="005E1197" w:rsidRPr="00683FF0">
              <w:rPr>
                <w:rFonts w:eastAsia="Times New Roman" w:cstheme="minorHAnsi"/>
              </w:rPr>
              <w:t xml:space="preserve"> </w:t>
            </w:r>
            <w:r w:rsidR="00660BEF" w:rsidRPr="00683FF0">
              <w:rPr>
                <w:rFonts w:eastAsia="Times New Roman" w:cstheme="minorHAnsi"/>
              </w:rPr>
              <w:t xml:space="preserve">The </w:t>
            </w:r>
            <w:r w:rsidR="0034434F" w:rsidRPr="00683FF0">
              <w:t>Government is currently working through monitoring and reporting considerations for the CERF (</w:t>
            </w:r>
            <w:r w:rsidR="00DD494A" w:rsidRPr="00683FF0">
              <w:t>c</w:t>
            </w:r>
            <w:r w:rsidR="0034434F" w:rsidRPr="00683FF0">
              <w:t>hapter 6</w:t>
            </w:r>
            <w:r w:rsidR="001833B5" w:rsidRPr="00683FF0">
              <w:t>:</w:t>
            </w:r>
            <w:r w:rsidR="0034434F" w:rsidRPr="00683FF0">
              <w:t xml:space="preserve"> </w:t>
            </w:r>
            <w:r w:rsidR="001833B5" w:rsidRPr="00683FF0">
              <w:t>F</w:t>
            </w:r>
            <w:r w:rsidR="0034434F" w:rsidRPr="00683FF0">
              <w:t xml:space="preserve">unding </w:t>
            </w:r>
            <w:r w:rsidR="001833B5" w:rsidRPr="00683FF0">
              <w:t>and finance, a</w:t>
            </w:r>
            <w:r w:rsidR="0034434F" w:rsidRPr="00683FF0">
              <w:t xml:space="preserve">ction </w:t>
            </w:r>
            <w:r w:rsidR="00354946" w:rsidRPr="00683FF0">
              <w:t>6.</w:t>
            </w:r>
            <w:r w:rsidR="0034434F" w:rsidRPr="00683FF0">
              <w:t>1).</w:t>
            </w:r>
          </w:p>
        </w:tc>
      </w:tr>
      <w:tr w:rsidR="00180B6A" w:rsidRPr="00683FF0" w14:paraId="188B5409" w14:textId="77777777" w:rsidTr="00587A9C">
        <w:tc>
          <w:tcPr>
            <w:tcW w:w="4211" w:type="dxa"/>
          </w:tcPr>
          <w:p w14:paraId="2BC4F778" w14:textId="77777777" w:rsidR="00180B6A" w:rsidRPr="00683FF0" w:rsidRDefault="00180B6A" w:rsidP="001A1E13">
            <w:pPr>
              <w:pStyle w:val="TableText"/>
            </w:pPr>
          </w:p>
        </w:tc>
        <w:tc>
          <w:tcPr>
            <w:tcW w:w="4294" w:type="dxa"/>
          </w:tcPr>
          <w:p w14:paraId="6047992C" w14:textId="0CE1AC6B" w:rsidR="009E1D38" w:rsidRPr="00683FF0" w:rsidRDefault="00180B6A" w:rsidP="001A1E13">
            <w:pPr>
              <w:pStyle w:val="TableText"/>
            </w:pPr>
            <w:r w:rsidRPr="00683FF0">
              <w:rPr>
                <w:b/>
                <w:bCs/>
              </w:rPr>
              <w:t>Responsible agencies:</w:t>
            </w:r>
            <w:r w:rsidR="00D6637B" w:rsidRPr="00683FF0">
              <w:t xml:space="preserve"> </w:t>
            </w:r>
            <w:r w:rsidR="009E1D38" w:rsidRPr="00683FF0">
              <w:t xml:space="preserve">Ministry for the Environment, Ministry for Primary Industries, Ministry of Business, Innovation </w:t>
            </w:r>
            <w:r w:rsidR="00591D68" w:rsidRPr="00683FF0">
              <w:t xml:space="preserve">and </w:t>
            </w:r>
            <w:r w:rsidR="009E1D38" w:rsidRPr="00683FF0">
              <w:t>Employment, Ministry of Transport, Treasury, Inland Revenue</w:t>
            </w:r>
          </w:p>
          <w:p w14:paraId="1D90E315" w14:textId="5CAFB099" w:rsidR="00180B6A" w:rsidRPr="00683FF0" w:rsidRDefault="009E1D38" w:rsidP="00587A9C">
            <w:pPr>
              <w:pStyle w:val="TableText"/>
              <w:spacing w:before="0"/>
            </w:pPr>
            <w:r w:rsidRPr="00683FF0">
              <w:rPr>
                <w:b/>
                <w:bCs/>
              </w:rPr>
              <w:t>Responsible Ministers:</w:t>
            </w:r>
            <w:r w:rsidRPr="00683FF0">
              <w:t xml:space="preserve"> Ministers of Climate Change, Agriculture, Forestry, Energy and Resources, Transport, Finance, Revenue </w:t>
            </w:r>
          </w:p>
          <w:p w14:paraId="3E568724" w14:textId="4EF6B5A2" w:rsidR="00180B6A" w:rsidRPr="00683FF0" w:rsidRDefault="00180B6A" w:rsidP="00587A9C">
            <w:pPr>
              <w:pStyle w:val="TableText"/>
              <w:spacing w:before="0"/>
            </w:pPr>
            <w:r w:rsidRPr="00683FF0">
              <w:rPr>
                <w:b/>
                <w:bCs/>
              </w:rPr>
              <w:t>Timeline</w:t>
            </w:r>
            <w:r w:rsidRPr="00683FF0">
              <w:t>: 2022</w:t>
            </w:r>
            <w:r w:rsidR="00D6637B" w:rsidRPr="00683FF0">
              <w:t>–</w:t>
            </w:r>
            <w:r w:rsidRPr="00683FF0">
              <w:t xml:space="preserve">25 (EB1) and ongoing </w:t>
            </w:r>
          </w:p>
        </w:tc>
      </w:tr>
    </w:tbl>
    <w:p w14:paraId="0E957CAE" w14:textId="5577BA17" w:rsidR="008E5E76" w:rsidRPr="00683FF0" w:rsidRDefault="008E5E76" w:rsidP="00283656">
      <w:pPr>
        <w:pStyle w:val="Heading2"/>
        <w:spacing w:before="480" w:after="240"/>
      </w:pPr>
      <w:bookmarkStart w:id="25" w:name="_Toc103175828"/>
      <w:bookmarkStart w:id="26" w:name="_Toc103778791"/>
      <w:r w:rsidRPr="00683FF0">
        <w:lastRenderedPageBreak/>
        <w:t>Make investments net-zero compatible</w:t>
      </w:r>
      <w:bookmarkEnd w:id="25"/>
      <w:bookmarkEnd w:id="26"/>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476512" w:rsidRPr="00683FF0" w14:paraId="17B4CA0F" w14:textId="77777777" w:rsidTr="007E07A4">
        <w:trPr>
          <w:tblHeader/>
        </w:trPr>
        <w:tc>
          <w:tcPr>
            <w:tcW w:w="4508" w:type="dxa"/>
            <w:tcBorders>
              <w:top w:val="single" w:sz="4" w:space="0" w:color="1B556B" w:themeColor="text2"/>
              <w:bottom w:val="nil"/>
            </w:tcBorders>
            <w:shd w:val="clear" w:color="auto" w:fill="1B556B" w:themeFill="text2"/>
            <w:vAlign w:val="center"/>
          </w:tcPr>
          <w:p w14:paraId="068078A9" w14:textId="69A2D926" w:rsidR="00AC3040" w:rsidRPr="00683FF0" w:rsidRDefault="00AC3040" w:rsidP="00476512">
            <w:pPr>
              <w:pStyle w:val="TableTextbold"/>
              <w:rPr>
                <w:color w:val="FFFFFF" w:themeColor="background1"/>
              </w:rPr>
            </w:pPr>
            <w:r w:rsidRPr="00683FF0">
              <w:rPr>
                <w:color w:val="FFFFFF" w:themeColor="background1"/>
              </w:rPr>
              <w:t xml:space="preserve">Report </w:t>
            </w:r>
            <w:r w:rsidR="00767122"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09A19A9A" w14:textId="277163B8" w:rsidR="00AC3040" w:rsidRPr="00683FF0" w:rsidRDefault="00AC3040" w:rsidP="00476512">
            <w:pPr>
              <w:pStyle w:val="TableTextbold"/>
              <w:rPr>
                <w:color w:val="FFFFFF" w:themeColor="background1"/>
              </w:rPr>
            </w:pPr>
            <w:r w:rsidRPr="00683FF0">
              <w:rPr>
                <w:color w:val="FFFFFF" w:themeColor="background1"/>
              </w:rPr>
              <w:t xml:space="preserve">Government </w:t>
            </w:r>
            <w:r w:rsidR="00767122" w:rsidRPr="00683FF0">
              <w:rPr>
                <w:color w:val="FFFFFF" w:themeColor="background1"/>
              </w:rPr>
              <w:t>r</w:t>
            </w:r>
            <w:r w:rsidRPr="00683FF0">
              <w:rPr>
                <w:color w:val="FFFFFF" w:themeColor="background1"/>
              </w:rPr>
              <w:t>esponse</w:t>
            </w:r>
          </w:p>
        </w:tc>
      </w:tr>
      <w:tr w:rsidR="00AC3040" w:rsidRPr="00683FF0" w14:paraId="43F2B2F6" w14:textId="77777777" w:rsidTr="007E07A4">
        <w:tc>
          <w:tcPr>
            <w:tcW w:w="4508" w:type="dxa"/>
            <w:tcBorders>
              <w:top w:val="nil"/>
            </w:tcBorders>
            <w:shd w:val="clear" w:color="auto" w:fill="auto"/>
          </w:tcPr>
          <w:p w14:paraId="0567718B" w14:textId="77777777" w:rsidR="00AC3040" w:rsidRPr="00683FF0" w:rsidRDefault="00AC3040" w:rsidP="007E07A4">
            <w:pPr>
              <w:pStyle w:val="TableTextbold"/>
            </w:pPr>
            <w:r w:rsidRPr="00683FF0">
              <w:t>Recommendation 12 – Make investments net-zero compatible</w:t>
            </w:r>
          </w:p>
          <w:p w14:paraId="3DC2C7B9" w14:textId="45476B22" w:rsidR="00AC3040" w:rsidRPr="00683FF0" w:rsidRDefault="00AC3040" w:rsidP="007E07A4">
            <w:pPr>
              <w:pStyle w:val="TableText"/>
              <w:spacing w:before="0"/>
            </w:pPr>
            <w:r w:rsidRPr="00683FF0">
              <w:t>We recommend that, in the first emissions reduction plan, the Government commit to: Ensuring policy decisions and investments made now support Aotearoa moving towards a thriving, climate-resilient and low-emissions society. This should include:</w:t>
            </w:r>
          </w:p>
        </w:tc>
        <w:tc>
          <w:tcPr>
            <w:tcW w:w="4508" w:type="dxa"/>
            <w:tcBorders>
              <w:top w:val="nil"/>
            </w:tcBorders>
            <w:shd w:val="clear" w:color="auto" w:fill="auto"/>
          </w:tcPr>
          <w:p w14:paraId="7474E7EF" w14:textId="77777777" w:rsidR="00AC3040" w:rsidRPr="00683FF0" w:rsidRDefault="00AC3040" w:rsidP="007E07A4">
            <w:pPr>
              <w:pStyle w:val="TableText"/>
            </w:pPr>
          </w:p>
        </w:tc>
      </w:tr>
      <w:tr w:rsidR="00AC3040" w:rsidRPr="00683FF0" w14:paraId="68104AFB" w14:textId="77777777" w:rsidTr="007E07A4">
        <w:tc>
          <w:tcPr>
            <w:tcW w:w="4508" w:type="dxa"/>
            <w:shd w:val="clear" w:color="auto" w:fill="FFFFFF" w:themeFill="background1"/>
          </w:tcPr>
          <w:p w14:paraId="50C85A03" w14:textId="0911A1CD" w:rsidR="00AC3040" w:rsidRPr="00683FF0" w:rsidRDefault="00AC3040" w:rsidP="007E07A4">
            <w:pPr>
              <w:pStyle w:val="TableText"/>
            </w:pPr>
            <w:r w:rsidRPr="00683FF0">
              <w:t>12.1. Starting to factor shadow emissions prices into policy and investment analysis in central government immediately.</w:t>
            </w:r>
          </w:p>
        </w:tc>
        <w:tc>
          <w:tcPr>
            <w:tcW w:w="4508" w:type="dxa"/>
            <w:shd w:val="clear" w:color="auto" w:fill="FFFFFF" w:themeFill="background1"/>
          </w:tcPr>
          <w:p w14:paraId="31320C58" w14:textId="686BD5EE" w:rsidR="00CA1787" w:rsidRPr="00683FF0" w:rsidRDefault="00E20F07" w:rsidP="007E07A4">
            <w:pPr>
              <w:pStyle w:val="TableText"/>
            </w:pPr>
            <w:r w:rsidRPr="00683FF0">
              <w:rPr>
                <w:rFonts w:eastAsia="Times New Roman"/>
                <w:b/>
              </w:rPr>
              <w:t xml:space="preserve">12.1. </w:t>
            </w:r>
            <w:r w:rsidR="005E1197" w:rsidRPr="00683FF0">
              <w:rPr>
                <w:rFonts w:eastAsia="Times New Roman"/>
                <w:b/>
              </w:rPr>
              <w:t>The Government confirms this recommendation.</w:t>
            </w:r>
            <w:r w:rsidR="005E1197" w:rsidRPr="00683FF0">
              <w:rPr>
                <w:rFonts w:eastAsia="Times New Roman"/>
              </w:rPr>
              <w:t xml:space="preserve"> </w:t>
            </w:r>
            <w:r w:rsidR="00CA1787" w:rsidRPr="00683FF0">
              <w:t>Efforts have focused on the development and implementation of shadow emissions values for use by central government.</w:t>
            </w:r>
            <w:r w:rsidR="006F3363">
              <w:t xml:space="preserve"> </w:t>
            </w:r>
            <w:r w:rsidR="5F65C7F8" w:rsidRPr="00683FF0">
              <w:t>These values have been updated to reflect new information and</w:t>
            </w:r>
            <w:r w:rsidR="00C1630D" w:rsidRPr="00683FF0">
              <w:t xml:space="preserve"> </w:t>
            </w:r>
            <w:r w:rsidR="5F65C7F8" w:rsidRPr="00683FF0">
              <w:t>have been</w:t>
            </w:r>
            <w:r w:rsidR="006F3363">
              <w:t xml:space="preserve"> </w:t>
            </w:r>
            <w:r w:rsidR="00CA1787" w:rsidRPr="00683FF0">
              <w:t xml:space="preserve">integrated into Treasury’s </w:t>
            </w:r>
            <w:r w:rsidR="006163AC" w:rsidRPr="00683FF0">
              <w:t xml:space="preserve">cost benefit analysis </w:t>
            </w:r>
            <w:r w:rsidR="00CA1787" w:rsidRPr="00683FF0">
              <w:t xml:space="preserve">tool, CBAx, to support </w:t>
            </w:r>
            <w:r w:rsidR="5F65C7F8" w:rsidRPr="00683FF0">
              <w:t>consideration of initiatives</w:t>
            </w:r>
            <w:r w:rsidR="00CA1787" w:rsidRPr="00683FF0">
              <w:t xml:space="preserve"> in Budget 2022.</w:t>
            </w:r>
            <w:r w:rsidR="00C1630D" w:rsidRPr="00683FF0">
              <w:t xml:space="preserve"> </w:t>
            </w:r>
            <w:r w:rsidR="00CA1787" w:rsidRPr="00683FF0">
              <w:t xml:space="preserve">Agencies are recommended to use CBAx to support Budget initiatives, but do have the option </w:t>
            </w:r>
            <w:r w:rsidR="006A7204" w:rsidRPr="00683FF0">
              <w:t xml:space="preserve">of </w:t>
            </w:r>
            <w:r w:rsidR="00CA1787" w:rsidRPr="00683FF0">
              <w:t>us</w:t>
            </w:r>
            <w:r w:rsidR="006A7204" w:rsidRPr="00683FF0">
              <w:t>ing</w:t>
            </w:r>
            <w:r w:rsidR="00CA1787" w:rsidRPr="00683FF0">
              <w:t xml:space="preserve"> other forms of </w:t>
            </w:r>
            <w:r w:rsidR="006163AC" w:rsidRPr="00683FF0">
              <w:t>cost benefit analysis</w:t>
            </w:r>
            <w:r w:rsidR="00CA1787" w:rsidRPr="00683FF0">
              <w:t xml:space="preserve">. </w:t>
            </w:r>
            <w:r w:rsidR="5F65C7F8" w:rsidRPr="00683FF0">
              <w:t>For Climate Emergency Response Fund (</w:t>
            </w:r>
            <w:r w:rsidR="00CA1787" w:rsidRPr="00683FF0">
              <w:t>CERF</w:t>
            </w:r>
            <w:r w:rsidR="5F65C7F8" w:rsidRPr="00683FF0">
              <w:t>)</w:t>
            </w:r>
            <w:r w:rsidR="00CA1787" w:rsidRPr="00683FF0">
              <w:t xml:space="preserve"> initiatives, a </w:t>
            </w:r>
            <w:r w:rsidR="003E32C7" w:rsidRPr="00683FF0">
              <w:t>Climate Imp</w:t>
            </w:r>
            <w:r w:rsidR="00EE4E3F" w:rsidRPr="00683FF0">
              <w:t>lication</w:t>
            </w:r>
            <w:r w:rsidR="003E32C7" w:rsidRPr="00683FF0">
              <w:t xml:space="preserve">s </w:t>
            </w:r>
            <w:r w:rsidR="006A7204" w:rsidRPr="00683FF0">
              <w:t xml:space="preserve">of </w:t>
            </w:r>
            <w:r w:rsidR="003E32C7" w:rsidRPr="00683FF0">
              <w:t xml:space="preserve">Policy Assessment </w:t>
            </w:r>
            <w:r w:rsidR="006A7204" w:rsidRPr="00683FF0">
              <w:t>(</w:t>
            </w:r>
            <w:r w:rsidR="00CA1787" w:rsidRPr="00683FF0">
              <w:t>CIPA</w:t>
            </w:r>
            <w:r w:rsidR="006A7204" w:rsidRPr="00683FF0">
              <w:t>)</w:t>
            </w:r>
            <w:r w:rsidR="00CA1787" w:rsidRPr="00683FF0">
              <w:t xml:space="preserve"> is required where the initiative meets the usual CIPA criteria</w:t>
            </w:r>
            <w:r w:rsidR="5F65C7F8" w:rsidRPr="00683FF0">
              <w:t>. For CERF initiatives, agencies have also been required to use</w:t>
            </w:r>
            <w:r w:rsidR="00C1630D" w:rsidRPr="00683FF0">
              <w:t xml:space="preserve"> </w:t>
            </w:r>
            <w:r w:rsidR="00CA1787" w:rsidRPr="00683FF0">
              <w:t xml:space="preserve">shadow emissions values to monetise </w:t>
            </w:r>
            <w:r w:rsidR="5F65C7F8" w:rsidRPr="00683FF0">
              <w:t>the</w:t>
            </w:r>
            <w:r w:rsidR="00CA1787" w:rsidRPr="00683FF0">
              <w:t xml:space="preserve"> outputs of that CIPA</w:t>
            </w:r>
            <w:r w:rsidR="00610C1F" w:rsidRPr="00683FF0">
              <w:t xml:space="preserve"> (</w:t>
            </w:r>
            <w:r w:rsidR="001C0768" w:rsidRPr="00683FF0">
              <w:t>c</w:t>
            </w:r>
            <w:r w:rsidR="00610C1F" w:rsidRPr="00683FF0">
              <w:t>hapter 6</w:t>
            </w:r>
            <w:r w:rsidR="0055234B" w:rsidRPr="00683FF0">
              <w:t>:</w:t>
            </w:r>
            <w:r w:rsidR="00610C1F" w:rsidRPr="00683FF0">
              <w:t xml:space="preserve"> </w:t>
            </w:r>
            <w:r w:rsidR="0055234B" w:rsidRPr="00683FF0">
              <w:t>F</w:t>
            </w:r>
            <w:r w:rsidR="00610C1F" w:rsidRPr="00683FF0">
              <w:t xml:space="preserve">unding </w:t>
            </w:r>
            <w:r w:rsidR="0055234B" w:rsidRPr="00683FF0">
              <w:t>and finance, a</w:t>
            </w:r>
            <w:r w:rsidR="00610C1F" w:rsidRPr="00683FF0">
              <w:t xml:space="preserve">ction </w:t>
            </w:r>
            <w:r w:rsidR="00354946" w:rsidRPr="00683FF0">
              <w:t>6.</w:t>
            </w:r>
            <w:r w:rsidR="00610C1F" w:rsidRPr="00683FF0">
              <w:t>2).</w:t>
            </w:r>
          </w:p>
        </w:tc>
      </w:tr>
      <w:tr w:rsidR="00AC3040" w:rsidRPr="00683FF0" w14:paraId="3E384619" w14:textId="77777777" w:rsidTr="007E07A4">
        <w:tc>
          <w:tcPr>
            <w:tcW w:w="4508" w:type="dxa"/>
            <w:shd w:val="clear" w:color="auto" w:fill="FFFFFF" w:themeFill="background1"/>
          </w:tcPr>
          <w:p w14:paraId="732087BE" w14:textId="180943AD" w:rsidR="00AC3040" w:rsidRPr="00683FF0" w:rsidRDefault="00AC3040" w:rsidP="007E07A4">
            <w:pPr>
              <w:pStyle w:val="TableText"/>
            </w:pPr>
            <w:r w:rsidRPr="00683FF0">
              <w:t>12.2. Encouraging and facilitating local government and the private sector to use shadow emissions prices by, for example, providing guidance to upskill and grow local government capacity to use them in their policy and investment analysis.</w:t>
            </w:r>
          </w:p>
        </w:tc>
        <w:tc>
          <w:tcPr>
            <w:tcW w:w="4508" w:type="dxa"/>
            <w:shd w:val="clear" w:color="auto" w:fill="FFFFFF" w:themeFill="background1"/>
          </w:tcPr>
          <w:p w14:paraId="05DB5A68" w14:textId="38E02FB5" w:rsidR="001C0768" w:rsidRPr="00683FF0" w:rsidRDefault="001C0768" w:rsidP="007E07A4">
            <w:pPr>
              <w:pStyle w:val="TableText"/>
            </w:pPr>
            <w:r w:rsidRPr="00683FF0">
              <w:rPr>
                <w:rFonts w:eastAsia="Times New Roman"/>
                <w:b/>
              </w:rPr>
              <w:t xml:space="preserve">12.2. </w:t>
            </w:r>
            <w:r w:rsidR="005E1197" w:rsidRPr="00683FF0">
              <w:rPr>
                <w:rFonts w:eastAsia="Times New Roman"/>
                <w:b/>
              </w:rPr>
              <w:t xml:space="preserve">The Government agrees in principle with this recommendation. </w:t>
            </w:r>
            <w:r w:rsidR="00660BEF" w:rsidRPr="00683FF0">
              <w:t>The Government agrees that it</w:t>
            </w:r>
            <w:r w:rsidR="00AA4271" w:rsidRPr="00683FF0">
              <w:t xml:space="preserve"> can play a supporting role to both local government and the private sector in passing on the knowledge obtained through developing and utilising shadow emission</w:t>
            </w:r>
            <w:r w:rsidR="0055234B" w:rsidRPr="00683FF0">
              <w:t>s</w:t>
            </w:r>
            <w:r w:rsidR="00AA4271" w:rsidRPr="00683FF0">
              <w:t xml:space="preserve"> values to inform decision making. Officials are considering how best to</w:t>
            </w:r>
            <w:r w:rsidR="00C1630D" w:rsidRPr="00683FF0">
              <w:t xml:space="preserve"> </w:t>
            </w:r>
            <w:r w:rsidR="00AA4271" w:rsidRPr="00683FF0">
              <w:t xml:space="preserve">support others outside of central government </w:t>
            </w:r>
            <w:r w:rsidR="0055234B" w:rsidRPr="00683FF0">
              <w:t xml:space="preserve">to </w:t>
            </w:r>
            <w:r w:rsidR="00AA4271" w:rsidRPr="00683FF0">
              <w:t>benefit from the learnings of central government’s use and consideration of shadow emission</w:t>
            </w:r>
            <w:r w:rsidR="0055234B" w:rsidRPr="00683FF0">
              <w:t>s</w:t>
            </w:r>
            <w:r w:rsidR="00AA4271" w:rsidRPr="00683FF0">
              <w:t xml:space="preserve"> values. </w:t>
            </w:r>
          </w:p>
          <w:p w14:paraId="420468E1" w14:textId="178B9395" w:rsidR="00CA1787" w:rsidRPr="00683FF0" w:rsidRDefault="00AA4271" w:rsidP="007E07A4">
            <w:pPr>
              <w:pStyle w:val="TableText"/>
            </w:pPr>
            <w:r w:rsidRPr="00683FF0">
              <w:t>Central government</w:t>
            </w:r>
            <w:r w:rsidR="00C55E9B" w:rsidRPr="00683FF0">
              <w:t>’s</w:t>
            </w:r>
            <w:r w:rsidRPr="00683FF0">
              <w:t xml:space="preserve"> use of shadow emission</w:t>
            </w:r>
            <w:r w:rsidR="00F20B9A" w:rsidRPr="00683FF0">
              <w:t>s</w:t>
            </w:r>
            <w:r w:rsidRPr="00683FF0">
              <w:t xml:space="preserve"> values and the publication of our methodology, tools and selected emission</w:t>
            </w:r>
            <w:r w:rsidR="00F20B9A" w:rsidRPr="00683FF0">
              <w:t>s</w:t>
            </w:r>
            <w:r w:rsidRPr="00683FF0">
              <w:t xml:space="preserve"> value ranges lead by example</w:t>
            </w:r>
            <w:r w:rsidR="008038EE" w:rsidRPr="00683FF0">
              <w:t xml:space="preserve">. From this </w:t>
            </w:r>
            <w:r w:rsidR="00E23D15" w:rsidRPr="00683FF0">
              <w:t>experience, it can</w:t>
            </w:r>
            <w:r w:rsidRPr="00683FF0">
              <w:t xml:space="preserve"> provide useful resources </w:t>
            </w:r>
            <w:r w:rsidR="00C55E9B" w:rsidRPr="00683FF0">
              <w:t xml:space="preserve">for </w:t>
            </w:r>
            <w:r w:rsidRPr="00683FF0">
              <w:t>local government and the private sector to understand how central government has considered which values to choose and options for incorporati</w:t>
            </w:r>
            <w:r w:rsidR="00F20B9A" w:rsidRPr="00683FF0">
              <w:t>ng this knowledge</w:t>
            </w:r>
            <w:r w:rsidRPr="00683FF0">
              <w:t xml:space="preserve"> into </w:t>
            </w:r>
            <w:r w:rsidR="006163AC" w:rsidRPr="00683FF0">
              <w:t>cost benefit analysis</w:t>
            </w:r>
            <w:r w:rsidRPr="00683FF0">
              <w:t xml:space="preserve"> (</w:t>
            </w:r>
            <w:r w:rsidR="00DD494A" w:rsidRPr="00683FF0">
              <w:t>c</w:t>
            </w:r>
            <w:r w:rsidRPr="00683FF0">
              <w:t>hapter 6</w:t>
            </w:r>
            <w:r w:rsidR="00767122" w:rsidRPr="00683FF0">
              <w:t>: F</w:t>
            </w:r>
            <w:r w:rsidRPr="00683FF0">
              <w:t xml:space="preserve">unding </w:t>
            </w:r>
            <w:r w:rsidR="00F20B9A" w:rsidRPr="00683FF0">
              <w:t>and finance,</w:t>
            </w:r>
            <w:r w:rsidRPr="00683FF0">
              <w:t xml:space="preserve"> </w:t>
            </w:r>
            <w:r w:rsidR="00F20B9A" w:rsidRPr="00683FF0">
              <w:t>a</w:t>
            </w:r>
            <w:r w:rsidRPr="00683FF0">
              <w:t xml:space="preserve">ction </w:t>
            </w:r>
            <w:r w:rsidR="00354946" w:rsidRPr="00683FF0">
              <w:t>6.</w:t>
            </w:r>
            <w:r w:rsidRPr="00683FF0">
              <w:t>2).</w:t>
            </w:r>
          </w:p>
        </w:tc>
      </w:tr>
      <w:tr w:rsidR="00AC3040" w:rsidRPr="00683FF0" w14:paraId="7EBD26C5" w14:textId="77777777" w:rsidTr="007E07A4">
        <w:tc>
          <w:tcPr>
            <w:tcW w:w="4508" w:type="dxa"/>
            <w:shd w:val="clear" w:color="auto" w:fill="FFFFFF" w:themeFill="background1"/>
          </w:tcPr>
          <w:p w14:paraId="0FE5F611" w14:textId="36EE8352" w:rsidR="00AC3040" w:rsidRPr="00683FF0" w:rsidRDefault="00AC3040" w:rsidP="007E07A4">
            <w:pPr>
              <w:pStyle w:val="TableText"/>
            </w:pPr>
            <w:r w:rsidRPr="00683FF0">
              <w:t>12.3. Measuring and reporting on how the post-COVID-19 economic stimulus is delivering climate benefits and the transformational investment needed to reach the climate and economic goals.</w:t>
            </w:r>
          </w:p>
        </w:tc>
        <w:tc>
          <w:tcPr>
            <w:tcW w:w="4508" w:type="dxa"/>
            <w:shd w:val="clear" w:color="auto" w:fill="FFFFFF" w:themeFill="background1"/>
          </w:tcPr>
          <w:p w14:paraId="54EC5633" w14:textId="16E623D1" w:rsidR="0009777D" w:rsidRPr="00683FF0" w:rsidRDefault="003709DC" w:rsidP="007E07A4">
            <w:pPr>
              <w:pStyle w:val="TableText"/>
            </w:pPr>
            <w:r w:rsidRPr="00683FF0">
              <w:rPr>
                <w:rFonts w:eastAsia="Times New Roman" w:cstheme="minorHAnsi"/>
                <w:b/>
                <w:bCs/>
              </w:rPr>
              <w:t xml:space="preserve">12.3. </w:t>
            </w:r>
            <w:r w:rsidR="005E1197" w:rsidRPr="00683FF0">
              <w:rPr>
                <w:rFonts w:eastAsia="Times New Roman" w:cstheme="minorHAnsi"/>
                <w:b/>
                <w:bCs/>
              </w:rPr>
              <w:t>The Government disagrees with this recommendation.</w:t>
            </w:r>
            <w:r w:rsidR="001C0768" w:rsidRPr="00683FF0">
              <w:t xml:space="preserve"> </w:t>
            </w:r>
            <w:r w:rsidR="0009777D" w:rsidRPr="00683FF0">
              <w:t xml:space="preserve">The </w:t>
            </w:r>
            <w:r w:rsidR="00CA1787" w:rsidRPr="00683FF0">
              <w:t xml:space="preserve">Government funded a range of measures to respond to COVID-19, including through economic stimulus, but the intent of this was not primarily to support climate objectives. At the time of expenditure, </w:t>
            </w:r>
            <w:r w:rsidR="00AD3395" w:rsidRPr="00683FF0">
              <w:t xml:space="preserve">the Government </w:t>
            </w:r>
            <w:r w:rsidR="00CA1787" w:rsidRPr="00683FF0">
              <w:t xml:space="preserve">did not put in place monitoring and reporting mechanisms to </w:t>
            </w:r>
            <w:r w:rsidR="00AD3395" w:rsidRPr="00683FF0">
              <w:t xml:space="preserve">inform an </w:t>
            </w:r>
            <w:r w:rsidR="00CA1787" w:rsidRPr="00683FF0">
              <w:t>analysis of how climate objectives were supported. Therefore, given that significant work would be required</w:t>
            </w:r>
            <w:r w:rsidR="00660BEF" w:rsidRPr="00683FF0">
              <w:t xml:space="preserve">, the Government </w:t>
            </w:r>
            <w:r w:rsidR="00CA1787" w:rsidRPr="00683FF0">
              <w:t>consider</w:t>
            </w:r>
            <w:r w:rsidR="0009777D" w:rsidRPr="00683FF0">
              <w:t>s</w:t>
            </w:r>
            <w:r w:rsidR="00CA1787" w:rsidRPr="00683FF0">
              <w:t xml:space="preserve"> it would </w:t>
            </w:r>
            <w:r w:rsidR="0009777D" w:rsidRPr="00683FF0">
              <w:t xml:space="preserve">not </w:t>
            </w:r>
            <w:r w:rsidR="00CA1787" w:rsidRPr="00683FF0">
              <w:t xml:space="preserve">be a </w:t>
            </w:r>
            <w:r w:rsidR="00CA1787" w:rsidRPr="00683FF0">
              <w:lastRenderedPageBreak/>
              <w:t>good use of resources to independently assess how this expenditure supported climate objectives in isolation.</w:t>
            </w:r>
          </w:p>
          <w:p w14:paraId="041D9A82" w14:textId="174930E3" w:rsidR="00CA1787" w:rsidRPr="00683FF0" w:rsidRDefault="00CA1787" w:rsidP="007E07A4">
            <w:pPr>
              <w:pStyle w:val="TableText"/>
            </w:pPr>
            <w:r w:rsidRPr="00683FF0">
              <w:t>However, the monitoring and reporting framework we are developing for the CERF will meet the intent of this recommendation for climate expenditure going forward.</w:t>
            </w:r>
          </w:p>
        </w:tc>
      </w:tr>
      <w:tr w:rsidR="00AC3040" w:rsidRPr="00683FF0" w14:paraId="54A09E1C" w14:textId="77777777" w:rsidTr="007E07A4">
        <w:tc>
          <w:tcPr>
            <w:tcW w:w="4508" w:type="dxa"/>
            <w:shd w:val="clear" w:color="auto" w:fill="FFFFFF" w:themeFill="background1"/>
          </w:tcPr>
          <w:p w14:paraId="7076E745" w14:textId="7DC169D1" w:rsidR="00AC3040" w:rsidRPr="00683FF0" w:rsidRDefault="00AC3040" w:rsidP="007E07A4">
            <w:pPr>
              <w:pStyle w:val="TableText"/>
            </w:pPr>
            <w:r w:rsidRPr="00683FF0">
              <w:lastRenderedPageBreak/>
              <w:t>12.4. Requiring Crown agencies, entities and Crown-owned companies to include climate change as part of their decision making. This should be a particular focus for long-lived investments such as housing and transport infrastructure, to help achieve emissions reduction and climate-resilience objectives, and should include embedded emissions.</w:t>
            </w:r>
          </w:p>
        </w:tc>
        <w:tc>
          <w:tcPr>
            <w:tcW w:w="4508" w:type="dxa"/>
            <w:shd w:val="clear" w:color="auto" w:fill="FFFFFF" w:themeFill="background1"/>
          </w:tcPr>
          <w:p w14:paraId="1C932935" w14:textId="5705BDBF" w:rsidR="00CA1787" w:rsidRPr="00683FF0" w:rsidRDefault="003709DC" w:rsidP="007E07A4">
            <w:pPr>
              <w:pStyle w:val="TableText"/>
            </w:pPr>
            <w:r w:rsidRPr="00683FF0">
              <w:rPr>
                <w:rFonts w:eastAsia="Times New Roman" w:cstheme="minorHAnsi"/>
                <w:b/>
                <w:bCs/>
              </w:rPr>
              <w:t xml:space="preserve">12.4. </w:t>
            </w:r>
            <w:r w:rsidR="005E1197" w:rsidRPr="00683FF0">
              <w:rPr>
                <w:rFonts w:eastAsia="Times New Roman" w:cstheme="minorHAnsi"/>
                <w:b/>
                <w:bCs/>
              </w:rPr>
              <w:t>The Government agrees with this recommendation.</w:t>
            </w:r>
            <w:r w:rsidR="005E1197" w:rsidRPr="00683FF0">
              <w:rPr>
                <w:rFonts w:eastAsia="Times New Roman" w:cstheme="minorHAnsi"/>
              </w:rPr>
              <w:t xml:space="preserve"> </w:t>
            </w:r>
            <w:r w:rsidR="00CA1787" w:rsidRPr="00683FF0">
              <w:t>The Carbon Neutral Government Programme and Government Procurement Rules (updated in 2019) already support this shift. Over the next financial year, options for issuing departments with guidance on how to address climate change objectives within departmental strategies and policies will also be identified and progressed.</w:t>
            </w:r>
          </w:p>
        </w:tc>
      </w:tr>
      <w:tr w:rsidR="00ED757E" w:rsidRPr="00683FF0" w14:paraId="3409F836" w14:textId="77777777" w:rsidTr="007E07A4">
        <w:tc>
          <w:tcPr>
            <w:tcW w:w="4508" w:type="dxa"/>
            <w:shd w:val="clear" w:color="auto" w:fill="FFFFFF" w:themeFill="background1"/>
          </w:tcPr>
          <w:p w14:paraId="68A7D431" w14:textId="77777777" w:rsidR="00ED757E" w:rsidRPr="00683FF0" w:rsidRDefault="00ED757E" w:rsidP="007E07A4">
            <w:pPr>
              <w:pStyle w:val="TableText"/>
            </w:pPr>
          </w:p>
        </w:tc>
        <w:tc>
          <w:tcPr>
            <w:tcW w:w="4508" w:type="dxa"/>
            <w:shd w:val="clear" w:color="auto" w:fill="FFFFFF" w:themeFill="background1"/>
          </w:tcPr>
          <w:p w14:paraId="0CB2526E" w14:textId="77777777" w:rsidR="00ED757E" w:rsidRPr="00683FF0" w:rsidRDefault="00ED757E" w:rsidP="007E07A4">
            <w:pPr>
              <w:pStyle w:val="TableTextbold"/>
            </w:pPr>
            <w:r w:rsidRPr="00683FF0">
              <w:t xml:space="preserve">Responsible agencies: </w:t>
            </w:r>
          </w:p>
          <w:p w14:paraId="0BD31887" w14:textId="42A2D6C3" w:rsidR="00ED757E" w:rsidRPr="00683FF0" w:rsidRDefault="00ED757E" w:rsidP="007E07A4">
            <w:pPr>
              <w:pStyle w:val="TableBullet"/>
            </w:pPr>
            <w:r w:rsidRPr="00683FF0">
              <w:t>12.1</w:t>
            </w:r>
            <w:r w:rsidR="00470084" w:rsidRPr="00683FF0">
              <w:t>–</w:t>
            </w:r>
            <w:r w:rsidRPr="00683FF0">
              <w:t>3</w:t>
            </w:r>
            <w:r w:rsidR="0029242E" w:rsidRPr="00683FF0">
              <w:t>.</w:t>
            </w:r>
            <w:r w:rsidRPr="00683FF0">
              <w:t xml:space="preserve"> Treasury</w:t>
            </w:r>
          </w:p>
          <w:p w14:paraId="652C0EA4" w14:textId="385C1F0D" w:rsidR="00ED757E" w:rsidRPr="00683FF0" w:rsidRDefault="00ED757E" w:rsidP="007E07A4">
            <w:pPr>
              <w:pStyle w:val="TableBullet"/>
            </w:pPr>
            <w:r w:rsidRPr="00683FF0">
              <w:t>12.4</w:t>
            </w:r>
            <w:r w:rsidR="0029242E" w:rsidRPr="00683FF0">
              <w:t>.</w:t>
            </w:r>
            <w:r w:rsidRPr="00683FF0">
              <w:t xml:space="preserve"> Ministry for the Environment </w:t>
            </w:r>
          </w:p>
          <w:p w14:paraId="0F7B7037" w14:textId="77777777" w:rsidR="00D11096" w:rsidRPr="00683FF0" w:rsidRDefault="00ED757E" w:rsidP="007E07A4">
            <w:pPr>
              <w:pStyle w:val="TableTextbold"/>
            </w:pPr>
            <w:r w:rsidRPr="00683FF0">
              <w:t>Responsible Minister</w:t>
            </w:r>
            <w:r w:rsidR="00D11096" w:rsidRPr="00683FF0">
              <w:t>s</w:t>
            </w:r>
            <w:r w:rsidRPr="00683FF0">
              <w:t xml:space="preserve">: </w:t>
            </w:r>
          </w:p>
          <w:p w14:paraId="3C60BC40" w14:textId="7C15C6A3" w:rsidR="00ED757E" w:rsidRPr="00683FF0" w:rsidRDefault="00D11096" w:rsidP="007E07A4">
            <w:pPr>
              <w:pStyle w:val="TableBullet"/>
            </w:pPr>
            <w:r w:rsidRPr="00683FF0">
              <w:t>12.1</w:t>
            </w:r>
            <w:r w:rsidR="00470084" w:rsidRPr="00683FF0">
              <w:t>–</w:t>
            </w:r>
            <w:r w:rsidRPr="00683FF0">
              <w:t>3</w:t>
            </w:r>
            <w:r w:rsidR="0029242E" w:rsidRPr="00683FF0">
              <w:t>.</w:t>
            </w:r>
            <w:r w:rsidRPr="00683FF0">
              <w:t xml:space="preserve"> </w:t>
            </w:r>
            <w:r w:rsidR="00ED757E" w:rsidRPr="00683FF0">
              <w:t>Minister of Finance</w:t>
            </w:r>
          </w:p>
          <w:p w14:paraId="7F2D72CD" w14:textId="054CC123" w:rsidR="00D11096" w:rsidRPr="00683FF0" w:rsidRDefault="00D11096" w:rsidP="007E07A4">
            <w:pPr>
              <w:pStyle w:val="TableBullet"/>
            </w:pPr>
            <w:r w:rsidRPr="00683FF0">
              <w:t>12.4</w:t>
            </w:r>
            <w:r w:rsidR="0029242E" w:rsidRPr="00683FF0">
              <w:t>.</w:t>
            </w:r>
            <w:r w:rsidRPr="00683FF0">
              <w:t xml:space="preserve"> Minister of Climate Change</w:t>
            </w:r>
          </w:p>
          <w:p w14:paraId="0C100339" w14:textId="77777777" w:rsidR="00D11096" w:rsidRPr="00683FF0" w:rsidRDefault="00ED757E" w:rsidP="007E07A4">
            <w:pPr>
              <w:pStyle w:val="TableTextbold"/>
            </w:pPr>
            <w:r w:rsidRPr="00683FF0">
              <w:t xml:space="preserve">Timeline: </w:t>
            </w:r>
          </w:p>
          <w:p w14:paraId="6622A87B" w14:textId="3AF41082" w:rsidR="00ED757E" w:rsidRPr="00683FF0" w:rsidRDefault="00D11096" w:rsidP="007E07A4">
            <w:pPr>
              <w:pStyle w:val="TableBullet"/>
            </w:pPr>
            <w:r w:rsidRPr="00683FF0">
              <w:t>12.1</w:t>
            </w:r>
            <w:r w:rsidR="00470084" w:rsidRPr="00683FF0">
              <w:t>–</w:t>
            </w:r>
            <w:r w:rsidRPr="00683FF0">
              <w:t xml:space="preserve">3. </w:t>
            </w:r>
            <w:r w:rsidR="00ED757E" w:rsidRPr="00683FF0">
              <w:t>2022</w:t>
            </w:r>
            <w:r w:rsidR="00470084" w:rsidRPr="00683FF0">
              <w:t>–</w:t>
            </w:r>
            <w:r w:rsidR="00ED757E" w:rsidRPr="00683FF0">
              <w:t>25 (EB1) and ongoing</w:t>
            </w:r>
          </w:p>
          <w:p w14:paraId="09845051" w14:textId="68CC3128" w:rsidR="00ED757E" w:rsidRPr="00683FF0" w:rsidRDefault="00D11096" w:rsidP="007E07A4">
            <w:pPr>
              <w:pStyle w:val="TableBullet"/>
              <w:rPr>
                <w:rFonts w:eastAsia="Times New Roman" w:cstheme="minorHAnsi"/>
                <w:b/>
                <w:bCs/>
                <w:szCs w:val="18"/>
              </w:rPr>
            </w:pPr>
            <w:r w:rsidRPr="00683FF0">
              <w:t>12.4. 2022</w:t>
            </w:r>
            <w:r w:rsidR="00470084" w:rsidRPr="00683FF0">
              <w:t>–</w:t>
            </w:r>
            <w:r w:rsidRPr="00683FF0">
              <w:t>23</w:t>
            </w:r>
          </w:p>
        </w:tc>
      </w:tr>
    </w:tbl>
    <w:p w14:paraId="741E7743" w14:textId="60EA7F21" w:rsidR="008E5E76" w:rsidRPr="00683FF0" w:rsidRDefault="008E5E76" w:rsidP="00587A9C">
      <w:pPr>
        <w:pStyle w:val="BodyText"/>
        <w:spacing w:before="0" w:after="0"/>
      </w:pPr>
    </w:p>
    <w:p w14:paraId="4F9488E2" w14:textId="1C8EAEC0" w:rsidR="008E5E76" w:rsidRPr="00683FF0" w:rsidRDefault="008E5E76" w:rsidP="007E07A4">
      <w:pPr>
        <w:pStyle w:val="Heading2"/>
        <w:spacing w:after="240"/>
      </w:pPr>
      <w:bookmarkStart w:id="27" w:name="_Toc103175829"/>
      <w:bookmarkStart w:id="28" w:name="_Toc103778792"/>
      <w:r w:rsidRPr="00683FF0">
        <w:t>Enable system-level change through innovation, finance and behaviour change</w:t>
      </w:r>
      <w:bookmarkEnd w:id="27"/>
      <w:bookmarkEnd w:id="28"/>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7E07A4" w:rsidRPr="00683FF0" w14:paraId="4D54A329" w14:textId="77777777" w:rsidTr="007E07A4">
        <w:trPr>
          <w:tblHeader/>
        </w:trPr>
        <w:tc>
          <w:tcPr>
            <w:tcW w:w="4508" w:type="dxa"/>
            <w:tcBorders>
              <w:top w:val="single" w:sz="4" w:space="0" w:color="1B556B" w:themeColor="text2"/>
              <w:bottom w:val="nil"/>
            </w:tcBorders>
            <w:shd w:val="clear" w:color="auto" w:fill="1B556B" w:themeFill="text2"/>
            <w:vAlign w:val="center"/>
          </w:tcPr>
          <w:p w14:paraId="788D9B8A" w14:textId="4AC7139A" w:rsidR="00AC3040" w:rsidRPr="00683FF0" w:rsidRDefault="00AC3040" w:rsidP="007E07A4">
            <w:pPr>
              <w:pStyle w:val="TableTextbold"/>
              <w:rPr>
                <w:color w:val="FFFFFF" w:themeColor="background1"/>
              </w:rPr>
            </w:pPr>
            <w:r w:rsidRPr="00683FF0">
              <w:rPr>
                <w:color w:val="FFFFFF" w:themeColor="background1"/>
              </w:rPr>
              <w:t xml:space="preserve">Report </w:t>
            </w:r>
            <w:r w:rsidR="00470084"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6B94FA56" w14:textId="5247DBC0" w:rsidR="00AC3040" w:rsidRPr="00683FF0" w:rsidRDefault="00AC3040" w:rsidP="007E07A4">
            <w:pPr>
              <w:pStyle w:val="TableTextbold"/>
              <w:rPr>
                <w:color w:val="FFFFFF" w:themeColor="background1"/>
              </w:rPr>
            </w:pPr>
            <w:r w:rsidRPr="00683FF0">
              <w:rPr>
                <w:color w:val="FFFFFF" w:themeColor="background1"/>
              </w:rPr>
              <w:t xml:space="preserve">Government </w:t>
            </w:r>
            <w:r w:rsidR="00470084" w:rsidRPr="00683FF0">
              <w:rPr>
                <w:color w:val="FFFFFF" w:themeColor="background1"/>
              </w:rPr>
              <w:t>r</w:t>
            </w:r>
            <w:r w:rsidRPr="00683FF0">
              <w:rPr>
                <w:color w:val="FFFFFF" w:themeColor="background1"/>
              </w:rPr>
              <w:t>esponse</w:t>
            </w:r>
          </w:p>
        </w:tc>
      </w:tr>
      <w:tr w:rsidR="00AC3040" w:rsidRPr="00683FF0" w14:paraId="20BC58F0" w14:textId="77777777" w:rsidTr="007E07A4">
        <w:tc>
          <w:tcPr>
            <w:tcW w:w="4508" w:type="dxa"/>
            <w:tcBorders>
              <w:top w:val="nil"/>
            </w:tcBorders>
            <w:shd w:val="clear" w:color="auto" w:fill="auto"/>
          </w:tcPr>
          <w:p w14:paraId="1F16553A" w14:textId="29C648AA" w:rsidR="00AC3040" w:rsidRPr="00683FF0" w:rsidRDefault="00AC3040" w:rsidP="007E07A4">
            <w:pPr>
              <w:pStyle w:val="TableTextbold"/>
              <w:spacing w:after="0"/>
            </w:pPr>
            <w:r w:rsidRPr="00683FF0">
              <w:t xml:space="preserve">Recommendation 13 </w:t>
            </w:r>
            <w:r w:rsidR="00470084" w:rsidRPr="00683FF0">
              <w:t>–</w:t>
            </w:r>
            <w:r w:rsidRPr="00683FF0">
              <w:t xml:space="preserve"> Enable system-level change through innovation, finance and behaviour change</w:t>
            </w:r>
          </w:p>
          <w:p w14:paraId="16401FEF" w14:textId="190DD0A1" w:rsidR="00AC3040" w:rsidRPr="00683FF0" w:rsidRDefault="00660BEF" w:rsidP="007E07A4">
            <w:pPr>
              <w:pStyle w:val="TableText"/>
            </w:pPr>
            <w:r w:rsidRPr="00683FF0">
              <w:t>We recommend that, in the first emissions reduction plan, the Government commit to: Enabling system-level change in Aotearoa through innovation, finance and behaviour change</w:t>
            </w:r>
            <w:r w:rsidR="000E54BF" w:rsidRPr="00683FF0">
              <w:t>.</w:t>
            </w:r>
            <w:r w:rsidRPr="00683FF0">
              <w:t xml:space="preserve"> This should include:</w:t>
            </w:r>
          </w:p>
        </w:tc>
        <w:tc>
          <w:tcPr>
            <w:tcW w:w="4508" w:type="dxa"/>
            <w:tcBorders>
              <w:top w:val="nil"/>
            </w:tcBorders>
            <w:shd w:val="clear" w:color="auto" w:fill="auto"/>
          </w:tcPr>
          <w:p w14:paraId="3515CF3E" w14:textId="77777777" w:rsidR="00AC3040" w:rsidRPr="00683FF0" w:rsidRDefault="00AC3040" w:rsidP="007E07A4">
            <w:pPr>
              <w:pStyle w:val="TableText"/>
            </w:pPr>
          </w:p>
        </w:tc>
      </w:tr>
      <w:tr w:rsidR="00AC3040" w:rsidRPr="00683FF0" w14:paraId="03D0840E" w14:textId="77777777" w:rsidTr="007E07A4">
        <w:tc>
          <w:tcPr>
            <w:tcW w:w="4508" w:type="dxa"/>
            <w:shd w:val="clear" w:color="auto" w:fill="FFFFFF" w:themeFill="background1"/>
          </w:tcPr>
          <w:p w14:paraId="1B347CEF" w14:textId="71172D99" w:rsidR="00AC3040" w:rsidRPr="00683FF0" w:rsidRDefault="00AC3040" w:rsidP="007E07A4">
            <w:pPr>
              <w:pStyle w:val="TableText"/>
            </w:pPr>
            <w:r w:rsidRPr="00683FF0">
              <w:t>13.1. Accelerating the transition through innovation by:</w:t>
            </w:r>
          </w:p>
          <w:p w14:paraId="43543E99" w14:textId="77777777" w:rsidR="00AC3040" w:rsidRPr="00683FF0" w:rsidRDefault="00AC3040" w:rsidP="00D21268">
            <w:pPr>
              <w:pStyle w:val="TableText"/>
              <w:numPr>
                <w:ilvl w:val="0"/>
                <w:numId w:val="18"/>
              </w:numPr>
              <w:spacing w:before="0"/>
            </w:pPr>
            <w:r w:rsidRPr="00683FF0">
              <w:t>Giving high priority to low-emissions research, development and innovation within public science and innovation funding approaches. This should include support for research, development and innovation that draws on mātauranga Māori.</w:t>
            </w:r>
          </w:p>
          <w:p w14:paraId="71AE5767" w14:textId="77777777" w:rsidR="00AC3040" w:rsidRPr="00683FF0" w:rsidRDefault="00AC3040" w:rsidP="00D21268">
            <w:pPr>
              <w:pStyle w:val="TableText"/>
              <w:numPr>
                <w:ilvl w:val="0"/>
                <w:numId w:val="18"/>
              </w:numPr>
              <w:spacing w:before="0"/>
            </w:pPr>
            <w:r w:rsidRPr="00683FF0">
              <w:t>Introducing targeted measures to support low-emissions research, development and innovation. This could include tax incentives, research grants and intellectual property regulations, and must include mechanisms to enable Māori-collectives and researchers to equitably benefit.</w:t>
            </w:r>
          </w:p>
          <w:p w14:paraId="7E95771C" w14:textId="0448A353" w:rsidR="00AC3040" w:rsidRPr="00683FF0" w:rsidRDefault="00AC3040" w:rsidP="00D21268">
            <w:pPr>
              <w:pStyle w:val="TableText"/>
              <w:numPr>
                <w:ilvl w:val="0"/>
                <w:numId w:val="18"/>
              </w:numPr>
            </w:pPr>
            <w:r w:rsidRPr="00683FF0">
              <w:lastRenderedPageBreak/>
              <w:t>Creating an enabling regulatory environment for new and emerging low-emissions industries and sectors, including removing barriers for Iwi/Māori to participate in these opportunities.</w:t>
            </w:r>
          </w:p>
        </w:tc>
        <w:tc>
          <w:tcPr>
            <w:tcW w:w="4508" w:type="dxa"/>
            <w:shd w:val="clear" w:color="auto" w:fill="FFFFFF" w:themeFill="background1"/>
          </w:tcPr>
          <w:p w14:paraId="7E77BEF3" w14:textId="10358E63" w:rsidR="000E54BF" w:rsidRPr="00683FF0" w:rsidRDefault="2C92A953" w:rsidP="007E07A4">
            <w:pPr>
              <w:pStyle w:val="TableText"/>
            </w:pPr>
            <w:r w:rsidRPr="00683FF0">
              <w:rPr>
                <w:b/>
                <w:bCs/>
              </w:rPr>
              <w:lastRenderedPageBreak/>
              <w:t>13.1a.</w:t>
            </w:r>
            <w:r w:rsidRPr="00683FF0">
              <w:t xml:space="preserve"> </w:t>
            </w:r>
            <w:r w:rsidR="67F85B48" w:rsidRPr="00683FF0">
              <w:rPr>
                <w:b/>
                <w:bCs/>
              </w:rPr>
              <w:t>The Government agrees with this recommendation.</w:t>
            </w:r>
            <w:r w:rsidR="50EDDD1A" w:rsidRPr="00683FF0">
              <w:rPr>
                <w:b/>
                <w:bCs/>
              </w:rPr>
              <w:t xml:space="preserve"> </w:t>
            </w:r>
            <w:r w:rsidR="50EDDD1A" w:rsidRPr="00683FF0">
              <w:t xml:space="preserve">The Government </w:t>
            </w:r>
            <w:r w:rsidR="67F85B48" w:rsidRPr="00683FF0">
              <w:t>will prioritise low-emissions research, development and innovation through the following approaches</w:t>
            </w:r>
            <w:r w:rsidR="00470084" w:rsidRPr="00683FF0">
              <w:t>.</w:t>
            </w:r>
          </w:p>
          <w:p w14:paraId="5A9CBFFA" w14:textId="71A4231C" w:rsidR="000E54BF" w:rsidRPr="00683FF0" w:rsidRDefault="2C92A953" w:rsidP="007E07A4">
            <w:pPr>
              <w:pStyle w:val="TableBullet"/>
            </w:pPr>
            <w:r w:rsidRPr="00683FF0">
              <w:t xml:space="preserve">Climate Innovation Platforms will provide the mechanism for disruptive innovation to be adopted at pace to support </w:t>
            </w:r>
            <w:r w:rsidR="00A02DE8" w:rsidRPr="00683FF0">
              <w:t xml:space="preserve">the </w:t>
            </w:r>
            <w:r w:rsidRPr="00683FF0">
              <w:t>transformation</w:t>
            </w:r>
            <w:r w:rsidR="00A02DE8" w:rsidRPr="00683FF0">
              <w:t xml:space="preserve"> of Aotearoa</w:t>
            </w:r>
            <w:r w:rsidRPr="00683FF0">
              <w:t>.</w:t>
            </w:r>
          </w:p>
          <w:p w14:paraId="79F0954F" w14:textId="22799EDA" w:rsidR="000E54BF" w:rsidRPr="00683FF0" w:rsidRDefault="00AA4271" w:rsidP="007E07A4">
            <w:pPr>
              <w:pStyle w:val="TableBullet"/>
            </w:pPr>
            <w:r w:rsidRPr="00683FF0">
              <w:t xml:space="preserve">Optimising the </w:t>
            </w:r>
            <w:r w:rsidR="004A460E" w:rsidRPr="00683FF0">
              <w:t>research, science and innovation</w:t>
            </w:r>
            <w:r w:rsidR="00C1630D" w:rsidRPr="00683FF0">
              <w:t xml:space="preserve"> </w:t>
            </w:r>
            <w:r w:rsidR="004A460E" w:rsidRPr="00683FF0">
              <w:t>(</w:t>
            </w:r>
            <w:r w:rsidRPr="00683FF0">
              <w:t>RSI</w:t>
            </w:r>
            <w:r w:rsidR="004A460E" w:rsidRPr="00683FF0">
              <w:t>)</w:t>
            </w:r>
            <w:r w:rsidRPr="00683FF0">
              <w:t xml:space="preserve"> system through Te Ara Paerangi </w:t>
            </w:r>
            <w:r w:rsidR="00582A6D" w:rsidRPr="00683FF0">
              <w:t xml:space="preserve">– </w:t>
            </w:r>
            <w:r w:rsidRPr="00683FF0">
              <w:t xml:space="preserve">Future Pathways will involve setting clear priorities for </w:t>
            </w:r>
            <w:r w:rsidR="00A02DE8" w:rsidRPr="00683FF0">
              <w:t>the</w:t>
            </w:r>
            <w:r w:rsidRPr="00683FF0">
              <w:t xml:space="preserve"> science system </w:t>
            </w:r>
            <w:r w:rsidR="00A02DE8" w:rsidRPr="00683FF0">
              <w:t xml:space="preserve">of Aotearoa </w:t>
            </w:r>
            <w:r w:rsidRPr="00683FF0">
              <w:t xml:space="preserve">to address challenges including climate change. </w:t>
            </w:r>
          </w:p>
          <w:p w14:paraId="5D1ED150" w14:textId="5E123CE9" w:rsidR="000E54BF" w:rsidRPr="00683FF0" w:rsidRDefault="00AA4271" w:rsidP="007E07A4">
            <w:pPr>
              <w:pStyle w:val="TableBullet"/>
              <w:spacing w:before="60"/>
            </w:pPr>
            <w:r w:rsidRPr="00683FF0">
              <w:lastRenderedPageBreak/>
              <w:t xml:space="preserve">The Vision Mātauranga policy unlocks the science and innovation potential of Māori knowledge. Mātauranga Māori offers insights </w:t>
            </w:r>
            <w:r w:rsidR="00582A6D" w:rsidRPr="00683FF0">
              <w:t xml:space="preserve">on </w:t>
            </w:r>
            <w:r w:rsidRPr="00683FF0">
              <w:t xml:space="preserve">and solutions to climate change issues that reflect a holistic worldview. </w:t>
            </w:r>
          </w:p>
          <w:p w14:paraId="587DB966" w14:textId="46CD502C" w:rsidR="00AA4271" w:rsidRPr="00683FF0" w:rsidRDefault="00AA4271" w:rsidP="007E07A4">
            <w:pPr>
              <w:pStyle w:val="TableBullet"/>
            </w:pPr>
            <w:r w:rsidRPr="00683FF0">
              <w:t xml:space="preserve">Funding signals for the Endeavour Fund emphasise proposals that aim to support the transition to a low-emissions and climate-resilient economy. Explicit consideration will be </w:t>
            </w:r>
            <w:r w:rsidR="00582A6D" w:rsidRPr="00683FF0">
              <w:t>given to</w:t>
            </w:r>
            <w:r w:rsidRPr="00683FF0">
              <w:t xml:space="preserve"> the potential impact of research on greenhouse gas emissions</w:t>
            </w:r>
            <w:r w:rsidR="00DD494A" w:rsidRPr="00683FF0">
              <w:t xml:space="preserve"> </w:t>
            </w:r>
            <w:r w:rsidR="2C92A953" w:rsidRPr="00683FF0">
              <w:t>(</w:t>
            </w:r>
            <w:r w:rsidR="00DD494A" w:rsidRPr="00683FF0">
              <w:t>c</w:t>
            </w:r>
            <w:r w:rsidR="2C92A953" w:rsidRPr="00683FF0">
              <w:t xml:space="preserve">hapter </w:t>
            </w:r>
            <w:r w:rsidR="6CBA3AC1" w:rsidRPr="00683FF0">
              <w:t>8</w:t>
            </w:r>
            <w:r w:rsidR="00A7150A" w:rsidRPr="00683FF0">
              <w:t>:</w:t>
            </w:r>
            <w:r w:rsidR="6CBA3AC1" w:rsidRPr="00683FF0">
              <w:t xml:space="preserve"> Research, science, innovation and technology</w:t>
            </w:r>
            <w:r w:rsidR="00582A6D" w:rsidRPr="00683FF0">
              <w:t>,</w:t>
            </w:r>
            <w:r w:rsidR="6CBA3AC1" w:rsidRPr="00683FF0">
              <w:t xml:space="preserve"> actions </w:t>
            </w:r>
            <w:r w:rsidR="007F2071" w:rsidRPr="00683FF0">
              <w:t>8.</w:t>
            </w:r>
            <w:r w:rsidR="6CBA3AC1" w:rsidRPr="00683FF0">
              <w:t>1</w:t>
            </w:r>
            <w:r w:rsidR="00A7150A" w:rsidRPr="00683FF0">
              <w:t>–</w:t>
            </w:r>
            <w:r w:rsidR="6CBA3AC1" w:rsidRPr="00683FF0">
              <w:t>14)</w:t>
            </w:r>
            <w:r w:rsidR="00DD494A" w:rsidRPr="00683FF0">
              <w:t>.</w:t>
            </w:r>
          </w:p>
          <w:p w14:paraId="4DEA3E41" w14:textId="2AF5AE49" w:rsidR="006D60D7" w:rsidRPr="00683FF0" w:rsidRDefault="67F85B48" w:rsidP="00587A9C">
            <w:pPr>
              <w:pStyle w:val="TableTextbold"/>
              <w:spacing w:after="0"/>
            </w:pPr>
            <w:r w:rsidRPr="00683FF0">
              <w:t xml:space="preserve">13.1b. </w:t>
            </w:r>
            <w:r w:rsidR="3E1FD39D" w:rsidRPr="00683FF0">
              <w:t>The Government agrees in p</w:t>
            </w:r>
            <w:r w:rsidR="247F7321" w:rsidRPr="00683FF0">
              <w:t>art</w:t>
            </w:r>
            <w:r w:rsidR="3E1FD39D" w:rsidRPr="00683FF0">
              <w:t xml:space="preserve"> with this recommendation.</w:t>
            </w:r>
            <w:r w:rsidR="247F7321" w:rsidRPr="00683FF0">
              <w:t xml:space="preserve"> </w:t>
            </w:r>
          </w:p>
          <w:p w14:paraId="050FC0A0" w14:textId="4601DDEA" w:rsidR="006D60D7" w:rsidRPr="00683FF0" w:rsidRDefault="2C92A953" w:rsidP="007E07A4">
            <w:pPr>
              <w:pStyle w:val="TableText"/>
            </w:pPr>
            <w:r w:rsidRPr="00683FF0">
              <w:t>Grants</w:t>
            </w:r>
            <w:r w:rsidR="009119AA" w:rsidRPr="00683FF0">
              <w:t>,</w:t>
            </w:r>
            <w:r w:rsidRPr="00683FF0">
              <w:t xml:space="preserve"> including</w:t>
            </w:r>
            <w:r w:rsidR="006D60D7" w:rsidRPr="00683FF0">
              <w:t xml:space="preserve"> the</w:t>
            </w:r>
            <w:r w:rsidRPr="00683FF0">
              <w:t xml:space="preserve"> Endeavour </w:t>
            </w:r>
            <w:r w:rsidR="006D60D7" w:rsidRPr="00683FF0">
              <w:t xml:space="preserve">Fund </w:t>
            </w:r>
            <w:r w:rsidRPr="00683FF0">
              <w:t>and the Vision Mātauranga Capability Fund, support low</w:t>
            </w:r>
            <w:r w:rsidR="007F2F1E" w:rsidRPr="00683FF0">
              <w:t>-</w:t>
            </w:r>
            <w:r w:rsidRPr="00683FF0">
              <w:t>emissions research and development through funding signals. Grants provide a powerful mechanism for targeted intervention to aid in the prioritisation of specific activity such as low</w:t>
            </w:r>
            <w:r w:rsidR="006D60D7" w:rsidRPr="00683FF0">
              <w:t>-</w:t>
            </w:r>
            <w:r w:rsidRPr="00683FF0">
              <w:t xml:space="preserve">emissions research and development. The Endeavour Fund has introduced signals to place enhanced emphasis on proposals that support the transition to </w:t>
            </w:r>
            <w:r w:rsidR="007F2F1E" w:rsidRPr="00683FF0">
              <w:t xml:space="preserve">a </w:t>
            </w:r>
            <w:r w:rsidRPr="00683FF0">
              <w:t>low</w:t>
            </w:r>
            <w:r w:rsidR="006D60D7" w:rsidRPr="00683FF0">
              <w:t>-</w:t>
            </w:r>
            <w:r w:rsidRPr="00683FF0">
              <w:t>emissions economy and society</w:t>
            </w:r>
            <w:r w:rsidR="00DD494A" w:rsidRPr="00683FF0">
              <w:t xml:space="preserve"> </w:t>
            </w:r>
            <w:r w:rsidR="6CBA3AC1" w:rsidRPr="00683FF0">
              <w:t>(</w:t>
            </w:r>
            <w:r w:rsidR="00DD494A" w:rsidRPr="00683FF0">
              <w:t>c</w:t>
            </w:r>
            <w:r w:rsidR="6CBA3AC1" w:rsidRPr="00683FF0">
              <w:t>hapter 8</w:t>
            </w:r>
            <w:r w:rsidR="007F2F1E" w:rsidRPr="00683FF0">
              <w:t>:</w:t>
            </w:r>
            <w:r w:rsidR="6CBA3AC1" w:rsidRPr="00683FF0">
              <w:t xml:space="preserve"> Research, science, innovation and technology</w:t>
            </w:r>
            <w:r w:rsidR="007F2F1E" w:rsidRPr="00683FF0">
              <w:t>,</w:t>
            </w:r>
            <w:r w:rsidR="6CBA3AC1" w:rsidRPr="00683FF0">
              <w:t xml:space="preserve"> action </w:t>
            </w:r>
            <w:r w:rsidR="007F2071" w:rsidRPr="00683FF0">
              <w:t>8.</w:t>
            </w:r>
            <w:r w:rsidR="6CBA3AC1" w:rsidRPr="00683FF0">
              <w:t>2).</w:t>
            </w:r>
          </w:p>
          <w:p w14:paraId="017AD203" w14:textId="560E65CC" w:rsidR="006D60D7" w:rsidRPr="00683FF0" w:rsidRDefault="2C92A953" w:rsidP="007E07A4">
            <w:pPr>
              <w:pStyle w:val="TableText"/>
            </w:pPr>
            <w:r w:rsidRPr="00683FF0">
              <w:t xml:space="preserve">The </w:t>
            </w:r>
            <w:r w:rsidR="00A02DE8" w:rsidRPr="00683FF0">
              <w:t>Aotearoa</w:t>
            </w:r>
            <w:r w:rsidRPr="00683FF0">
              <w:t xml:space="preserve"> Research and Development Tax Incentive (RDTI) is the main mechanism to support business innovation and allows companies to claim back 15</w:t>
            </w:r>
            <w:r w:rsidR="00A179EB" w:rsidRPr="00683FF0">
              <w:t>%</w:t>
            </w:r>
            <w:r w:rsidRPr="00683FF0">
              <w:t xml:space="preserve"> of eligible </w:t>
            </w:r>
            <w:r w:rsidR="003C3855" w:rsidRPr="00683FF0">
              <w:t>research and developmen</w:t>
            </w:r>
            <w:r w:rsidR="005D7BF2" w:rsidRPr="00683FF0">
              <w:t>t</w:t>
            </w:r>
            <w:r w:rsidR="003C3855" w:rsidRPr="00683FF0">
              <w:t xml:space="preserve"> (</w:t>
            </w:r>
            <w:r w:rsidRPr="00683FF0">
              <w:t>R&amp;D</w:t>
            </w:r>
            <w:r w:rsidR="003C3855" w:rsidRPr="00683FF0">
              <w:t>)</w:t>
            </w:r>
            <w:r w:rsidRPr="00683FF0">
              <w:t xml:space="preserve"> expenses. </w:t>
            </w:r>
          </w:p>
          <w:p w14:paraId="7FD2FABC" w14:textId="01EE6BEE" w:rsidR="009119AA" w:rsidRPr="00683FF0" w:rsidRDefault="67F85B48" w:rsidP="007E07A4">
            <w:pPr>
              <w:pStyle w:val="TableText"/>
            </w:pPr>
            <w:r w:rsidRPr="00683FF0">
              <w:t xml:space="preserve">The Government is not considering changing the </w:t>
            </w:r>
            <w:r w:rsidR="009119AA" w:rsidRPr="00683FF0">
              <w:t>t</w:t>
            </w:r>
            <w:r w:rsidR="2C92A953" w:rsidRPr="00683FF0">
              <w:t xml:space="preserve">ax </w:t>
            </w:r>
            <w:r w:rsidR="009119AA" w:rsidRPr="00683FF0">
              <w:t>i</w:t>
            </w:r>
            <w:r w:rsidR="2C92A953" w:rsidRPr="00683FF0">
              <w:t xml:space="preserve">ncentive or </w:t>
            </w:r>
            <w:r w:rsidR="009119AA" w:rsidRPr="00683FF0">
              <w:t>intellectual property</w:t>
            </w:r>
            <w:r w:rsidR="2C92A953" w:rsidRPr="00683FF0">
              <w:t xml:space="preserve"> </w:t>
            </w:r>
            <w:r w:rsidR="009119AA" w:rsidRPr="00683FF0">
              <w:t>r</w:t>
            </w:r>
            <w:r w:rsidR="2C92A953" w:rsidRPr="00683FF0">
              <w:t>egulations</w:t>
            </w:r>
            <w:r w:rsidRPr="00683FF0">
              <w:t>,</w:t>
            </w:r>
            <w:r w:rsidR="2C92A953" w:rsidRPr="00683FF0">
              <w:t xml:space="preserve"> as these are broad</w:t>
            </w:r>
            <w:r w:rsidR="009119AA" w:rsidRPr="00683FF0">
              <w:t>-</w:t>
            </w:r>
            <w:r w:rsidR="2C92A953" w:rsidRPr="00683FF0">
              <w:t>brush regulations rather than specific to low</w:t>
            </w:r>
            <w:r w:rsidR="009119AA" w:rsidRPr="00683FF0">
              <w:t>-</w:t>
            </w:r>
            <w:r w:rsidR="2C92A953" w:rsidRPr="00683FF0">
              <w:t xml:space="preserve">emissions R&amp;D. </w:t>
            </w:r>
            <w:r w:rsidR="009119AA" w:rsidRPr="00683FF0">
              <w:t xml:space="preserve">Adding </w:t>
            </w:r>
            <w:r w:rsidR="2C92A953" w:rsidRPr="00683FF0">
              <w:t xml:space="preserve">a multi-tiered RDTI system to an already complex system would create difficulties for the application and delivery of the programme. </w:t>
            </w:r>
          </w:p>
          <w:p w14:paraId="78C8E938" w14:textId="04EA908D" w:rsidR="009119AA" w:rsidRPr="00683FF0" w:rsidRDefault="2C92A953" w:rsidP="007E07A4">
            <w:pPr>
              <w:pStyle w:val="TableText"/>
            </w:pPr>
            <w:r w:rsidRPr="00683FF0">
              <w:t xml:space="preserve">Additionally, </w:t>
            </w:r>
            <w:r w:rsidR="006D60D7" w:rsidRPr="00683FF0">
              <w:t xml:space="preserve">given </w:t>
            </w:r>
            <w:r w:rsidRPr="00683FF0">
              <w:t>the potential</w:t>
            </w:r>
            <w:r w:rsidR="00B27ED9" w:rsidRPr="00683FF0">
              <w:t xml:space="preserve"> for</w:t>
            </w:r>
            <w:r w:rsidRPr="00683FF0">
              <w:t xml:space="preserve"> carbon reduction </w:t>
            </w:r>
            <w:r w:rsidR="00B27ED9" w:rsidRPr="00683FF0">
              <w:t xml:space="preserve">through </w:t>
            </w:r>
            <w:r w:rsidRPr="00683FF0">
              <w:t xml:space="preserve">emerging innovation is difficult to assess, supporting all innovation through the RDTI captures all innovation that could have an impact on emissions reduction and grow </w:t>
            </w:r>
            <w:r w:rsidR="00A02DE8" w:rsidRPr="00683FF0">
              <w:t>the</w:t>
            </w:r>
            <w:r w:rsidRPr="00683FF0">
              <w:t xml:space="preserve"> low-emissions economy</w:t>
            </w:r>
            <w:r w:rsidR="00A02DE8" w:rsidRPr="00683FF0">
              <w:t xml:space="preserve"> of Aotearoa</w:t>
            </w:r>
            <w:r w:rsidRPr="00683FF0">
              <w:t>.</w:t>
            </w:r>
            <w:r w:rsidR="67F85B48" w:rsidRPr="00683FF0">
              <w:t xml:space="preserve"> </w:t>
            </w:r>
          </w:p>
          <w:p w14:paraId="2F4C1CBE" w14:textId="767B3180" w:rsidR="00D06B82" w:rsidRPr="00683FF0" w:rsidRDefault="009119AA" w:rsidP="007E07A4">
            <w:pPr>
              <w:pStyle w:val="TableText"/>
            </w:pPr>
            <w:r w:rsidRPr="00683FF0">
              <w:t>Finally</w:t>
            </w:r>
            <w:r w:rsidR="67F85B48" w:rsidRPr="00683FF0">
              <w:t xml:space="preserve">, </w:t>
            </w:r>
            <w:r w:rsidRPr="00683FF0">
              <w:t>changing</w:t>
            </w:r>
            <w:r w:rsidR="67F85B48" w:rsidRPr="00683FF0">
              <w:t xml:space="preserve"> Aotearoa</w:t>
            </w:r>
            <w:r w:rsidR="00A02DE8" w:rsidRPr="00683FF0">
              <w:t xml:space="preserve"> New Zealand</w:t>
            </w:r>
            <w:r w:rsidR="67F85B48" w:rsidRPr="00683FF0">
              <w:t xml:space="preserve">’s </w:t>
            </w:r>
            <w:r w:rsidRPr="00683FF0">
              <w:t xml:space="preserve">intellectual property </w:t>
            </w:r>
            <w:r w:rsidR="2C92A953" w:rsidRPr="00683FF0">
              <w:t xml:space="preserve">regulations </w:t>
            </w:r>
            <w:r w:rsidRPr="00683FF0">
              <w:t xml:space="preserve">is not recommended </w:t>
            </w:r>
            <w:r w:rsidR="2C92A953" w:rsidRPr="00683FF0">
              <w:t>as these are governed by international treaties</w:t>
            </w:r>
            <w:r w:rsidR="50EDDD1A" w:rsidRPr="00683FF0">
              <w:t>, which</w:t>
            </w:r>
            <w:r w:rsidR="2C92A953" w:rsidRPr="00683FF0">
              <w:t xml:space="preserve"> restrict</w:t>
            </w:r>
            <w:r w:rsidR="50EDDD1A" w:rsidRPr="00683FF0">
              <w:t>s</w:t>
            </w:r>
            <w:r w:rsidR="2C92A953" w:rsidRPr="00683FF0">
              <w:t xml:space="preserve"> the ability to change them. Furthermore, international evidence</w:t>
            </w:r>
            <w:r w:rsidR="50EDDD1A" w:rsidRPr="00683FF0">
              <w:t xml:space="preserve"> </w:t>
            </w:r>
            <w:r w:rsidR="2C92A953" w:rsidRPr="00683FF0">
              <w:t xml:space="preserve">shows weak to no correlation between </w:t>
            </w:r>
            <w:r w:rsidRPr="00683FF0">
              <w:t>intellectual property</w:t>
            </w:r>
            <w:r w:rsidR="2C92A953" w:rsidRPr="00683FF0">
              <w:t xml:space="preserve"> mechanisms </w:t>
            </w:r>
            <w:r w:rsidR="50EDDD1A" w:rsidRPr="00683FF0">
              <w:t>(</w:t>
            </w:r>
            <w:r w:rsidR="2C92A953" w:rsidRPr="00683FF0">
              <w:t>including patent boxes</w:t>
            </w:r>
            <w:r w:rsidR="50EDDD1A" w:rsidRPr="00683FF0">
              <w:t>)</w:t>
            </w:r>
            <w:r w:rsidR="2C92A953" w:rsidRPr="00683FF0">
              <w:t xml:space="preserve"> </w:t>
            </w:r>
            <w:r w:rsidR="006D60D7" w:rsidRPr="00683FF0">
              <w:t>and</w:t>
            </w:r>
            <w:r w:rsidR="2C92A953" w:rsidRPr="00683FF0">
              <w:t xml:space="preserve"> accelerat</w:t>
            </w:r>
            <w:r w:rsidR="006D60D7" w:rsidRPr="00683FF0">
              <w:t>ion of</w:t>
            </w:r>
            <w:r w:rsidR="2C92A953" w:rsidRPr="00683FF0">
              <w:t xml:space="preserve"> technology development to address challenges such as climate change</w:t>
            </w:r>
            <w:r w:rsidR="50EDDD1A" w:rsidRPr="00683FF0">
              <w:t xml:space="preserve">. </w:t>
            </w:r>
          </w:p>
          <w:p w14:paraId="470772EB" w14:textId="538A2367" w:rsidR="00AA4271" w:rsidRPr="00683FF0" w:rsidRDefault="50EDDD1A" w:rsidP="007E07A4">
            <w:pPr>
              <w:pStyle w:val="TableText"/>
              <w:rPr>
                <w:szCs w:val="18"/>
              </w:rPr>
            </w:pPr>
            <w:r w:rsidRPr="00683FF0">
              <w:rPr>
                <w:b/>
                <w:bCs/>
              </w:rPr>
              <w:t xml:space="preserve">13.1c. </w:t>
            </w:r>
            <w:r w:rsidR="247F7321" w:rsidRPr="00683FF0">
              <w:rPr>
                <w:b/>
                <w:bCs/>
              </w:rPr>
              <w:t>The Government agrees with this recommendation.</w:t>
            </w:r>
            <w:r w:rsidRPr="00683FF0">
              <w:rPr>
                <w:b/>
                <w:bCs/>
              </w:rPr>
              <w:t xml:space="preserve"> </w:t>
            </w:r>
            <w:r w:rsidR="6CBA3AC1" w:rsidRPr="00683FF0">
              <w:t xml:space="preserve">The </w:t>
            </w:r>
            <w:r w:rsidR="00A02DE8" w:rsidRPr="00683FF0">
              <w:t>C</w:t>
            </w:r>
            <w:r w:rsidR="6CBA3AC1" w:rsidRPr="00683FF0">
              <w:t xml:space="preserve">limate Innovation Platforms will form strategic partnerships with relevant regulatory teams, sectors, iwi and communities to enable accelerated implementation of innovation </w:t>
            </w:r>
            <w:r w:rsidR="6CBA3AC1" w:rsidRPr="00683FF0">
              <w:lastRenderedPageBreak/>
              <w:t>to</w:t>
            </w:r>
            <w:r w:rsidR="00587A9C" w:rsidRPr="00683FF0">
              <w:t> </w:t>
            </w:r>
            <w:r w:rsidR="6CBA3AC1" w:rsidRPr="00683FF0">
              <w:t xml:space="preserve">address climate change and transform </w:t>
            </w:r>
            <w:r w:rsidR="00A02DE8" w:rsidRPr="00683FF0">
              <w:t>Aote</w:t>
            </w:r>
            <w:r w:rsidR="00DD494A" w:rsidRPr="00683FF0">
              <w:t>a</w:t>
            </w:r>
            <w:r w:rsidR="00A02DE8" w:rsidRPr="00683FF0">
              <w:t>roa in</w:t>
            </w:r>
            <w:r w:rsidR="6CBA3AC1" w:rsidRPr="00683FF0">
              <w:t>to a</w:t>
            </w:r>
            <w:r w:rsidR="007E07A4" w:rsidRPr="00683FF0">
              <w:t> </w:t>
            </w:r>
            <w:r w:rsidR="6CBA3AC1" w:rsidRPr="00683FF0">
              <w:t>low-emissions economy and society (</w:t>
            </w:r>
            <w:r w:rsidR="00DD494A" w:rsidRPr="00683FF0">
              <w:t>c</w:t>
            </w:r>
            <w:r w:rsidR="6CBA3AC1" w:rsidRPr="00683FF0">
              <w:t>hapter 8</w:t>
            </w:r>
            <w:r w:rsidR="000B3853" w:rsidRPr="00683FF0">
              <w:t>:</w:t>
            </w:r>
            <w:r w:rsidR="6CBA3AC1" w:rsidRPr="00683FF0">
              <w:t xml:space="preserve"> Research, science, innovation and technology</w:t>
            </w:r>
            <w:r w:rsidR="000B3853" w:rsidRPr="00683FF0">
              <w:t>,</w:t>
            </w:r>
            <w:r w:rsidR="6CBA3AC1" w:rsidRPr="00683FF0">
              <w:t xml:space="preserve"> action</w:t>
            </w:r>
            <w:r w:rsidR="007E07A4" w:rsidRPr="00683FF0">
              <w:t> </w:t>
            </w:r>
            <w:r w:rsidR="007F2071" w:rsidRPr="00683FF0">
              <w:t>8.</w:t>
            </w:r>
            <w:r w:rsidR="6CBA3AC1" w:rsidRPr="00683FF0">
              <w:t>1).</w:t>
            </w:r>
          </w:p>
        </w:tc>
      </w:tr>
      <w:tr w:rsidR="00AC3040" w:rsidRPr="00683FF0" w14:paraId="6430CBA8" w14:textId="77777777" w:rsidTr="007E07A4">
        <w:tc>
          <w:tcPr>
            <w:tcW w:w="4508" w:type="dxa"/>
            <w:shd w:val="clear" w:color="auto" w:fill="FFFFFF" w:themeFill="background1"/>
          </w:tcPr>
          <w:p w14:paraId="4191F449" w14:textId="4E10783D" w:rsidR="00AC3040" w:rsidRPr="00683FF0" w:rsidRDefault="00AC3040" w:rsidP="00AC3040">
            <w:pPr>
              <w:spacing w:before="40" w:after="40"/>
              <w:rPr>
                <w:sz w:val="18"/>
                <w:szCs w:val="18"/>
              </w:rPr>
            </w:pPr>
            <w:r w:rsidRPr="00683FF0">
              <w:rPr>
                <w:sz w:val="18"/>
                <w:szCs w:val="18"/>
              </w:rPr>
              <w:lastRenderedPageBreak/>
              <w:t>13.2. Mobilising finance for low emissions and climate-resilient investments:</w:t>
            </w:r>
          </w:p>
          <w:p w14:paraId="431DE47A" w14:textId="77777777" w:rsidR="00AC3040" w:rsidRPr="00683FF0" w:rsidRDefault="00AC3040" w:rsidP="007E07A4">
            <w:pPr>
              <w:pStyle w:val="TableText"/>
            </w:pPr>
            <w:r w:rsidRPr="00683FF0">
              <w:t>Investigating and developing actions government can take to help mobilise private sector finance, including ways to improve access to low-emissions finance for Māori-collectives.</w:t>
            </w:r>
          </w:p>
          <w:p w14:paraId="7A3FB00F" w14:textId="77777777" w:rsidR="00AC3040" w:rsidRPr="00683FF0" w:rsidRDefault="00AC3040" w:rsidP="007E07A4">
            <w:pPr>
              <w:pStyle w:val="TableText"/>
            </w:pPr>
            <w:r w:rsidRPr="00683FF0">
              <w:t>Exploring the extension of the mandatory climate-related disclosure regime to cover a broader range of activities, for example, public entities at the national and local level.</w:t>
            </w:r>
          </w:p>
          <w:p w14:paraId="7166C907" w14:textId="0D9DCFF5" w:rsidR="00AC3040" w:rsidRPr="00683FF0" w:rsidRDefault="00AC3040" w:rsidP="007E07A4">
            <w:pPr>
              <w:pStyle w:val="TableText"/>
            </w:pPr>
            <w:r w:rsidRPr="00683FF0">
              <w:t>Evaluating the benefits of extending mandatory climate-related disclosure to cover emissions enabled by loans, from financial institutions, over a certain threshold.</w:t>
            </w:r>
          </w:p>
        </w:tc>
        <w:tc>
          <w:tcPr>
            <w:tcW w:w="4508" w:type="dxa"/>
            <w:shd w:val="clear" w:color="auto" w:fill="FFFFFF" w:themeFill="background1"/>
          </w:tcPr>
          <w:p w14:paraId="26BB3BB3" w14:textId="46F10D62" w:rsidR="00AC3040" w:rsidRPr="00683FF0" w:rsidRDefault="006127DC" w:rsidP="007E07A4">
            <w:pPr>
              <w:pStyle w:val="TableText"/>
              <w:rPr>
                <w:b/>
                <w:bCs/>
                <w:sz w:val="20"/>
                <w:szCs w:val="20"/>
              </w:rPr>
            </w:pPr>
            <w:r w:rsidRPr="00683FF0">
              <w:rPr>
                <w:b/>
                <w:bCs/>
              </w:rPr>
              <w:t xml:space="preserve">13.2a. </w:t>
            </w:r>
            <w:r w:rsidR="00BE2393" w:rsidRPr="00683FF0">
              <w:rPr>
                <w:b/>
                <w:bCs/>
              </w:rPr>
              <w:t>The Government agrees with this recommendation.</w:t>
            </w:r>
            <w:r w:rsidRPr="00683FF0">
              <w:rPr>
                <w:b/>
                <w:bCs/>
              </w:rPr>
              <w:t xml:space="preserve"> </w:t>
            </w:r>
            <w:r w:rsidRPr="00683FF0">
              <w:t xml:space="preserve">This recommendation </w:t>
            </w:r>
            <w:r w:rsidR="00283A3E" w:rsidRPr="00683FF0">
              <w:t>aligns well</w:t>
            </w:r>
            <w:r w:rsidR="007E07A4" w:rsidRPr="00683FF0">
              <w:t> </w:t>
            </w:r>
            <w:r w:rsidR="00283A3E" w:rsidRPr="00683FF0">
              <w:t xml:space="preserve">with the Sustainable Finance Forum’s recommendation for a Whole of Government Sustainable Finance Strategy. </w:t>
            </w:r>
            <w:r w:rsidR="000B3853" w:rsidRPr="00683FF0">
              <w:t xml:space="preserve">The Reserve Bank of New Zealand </w:t>
            </w:r>
            <w:r w:rsidRPr="00683FF0">
              <w:t xml:space="preserve">is leading a project investigating the barriers Māori collectives face </w:t>
            </w:r>
            <w:r w:rsidR="000B3853" w:rsidRPr="00683FF0">
              <w:t xml:space="preserve">in </w:t>
            </w:r>
            <w:r w:rsidRPr="00683FF0">
              <w:t>accessing finance.</w:t>
            </w:r>
            <w:r w:rsidR="00283A3E" w:rsidRPr="00683FF0">
              <w:t xml:space="preserve"> </w:t>
            </w:r>
            <w:r w:rsidRPr="00683FF0">
              <w:t xml:space="preserve">The </w:t>
            </w:r>
            <w:r w:rsidR="00283A3E" w:rsidRPr="00683FF0">
              <w:t xml:space="preserve">Government </w:t>
            </w:r>
            <w:r w:rsidRPr="00683FF0">
              <w:t xml:space="preserve">is </w:t>
            </w:r>
            <w:r w:rsidR="00283A3E" w:rsidRPr="00683FF0">
              <w:t>support</w:t>
            </w:r>
            <w:r w:rsidRPr="00683FF0">
              <w:t>ive of</w:t>
            </w:r>
            <w:r w:rsidR="00283A3E" w:rsidRPr="00683FF0">
              <w:t xml:space="preserve"> this work and </w:t>
            </w:r>
            <w:r w:rsidRPr="00683FF0">
              <w:t>its findings will help to inform what further actions</w:t>
            </w:r>
            <w:r w:rsidR="000B3853" w:rsidRPr="00683FF0">
              <w:t xml:space="preserve"> the Government</w:t>
            </w:r>
            <w:r w:rsidRPr="00683FF0">
              <w:t xml:space="preserve"> can take</w:t>
            </w:r>
            <w:r w:rsidR="000B3853" w:rsidRPr="00683FF0">
              <w:t>.</w:t>
            </w:r>
            <w:r w:rsidRPr="00683FF0">
              <w:t xml:space="preserve"> </w:t>
            </w:r>
            <w:r w:rsidR="00283A3E" w:rsidRPr="00683FF0">
              <w:t xml:space="preserve">The interagency </w:t>
            </w:r>
            <w:r w:rsidR="00FA3059" w:rsidRPr="00683FF0">
              <w:t xml:space="preserve">group </w:t>
            </w:r>
            <w:r w:rsidR="009E15CF" w:rsidRPr="00683FF0">
              <w:t xml:space="preserve">of Chief Executives responsible for </w:t>
            </w:r>
            <w:r w:rsidR="00B50605" w:rsidRPr="00683FF0">
              <w:t xml:space="preserve">the </w:t>
            </w:r>
            <w:r w:rsidR="00DC4475" w:rsidRPr="00683FF0">
              <w:t>ERP</w:t>
            </w:r>
            <w:r w:rsidR="00283A3E" w:rsidRPr="00683FF0">
              <w:t xml:space="preserve"> will also direct further work in this area</w:t>
            </w:r>
            <w:r w:rsidR="009252E8" w:rsidRPr="00683FF0">
              <w:t>.</w:t>
            </w:r>
          </w:p>
          <w:p w14:paraId="3170214C" w14:textId="6F3AC7A8" w:rsidR="00283A3E" w:rsidRPr="00683FF0" w:rsidRDefault="006127DC" w:rsidP="007E07A4">
            <w:pPr>
              <w:pStyle w:val="TableText"/>
            </w:pPr>
            <w:r w:rsidRPr="00683FF0">
              <w:rPr>
                <w:b/>
              </w:rPr>
              <w:t xml:space="preserve">13.2b. </w:t>
            </w:r>
            <w:r w:rsidR="00BE2393" w:rsidRPr="00683FF0">
              <w:rPr>
                <w:b/>
              </w:rPr>
              <w:t>The Government agrees with this recommendation.</w:t>
            </w:r>
            <w:r w:rsidRPr="00683FF0">
              <w:rPr>
                <w:b/>
              </w:rPr>
              <w:t xml:space="preserve"> </w:t>
            </w:r>
            <w:r w:rsidR="00283A3E" w:rsidRPr="00683FF0">
              <w:t>Agencies will be considering the</w:t>
            </w:r>
            <w:r w:rsidR="007E07A4" w:rsidRPr="00683FF0">
              <w:t> </w:t>
            </w:r>
            <w:r w:rsidR="00283A3E" w:rsidRPr="00683FF0">
              <w:t>extension of the scope of the mandatory climate</w:t>
            </w:r>
            <w:r w:rsidR="007E07A4" w:rsidRPr="00683FF0">
              <w:noBreakHyphen/>
            </w:r>
            <w:r w:rsidR="00283A3E" w:rsidRPr="00683FF0">
              <w:t>related disclosure regime.</w:t>
            </w:r>
          </w:p>
          <w:p w14:paraId="0F3AF760" w14:textId="1B49FC12" w:rsidR="00283A3E" w:rsidRPr="00683FF0" w:rsidRDefault="006127DC" w:rsidP="007E07A4">
            <w:pPr>
              <w:pStyle w:val="TableText"/>
            </w:pPr>
            <w:r w:rsidRPr="00683FF0">
              <w:rPr>
                <w:b/>
              </w:rPr>
              <w:t xml:space="preserve">13.2c. </w:t>
            </w:r>
            <w:r w:rsidR="00BE2393" w:rsidRPr="00683FF0">
              <w:rPr>
                <w:b/>
              </w:rPr>
              <w:t xml:space="preserve">The Government agrees in principle with this recommendation. </w:t>
            </w:r>
            <w:r w:rsidR="00283A3E" w:rsidRPr="00683FF0">
              <w:t>We agree that agencies should explore this action.</w:t>
            </w:r>
          </w:p>
        </w:tc>
      </w:tr>
      <w:tr w:rsidR="00AC3040" w:rsidRPr="00683FF0" w14:paraId="3935D2F3" w14:textId="77777777" w:rsidTr="007E07A4">
        <w:tc>
          <w:tcPr>
            <w:tcW w:w="4508" w:type="dxa"/>
            <w:shd w:val="clear" w:color="auto" w:fill="FFFFFF" w:themeFill="background1"/>
          </w:tcPr>
          <w:p w14:paraId="501A507F" w14:textId="26392C42" w:rsidR="00AC3040" w:rsidRPr="00683FF0" w:rsidRDefault="00AC3040" w:rsidP="007E07A4">
            <w:pPr>
              <w:pStyle w:val="TableText"/>
            </w:pPr>
            <w:r w:rsidRPr="00683FF0">
              <w:t>13.3. Supporting behaviour change:</w:t>
            </w:r>
          </w:p>
          <w:p w14:paraId="3D59A733" w14:textId="77777777" w:rsidR="00AC3040" w:rsidRPr="00683FF0" w:rsidRDefault="00AC3040" w:rsidP="00D21268">
            <w:pPr>
              <w:pStyle w:val="TableText"/>
              <w:numPr>
                <w:ilvl w:val="0"/>
                <w:numId w:val="19"/>
              </w:numPr>
              <w:spacing w:before="0"/>
            </w:pPr>
            <w:r w:rsidRPr="00683FF0">
              <w:t>Including behaviour change in the design of climate change policies and programmes, in order to enable New Zealanders to make choices that support low-emissions outcomes.</w:t>
            </w:r>
          </w:p>
          <w:p w14:paraId="3F01C532" w14:textId="2C0B0208" w:rsidR="00AC3040" w:rsidRPr="00683FF0" w:rsidRDefault="00AC3040" w:rsidP="00D21268">
            <w:pPr>
              <w:pStyle w:val="TableText"/>
              <w:numPr>
                <w:ilvl w:val="0"/>
                <w:numId w:val="19"/>
              </w:numPr>
              <w:spacing w:before="0"/>
              <w:rPr>
                <w:szCs w:val="18"/>
              </w:rPr>
            </w:pPr>
            <w:r w:rsidRPr="00683FF0">
              <w:t>Identifying a lead agency and establishing a dedicated, well-resourced fund for education and information to promote and socialise the wide-scale behaviour changes needed. This should involve communities, Iwi/Māori and local knowledge.</w:t>
            </w:r>
          </w:p>
        </w:tc>
        <w:tc>
          <w:tcPr>
            <w:tcW w:w="4508" w:type="dxa"/>
            <w:shd w:val="clear" w:color="auto" w:fill="FFFFFF" w:themeFill="background1"/>
          </w:tcPr>
          <w:p w14:paraId="5908E295" w14:textId="5586A076" w:rsidR="00152F83" w:rsidRPr="00683FF0" w:rsidRDefault="00152F83" w:rsidP="007E07A4">
            <w:pPr>
              <w:pStyle w:val="TableText"/>
              <w:rPr>
                <w:b/>
                <w:bCs/>
              </w:rPr>
            </w:pPr>
            <w:r w:rsidRPr="00683FF0">
              <w:rPr>
                <w:b/>
                <w:bCs/>
              </w:rPr>
              <w:t xml:space="preserve">13.3a. </w:t>
            </w:r>
            <w:r w:rsidR="00E61120" w:rsidRPr="00683FF0">
              <w:rPr>
                <w:b/>
                <w:bCs/>
              </w:rPr>
              <w:t xml:space="preserve">The Government agrees in principle with this recommendation. </w:t>
            </w:r>
            <w:r w:rsidRPr="00683FF0">
              <w:t>The Ministry for the Environment will scope appropriate mechanisms to incorporate behavioural outcomes into climate policy and communication initiatives.</w:t>
            </w:r>
          </w:p>
          <w:p w14:paraId="41F6EED9" w14:textId="7A5371F7" w:rsidR="00152F83" w:rsidRPr="00683FF0" w:rsidRDefault="00152F83" w:rsidP="007E07A4">
            <w:pPr>
              <w:pStyle w:val="TableText"/>
            </w:pPr>
            <w:r w:rsidRPr="00683FF0">
              <w:rPr>
                <w:b/>
                <w:bCs/>
              </w:rPr>
              <w:t xml:space="preserve">13.3b. </w:t>
            </w:r>
            <w:r w:rsidR="00E61120" w:rsidRPr="00683FF0">
              <w:rPr>
                <w:b/>
                <w:bCs/>
              </w:rPr>
              <w:t xml:space="preserve">The Government agrees in principle with this recommendation. </w:t>
            </w:r>
            <w:r w:rsidRPr="00683FF0">
              <w:t xml:space="preserve">The Ministry for the Environment </w:t>
            </w:r>
            <w:r w:rsidR="5FCB9520" w:rsidRPr="00683FF0">
              <w:t>will</w:t>
            </w:r>
            <w:r w:rsidRPr="00683FF0">
              <w:t xml:space="preserve"> develop proposals for a Climate Information Centre to inform low-emissions choices and for a fund to support community-based solutions and trials to encourage adoption of low</w:t>
            </w:r>
            <w:r w:rsidR="007F2F1E" w:rsidRPr="00683FF0">
              <w:t>-</w:t>
            </w:r>
            <w:r w:rsidRPr="00683FF0">
              <w:t>emissions behaviours.</w:t>
            </w:r>
          </w:p>
        </w:tc>
      </w:tr>
      <w:tr w:rsidR="00180B6A" w:rsidRPr="00683FF0" w14:paraId="4A357C09" w14:textId="77777777" w:rsidTr="007E07A4">
        <w:tc>
          <w:tcPr>
            <w:tcW w:w="4508" w:type="dxa"/>
            <w:shd w:val="clear" w:color="auto" w:fill="FFFFFF" w:themeFill="background1"/>
          </w:tcPr>
          <w:p w14:paraId="7C83D834" w14:textId="77777777" w:rsidR="00180B6A" w:rsidRPr="00683FF0" w:rsidRDefault="00180B6A" w:rsidP="00A861B3">
            <w:pPr>
              <w:pStyle w:val="TableText"/>
            </w:pPr>
          </w:p>
        </w:tc>
        <w:tc>
          <w:tcPr>
            <w:tcW w:w="4508" w:type="dxa"/>
            <w:shd w:val="clear" w:color="auto" w:fill="FFFFFF" w:themeFill="background1"/>
          </w:tcPr>
          <w:p w14:paraId="6F0D427A" w14:textId="77777777" w:rsidR="00180B6A" w:rsidRPr="00683FF0" w:rsidRDefault="00180B6A" w:rsidP="007E07A4">
            <w:pPr>
              <w:pStyle w:val="TableTextbold"/>
            </w:pPr>
            <w:r w:rsidRPr="00683FF0">
              <w:t>Responsible agencies:</w:t>
            </w:r>
          </w:p>
          <w:p w14:paraId="00E43200" w14:textId="7F675514" w:rsidR="00180B6A" w:rsidRPr="00683FF0" w:rsidRDefault="00180B6A" w:rsidP="007E07A4">
            <w:pPr>
              <w:pStyle w:val="TableBullet"/>
            </w:pPr>
            <w:r w:rsidRPr="00683FF0">
              <w:t>13.1</w:t>
            </w:r>
            <w:r w:rsidR="00172F7A" w:rsidRPr="00683FF0">
              <w:t>–</w:t>
            </w:r>
            <w:r w:rsidRPr="00683FF0">
              <w:t xml:space="preserve">2. Ministry </w:t>
            </w:r>
            <w:r w:rsidR="00045686" w:rsidRPr="00683FF0">
              <w:t>of</w:t>
            </w:r>
            <w:r w:rsidR="00F41112" w:rsidRPr="00683FF0">
              <w:t xml:space="preserve"> </w:t>
            </w:r>
            <w:r w:rsidRPr="00683FF0">
              <w:t xml:space="preserve">Business, Innovation </w:t>
            </w:r>
            <w:r w:rsidR="00591D68" w:rsidRPr="00683FF0">
              <w:t xml:space="preserve">and </w:t>
            </w:r>
            <w:r w:rsidRPr="00683FF0">
              <w:t>Employment</w:t>
            </w:r>
          </w:p>
          <w:p w14:paraId="6EC8D4A7" w14:textId="7EFFEAF3" w:rsidR="5ED2CAFE" w:rsidRPr="00683FF0" w:rsidRDefault="5ED2CAFE" w:rsidP="007E07A4">
            <w:pPr>
              <w:pStyle w:val="TableBullet"/>
            </w:pPr>
            <w:r w:rsidRPr="00683FF0">
              <w:t>13.2 b –c</w:t>
            </w:r>
            <w:r w:rsidR="2D90B413" w:rsidRPr="00683FF0">
              <w:t xml:space="preserve"> </w:t>
            </w:r>
            <w:r w:rsidRPr="00683FF0">
              <w:t>Ministry for the Environment</w:t>
            </w:r>
          </w:p>
          <w:p w14:paraId="29E19450" w14:textId="6C9A05D2" w:rsidR="00180B6A" w:rsidRPr="00683FF0" w:rsidRDefault="00180B6A" w:rsidP="007E07A4">
            <w:pPr>
              <w:pStyle w:val="TableBullet"/>
            </w:pPr>
            <w:r w:rsidRPr="00683FF0">
              <w:t>13.3</w:t>
            </w:r>
            <w:r w:rsidR="0029242E" w:rsidRPr="00683FF0">
              <w:t>.</w:t>
            </w:r>
            <w:r w:rsidRPr="00683FF0">
              <w:t xml:space="preserve"> Ministry for the Environment </w:t>
            </w:r>
          </w:p>
          <w:p w14:paraId="5D8652BE" w14:textId="77777777" w:rsidR="00180B6A" w:rsidRPr="00683FF0" w:rsidRDefault="00180B6A" w:rsidP="007E07A4">
            <w:pPr>
              <w:pStyle w:val="TableTextbold"/>
            </w:pPr>
            <w:r w:rsidRPr="00683FF0">
              <w:t xml:space="preserve">Responsible Ministers: </w:t>
            </w:r>
          </w:p>
          <w:p w14:paraId="4D5EDD7A" w14:textId="09B44F7C" w:rsidR="00180B6A" w:rsidRPr="00683FF0" w:rsidRDefault="00180B6A" w:rsidP="007E07A4">
            <w:pPr>
              <w:pStyle w:val="TableBullet"/>
              <w:rPr>
                <w:b/>
                <w:bCs/>
              </w:rPr>
            </w:pPr>
            <w:r w:rsidRPr="00683FF0">
              <w:t>13.1</w:t>
            </w:r>
            <w:r w:rsidR="00172F7A" w:rsidRPr="00683FF0">
              <w:t>–</w:t>
            </w:r>
            <w:r w:rsidRPr="00683FF0">
              <w:t xml:space="preserve">2. Minister </w:t>
            </w:r>
            <w:r w:rsidR="0029242E" w:rsidRPr="00683FF0">
              <w:t xml:space="preserve">of </w:t>
            </w:r>
            <w:r w:rsidRPr="00683FF0">
              <w:t>Science, Research and Innovation</w:t>
            </w:r>
            <w:r w:rsidRPr="00683FF0">
              <w:rPr>
                <w:b/>
                <w:bCs/>
              </w:rPr>
              <w:t xml:space="preserve"> </w:t>
            </w:r>
          </w:p>
          <w:p w14:paraId="3BA22CA3" w14:textId="44F92168" w:rsidR="5ED2CAFE" w:rsidRPr="00683FF0" w:rsidRDefault="5ED2CAFE" w:rsidP="007E07A4">
            <w:pPr>
              <w:pStyle w:val="TableBullet"/>
            </w:pPr>
            <w:r w:rsidRPr="00683FF0">
              <w:t>13.2b-c , Minister of Climate Change, Minister of Commerce and Consumer Affairs</w:t>
            </w:r>
          </w:p>
          <w:p w14:paraId="39BB45D6" w14:textId="75371AF4" w:rsidR="00180B6A" w:rsidRPr="00683FF0" w:rsidRDefault="0984D8A3" w:rsidP="00A1785C">
            <w:pPr>
              <w:pStyle w:val="TableBullet"/>
              <w:rPr>
                <w:b/>
                <w:bCs/>
                <w:szCs w:val="18"/>
              </w:rPr>
            </w:pPr>
            <w:r w:rsidRPr="00683FF0">
              <w:t>13.3</w:t>
            </w:r>
            <w:r w:rsidR="5698A1B5" w:rsidRPr="00683FF0">
              <w:t>.</w:t>
            </w:r>
            <w:r w:rsidRPr="00683FF0">
              <w:t xml:space="preserve"> Minister </w:t>
            </w:r>
            <w:r w:rsidR="5698A1B5" w:rsidRPr="00683FF0">
              <w:t xml:space="preserve">of </w:t>
            </w:r>
            <w:r w:rsidRPr="00683FF0">
              <w:t>Climate Change</w:t>
            </w:r>
            <w:r w:rsidR="00C1630D" w:rsidRPr="00683FF0">
              <w:t xml:space="preserve"> </w:t>
            </w:r>
          </w:p>
          <w:p w14:paraId="690A463D" w14:textId="765D4C92" w:rsidR="00180B6A" w:rsidRPr="00683FF0" w:rsidRDefault="00180B6A" w:rsidP="007E07A4">
            <w:pPr>
              <w:pStyle w:val="TableText"/>
              <w:rPr>
                <w:b/>
                <w:bCs/>
                <w:szCs w:val="18"/>
              </w:rPr>
            </w:pPr>
            <w:r w:rsidRPr="00683FF0">
              <w:rPr>
                <w:b/>
                <w:bCs/>
              </w:rPr>
              <w:t>Timeline</w:t>
            </w:r>
            <w:r w:rsidRPr="00683FF0">
              <w:t>: 2022</w:t>
            </w:r>
            <w:r w:rsidR="00172F7A" w:rsidRPr="00683FF0">
              <w:t>–</w:t>
            </w:r>
            <w:r w:rsidRPr="00683FF0">
              <w:t xml:space="preserve">25 (EB1) and ongoing </w:t>
            </w:r>
          </w:p>
        </w:tc>
      </w:tr>
    </w:tbl>
    <w:p w14:paraId="09AA2C13" w14:textId="6065507A" w:rsidR="008E5E76" w:rsidRPr="00683FF0" w:rsidRDefault="008E5E76" w:rsidP="008E5E76"/>
    <w:p w14:paraId="4992140D" w14:textId="77777777" w:rsidR="007E07A4" w:rsidRPr="00683FF0" w:rsidRDefault="007E07A4" w:rsidP="007E07A4">
      <w:pPr>
        <w:pStyle w:val="BodyText"/>
      </w:pPr>
      <w:r w:rsidRPr="00683FF0">
        <w:br w:type="page"/>
      </w:r>
    </w:p>
    <w:p w14:paraId="29CD4C03" w14:textId="0180E9B2" w:rsidR="008E5E76" w:rsidRPr="00683FF0" w:rsidRDefault="008E5E76" w:rsidP="007E07A4">
      <w:pPr>
        <w:pStyle w:val="Heading2"/>
        <w:spacing w:after="240"/>
      </w:pPr>
      <w:bookmarkStart w:id="29" w:name="_Toc103175830"/>
      <w:bookmarkStart w:id="30" w:name="_Toc103778793"/>
      <w:r w:rsidRPr="00683FF0">
        <w:lastRenderedPageBreak/>
        <w:t>Increase the circularity of the economy</w:t>
      </w:r>
      <w:bookmarkEnd w:id="29"/>
      <w:bookmarkEnd w:id="30"/>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A861B3" w:rsidRPr="00683FF0" w14:paraId="61E61431" w14:textId="77777777" w:rsidTr="00F06534">
        <w:trPr>
          <w:tblHeader/>
        </w:trPr>
        <w:tc>
          <w:tcPr>
            <w:tcW w:w="4508" w:type="dxa"/>
            <w:shd w:val="clear" w:color="auto" w:fill="1B556B" w:themeFill="text2"/>
            <w:vAlign w:val="center"/>
          </w:tcPr>
          <w:p w14:paraId="784F6852" w14:textId="5BB10F74" w:rsidR="002674D5" w:rsidRPr="00683FF0" w:rsidRDefault="002674D5" w:rsidP="00F06534">
            <w:pPr>
              <w:pStyle w:val="TableTextbold"/>
              <w:spacing w:line="220" w:lineRule="atLeast"/>
              <w:rPr>
                <w:color w:val="FFFFFF" w:themeColor="background1"/>
              </w:rPr>
            </w:pPr>
            <w:r w:rsidRPr="00683FF0">
              <w:rPr>
                <w:color w:val="FFFFFF" w:themeColor="background1"/>
              </w:rPr>
              <w:t xml:space="preserve">Report </w:t>
            </w:r>
            <w:r w:rsidR="009310D0" w:rsidRPr="00683FF0">
              <w:rPr>
                <w:color w:val="FFFFFF" w:themeColor="background1"/>
              </w:rPr>
              <w:t>r</w:t>
            </w:r>
            <w:r w:rsidRPr="00683FF0">
              <w:rPr>
                <w:color w:val="FFFFFF" w:themeColor="background1"/>
              </w:rPr>
              <w:t>ecommendation</w:t>
            </w:r>
          </w:p>
        </w:tc>
        <w:tc>
          <w:tcPr>
            <w:tcW w:w="4508" w:type="dxa"/>
            <w:shd w:val="clear" w:color="auto" w:fill="1B556B" w:themeFill="text2"/>
            <w:vAlign w:val="center"/>
          </w:tcPr>
          <w:p w14:paraId="19620EFF" w14:textId="32AABC2B" w:rsidR="002674D5" w:rsidRPr="00683FF0" w:rsidRDefault="002674D5" w:rsidP="00F06534">
            <w:pPr>
              <w:pStyle w:val="TableTextbold"/>
              <w:spacing w:line="220" w:lineRule="atLeast"/>
              <w:rPr>
                <w:color w:val="FFFFFF" w:themeColor="background1"/>
              </w:rPr>
            </w:pPr>
            <w:r w:rsidRPr="00683FF0">
              <w:rPr>
                <w:color w:val="FFFFFF" w:themeColor="background1"/>
              </w:rPr>
              <w:t xml:space="preserve">Government </w:t>
            </w:r>
            <w:r w:rsidR="009310D0" w:rsidRPr="00683FF0">
              <w:rPr>
                <w:color w:val="FFFFFF" w:themeColor="background1"/>
              </w:rPr>
              <w:t>r</w:t>
            </w:r>
            <w:r w:rsidRPr="00683FF0">
              <w:rPr>
                <w:color w:val="FFFFFF" w:themeColor="background1"/>
              </w:rPr>
              <w:t>esponse</w:t>
            </w:r>
          </w:p>
        </w:tc>
      </w:tr>
      <w:tr w:rsidR="00152F83" w:rsidRPr="00683FF0" w14:paraId="51A78844" w14:textId="77777777" w:rsidTr="00F06534">
        <w:tc>
          <w:tcPr>
            <w:tcW w:w="4508" w:type="dxa"/>
            <w:shd w:val="clear" w:color="auto" w:fill="auto"/>
          </w:tcPr>
          <w:p w14:paraId="7715BC4D" w14:textId="5B018E18" w:rsidR="00152F83" w:rsidRPr="00683FF0" w:rsidRDefault="00152F83" w:rsidP="00F06534">
            <w:pPr>
              <w:pStyle w:val="TableTextbold"/>
              <w:spacing w:before="40" w:after="0" w:line="230" w:lineRule="atLeast"/>
            </w:pPr>
            <w:r w:rsidRPr="00683FF0">
              <w:t xml:space="preserve">Recommendation 14 </w:t>
            </w:r>
            <w:r w:rsidR="009310D0" w:rsidRPr="00683FF0">
              <w:t>–</w:t>
            </w:r>
            <w:r w:rsidRPr="00683FF0">
              <w:t xml:space="preserve"> Increase the circularity of the economy</w:t>
            </w:r>
          </w:p>
          <w:p w14:paraId="19D9E758" w14:textId="38E70E1C" w:rsidR="00152F83" w:rsidRPr="00683FF0" w:rsidRDefault="00152F83" w:rsidP="00F06534">
            <w:pPr>
              <w:pStyle w:val="TableText"/>
              <w:spacing w:before="40" w:after="40" w:line="230" w:lineRule="atLeast"/>
            </w:pPr>
            <w:r w:rsidRPr="00683FF0">
              <w:t>We recommend that, in the first emissions reduction plan, the Government commit to: Developing and delivering a long-term strategy to move Aotearoa to a more circular economy. This should include:</w:t>
            </w:r>
          </w:p>
        </w:tc>
        <w:tc>
          <w:tcPr>
            <w:tcW w:w="4508" w:type="dxa"/>
            <w:shd w:val="clear" w:color="auto" w:fill="auto"/>
          </w:tcPr>
          <w:p w14:paraId="3EC1B605" w14:textId="679D085C" w:rsidR="00591D68" w:rsidRPr="00683FF0" w:rsidRDefault="00001E9E" w:rsidP="00F06534">
            <w:pPr>
              <w:pStyle w:val="TableText"/>
              <w:spacing w:before="40" w:after="40" w:line="230" w:lineRule="atLeast"/>
              <w:rPr>
                <w:rFonts w:eastAsia="Times New Roman" w:cstheme="minorHAnsi"/>
                <w:szCs w:val="18"/>
              </w:rPr>
            </w:pPr>
            <w:r w:rsidRPr="00683FF0">
              <w:rPr>
                <w:b/>
                <w:bCs/>
              </w:rPr>
              <w:t xml:space="preserve">The Government agrees with this recommendation. </w:t>
            </w:r>
            <w:r w:rsidRPr="00683FF0">
              <w:t xml:space="preserve">The </w:t>
            </w:r>
            <w:r w:rsidR="00FD74DA" w:rsidRPr="00683FF0">
              <w:t>emissions reduction plan</w:t>
            </w:r>
            <w:r w:rsidRPr="00683FF0">
              <w:t xml:space="preserve"> commits to developing and delivering a long-term strategy to move Aotearoa to a more circular economy</w:t>
            </w:r>
            <w:r w:rsidR="00496921" w:rsidRPr="00683FF0">
              <w:t xml:space="preserve"> (</w:t>
            </w:r>
            <w:r w:rsidR="009310D0" w:rsidRPr="00683FF0">
              <w:t>c</w:t>
            </w:r>
            <w:r w:rsidR="00496921" w:rsidRPr="00683FF0">
              <w:t xml:space="preserve">hapter </w:t>
            </w:r>
            <w:r w:rsidR="0063344C" w:rsidRPr="00683FF0">
              <w:t>9</w:t>
            </w:r>
            <w:r w:rsidR="009310D0" w:rsidRPr="00683FF0">
              <w:t>:</w:t>
            </w:r>
            <w:r w:rsidR="00496921" w:rsidRPr="00683FF0">
              <w:t xml:space="preserve"> </w:t>
            </w:r>
            <w:r w:rsidR="00AD1963" w:rsidRPr="00683FF0">
              <w:t>C</w:t>
            </w:r>
            <w:r w:rsidR="00496921" w:rsidRPr="00683FF0">
              <w:t>ircular economy and bioeconomy)</w:t>
            </w:r>
            <w:r w:rsidRPr="00683FF0">
              <w:t>.</w:t>
            </w:r>
            <w:r w:rsidRPr="00683FF0">
              <w:rPr>
                <w:highlight w:val="yellow"/>
              </w:rPr>
              <w:t xml:space="preserve"> </w:t>
            </w:r>
          </w:p>
          <w:p w14:paraId="578CDA82" w14:textId="74B502EE" w:rsidR="00152F83" w:rsidRPr="00683FF0" w:rsidRDefault="00591D68" w:rsidP="00F06534">
            <w:pPr>
              <w:pStyle w:val="TableText"/>
              <w:spacing w:before="40" w:after="40" w:line="230" w:lineRule="atLeast"/>
              <w:rPr>
                <w:szCs w:val="18"/>
              </w:rPr>
            </w:pPr>
            <w:r w:rsidRPr="00683FF0">
              <w:rPr>
                <w:rFonts w:eastAsia="Times New Roman" w:cstheme="minorHAnsi"/>
                <w:szCs w:val="18"/>
              </w:rPr>
              <w:t>The Ministry of Business, Innovation and Employment</w:t>
            </w:r>
            <w:r w:rsidR="000F7F83" w:rsidRPr="00683FF0">
              <w:rPr>
                <w:rFonts w:eastAsia="Times New Roman" w:cstheme="minorHAnsi"/>
                <w:szCs w:val="18"/>
              </w:rPr>
              <w:t xml:space="preserve"> supports the Commission’s recommendation to increase the circularity of the economy. </w:t>
            </w:r>
          </w:p>
        </w:tc>
      </w:tr>
      <w:tr w:rsidR="00152F83" w:rsidRPr="00683FF0" w14:paraId="23C02A2E" w14:textId="77777777" w:rsidTr="00F06534">
        <w:tc>
          <w:tcPr>
            <w:tcW w:w="4508" w:type="dxa"/>
            <w:shd w:val="clear" w:color="auto" w:fill="FFFFFF" w:themeFill="background1"/>
          </w:tcPr>
          <w:p w14:paraId="4AEA522E" w14:textId="677D495A" w:rsidR="00152F83" w:rsidRPr="00683FF0" w:rsidRDefault="00152F83" w:rsidP="00F06534">
            <w:pPr>
              <w:spacing w:before="40" w:after="40" w:line="230" w:lineRule="atLeast"/>
              <w:rPr>
                <w:sz w:val="18"/>
                <w:szCs w:val="18"/>
              </w:rPr>
            </w:pPr>
            <w:r w:rsidRPr="00683FF0">
              <w:rPr>
                <w:sz w:val="18"/>
                <w:szCs w:val="18"/>
              </w:rPr>
              <w:t>14.1. Acting in partnership: To be enduring, the strategy must be created in partnership with Iwi/Māori, give effect to the principles of Te Tiriti o Waitangi/The Treaty of Waitangi, and align with the He Ara Waiora framework. Consideration should also be given to:</w:t>
            </w:r>
          </w:p>
          <w:p w14:paraId="38F12C63" w14:textId="77777777" w:rsidR="00152F83" w:rsidRPr="00683FF0" w:rsidRDefault="00152F83" w:rsidP="00D21268">
            <w:pPr>
              <w:pStyle w:val="TableText"/>
              <w:numPr>
                <w:ilvl w:val="0"/>
                <w:numId w:val="20"/>
              </w:numPr>
              <w:spacing w:before="40" w:after="40" w:line="230" w:lineRule="atLeast"/>
            </w:pPr>
            <w:r w:rsidRPr="00683FF0">
              <w:t>How to embed a complementary mātauranga Māori approach in the strategy (see also Recommendation 26 on equitable and proactive partnership with Iwi/Māori).</w:t>
            </w:r>
          </w:p>
          <w:p w14:paraId="232366C8" w14:textId="047934F4" w:rsidR="00152F83" w:rsidRPr="00683FF0" w:rsidRDefault="00152F83" w:rsidP="00D21268">
            <w:pPr>
              <w:pStyle w:val="TableText"/>
              <w:numPr>
                <w:ilvl w:val="0"/>
                <w:numId w:val="20"/>
              </w:numPr>
              <w:spacing w:before="40" w:after="40" w:line="230" w:lineRule="atLeast"/>
            </w:pPr>
            <w:r w:rsidRPr="00683FF0">
              <w:t>Enabling Māori-collectives to participate in associated business opportunities.</w:t>
            </w:r>
          </w:p>
        </w:tc>
        <w:tc>
          <w:tcPr>
            <w:tcW w:w="4508" w:type="dxa"/>
            <w:shd w:val="clear" w:color="auto" w:fill="FFFFFF" w:themeFill="background1"/>
          </w:tcPr>
          <w:p w14:paraId="3F39DF6E" w14:textId="6DA6207D" w:rsidR="00152F83" w:rsidRPr="00683FF0" w:rsidRDefault="00001E9E" w:rsidP="00F06534">
            <w:pPr>
              <w:pStyle w:val="TableText"/>
              <w:spacing w:before="40" w:after="40" w:line="230" w:lineRule="atLeast"/>
              <w:rPr>
                <w:rFonts w:eastAsia="Times New Roman" w:cstheme="minorHAnsi"/>
                <w:szCs w:val="18"/>
              </w:rPr>
            </w:pPr>
            <w:r w:rsidRPr="00683FF0">
              <w:rPr>
                <w:rFonts w:eastAsia="Times New Roman"/>
                <w:b/>
                <w:szCs w:val="18"/>
              </w:rPr>
              <w:t xml:space="preserve">14.1. </w:t>
            </w:r>
            <w:r w:rsidR="00BE2393" w:rsidRPr="00683FF0">
              <w:rPr>
                <w:rFonts w:eastAsia="Times New Roman"/>
                <w:b/>
                <w:szCs w:val="18"/>
              </w:rPr>
              <w:t>The Government agrees in part with this recommendation.</w:t>
            </w:r>
            <w:r w:rsidR="00BE2393" w:rsidRPr="00683FF0">
              <w:rPr>
                <w:rFonts w:eastAsia="Times New Roman"/>
                <w:szCs w:val="18"/>
              </w:rPr>
              <w:t xml:space="preserve"> </w:t>
            </w:r>
            <w:r w:rsidR="00152F83" w:rsidRPr="00683FF0">
              <w:rPr>
                <w:rFonts w:eastAsia="Times New Roman"/>
                <w:szCs w:val="18"/>
              </w:rPr>
              <w:t>Th</w:t>
            </w:r>
            <w:r w:rsidRPr="00683FF0">
              <w:rPr>
                <w:rFonts w:eastAsia="Times New Roman"/>
                <w:szCs w:val="18"/>
              </w:rPr>
              <w:t xml:space="preserve">e </w:t>
            </w:r>
            <w:r w:rsidR="009B72C5" w:rsidRPr="00683FF0">
              <w:rPr>
                <w:rFonts w:eastAsia="Times New Roman"/>
                <w:szCs w:val="18"/>
              </w:rPr>
              <w:t>cir</w:t>
            </w:r>
            <w:r w:rsidR="00496921" w:rsidRPr="00683FF0">
              <w:rPr>
                <w:rFonts w:eastAsia="Times New Roman"/>
                <w:szCs w:val="18"/>
              </w:rPr>
              <w:t xml:space="preserve">cular </w:t>
            </w:r>
            <w:r w:rsidR="009B72C5" w:rsidRPr="00683FF0">
              <w:rPr>
                <w:rFonts w:eastAsia="Times New Roman"/>
                <w:szCs w:val="18"/>
              </w:rPr>
              <w:t>e</w:t>
            </w:r>
            <w:r w:rsidR="00496921" w:rsidRPr="00683FF0">
              <w:rPr>
                <w:rFonts w:eastAsia="Times New Roman"/>
                <w:szCs w:val="18"/>
              </w:rPr>
              <w:t xml:space="preserve">conomy </w:t>
            </w:r>
            <w:r w:rsidR="00E84648" w:rsidRPr="00683FF0">
              <w:rPr>
                <w:rFonts w:eastAsia="Times New Roman"/>
                <w:szCs w:val="18"/>
              </w:rPr>
              <w:t xml:space="preserve">and </w:t>
            </w:r>
            <w:r w:rsidR="009B72C5" w:rsidRPr="00683FF0">
              <w:rPr>
                <w:rFonts w:eastAsia="Times New Roman"/>
                <w:szCs w:val="18"/>
              </w:rPr>
              <w:t>b</w:t>
            </w:r>
            <w:r w:rsidR="00E84648" w:rsidRPr="00683FF0">
              <w:rPr>
                <w:rFonts w:eastAsia="Times New Roman"/>
                <w:szCs w:val="18"/>
              </w:rPr>
              <w:t xml:space="preserve">ioeconomy </w:t>
            </w:r>
            <w:r w:rsidR="009B72C5" w:rsidRPr="00683FF0">
              <w:rPr>
                <w:rFonts w:eastAsia="Times New Roman"/>
                <w:szCs w:val="18"/>
              </w:rPr>
              <w:t>s</w:t>
            </w:r>
            <w:r w:rsidRPr="00683FF0">
              <w:rPr>
                <w:rFonts w:eastAsia="Times New Roman"/>
                <w:szCs w:val="18"/>
              </w:rPr>
              <w:t>trategy</w:t>
            </w:r>
            <w:r w:rsidR="00152F83" w:rsidRPr="00683FF0">
              <w:rPr>
                <w:rFonts w:eastAsia="Times New Roman"/>
                <w:szCs w:val="18"/>
              </w:rPr>
              <w:t xml:space="preserve"> will be </w:t>
            </w:r>
            <w:r w:rsidRPr="00683FF0">
              <w:rPr>
                <w:rFonts w:eastAsia="Times New Roman"/>
                <w:szCs w:val="18"/>
              </w:rPr>
              <w:t>created</w:t>
            </w:r>
            <w:r w:rsidR="00152F83" w:rsidRPr="00683FF0">
              <w:rPr>
                <w:rFonts w:eastAsia="Times New Roman"/>
                <w:szCs w:val="18"/>
              </w:rPr>
              <w:t xml:space="preserve"> with meaningful engagement with Māori rather than in partnership, recognising that ultimate responsibility for delivering a more circular economy </w:t>
            </w:r>
            <w:r w:rsidR="00A11503" w:rsidRPr="00683FF0">
              <w:rPr>
                <w:rFonts w:eastAsia="Times New Roman"/>
                <w:szCs w:val="18"/>
              </w:rPr>
              <w:t xml:space="preserve">rests </w:t>
            </w:r>
            <w:r w:rsidR="00152F83" w:rsidRPr="00683FF0">
              <w:rPr>
                <w:rFonts w:eastAsia="Times New Roman"/>
                <w:szCs w:val="18"/>
              </w:rPr>
              <w:t>with the Crown (</w:t>
            </w:r>
            <w:r w:rsidR="00A2681D" w:rsidRPr="00683FF0">
              <w:rPr>
                <w:rFonts w:eastAsia="Times New Roman"/>
                <w:szCs w:val="18"/>
              </w:rPr>
              <w:t>c</w:t>
            </w:r>
            <w:r w:rsidR="00152F83" w:rsidRPr="00683FF0">
              <w:rPr>
                <w:rFonts w:eastAsia="Times New Roman"/>
                <w:szCs w:val="18"/>
              </w:rPr>
              <w:t xml:space="preserve">hapter </w:t>
            </w:r>
            <w:r w:rsidR="0063344C" w:rsidRPr="00683FF0">
              <w:rPr>
                <w:rFonts w:eastAsia="Times New Roman"/>
                <w:szCs w:val="18"/>
              </w:rPr>
              <w:t>9</w:t>
            </w:r>
            <w:r w:rsidR="00A2681D" w:rsidRPr="00683FF0">
              <w:rPr>
                <w:rFonts w:eastAsia="Times New Roman"/>
                <w:szCs w:val="18"/>
              </w:rPr>
              <w:t>:</w:t>
            </w:r>
            <w:r w:rsidR="00152F83" w:rsidRPr="00683FF0">
              <w:rPr>
                <w:rFonts w:eastAsia="Times New Roman"/>
                <w:szCs w:val="18"/>
              </w:rPr>
              <w:t xml:space="preserve"> </w:t>
            </w:r>
            <w:r w:rsidR="00E64300" w:rsidRPr="00683FF0">
              <w:rPr>
                <w:rFonts w:eastAsia="Times New Roman"/>
                <w:szCs w:val="18"/>
              </w:rPr>
              <w:t>C</w:t>
            </w:r>
            <w:r w:rsidR="00152F83" w:rsidRPr="00683FF0">
              <w:rPr>
                <w:rFonts w:eastAsia="Times New Roman"/>
                <w:szCs w:val="18"/>
              </w:rPr>
              <w:t>ircular economy and bioeconomy</w:t>
            </w:r>
            <w:r w:rsidR="00A2681D" w:rsidRPr="00683FF0">
              <w:rPr>
                <w:rFonts w:eastAsia="Times New Roman"/>
                <w:szCs w:val="18"/>
              </w:rPr>
              <w:t>,</w:t>
            </w:r>
            <w:r w:rsidR="00152F83" w:rsidRPr="00683FF0">
              <w:rPr>
                <w:rFonts w:eastAsia="Times New Roman"/>
                <w:szCs w:val="18"/>
              </w:rPr>
              <w:t xml:space="preserve"> </w:t>
            </w:r>
            <w:r w:rsidR="00A2681D" w:rsidRPr="00683FF0">
              <w:rPr>
                <w:rFonts w:eastAsia="Times New Roman"/>
                <w:szCs w:val="18"/>
              </w:rPr>
              <w:t>a</w:t>
            </w:r>
            <w:r w:rsidR="00152F83" w:rsidRPr="00683FF0">
              <w:rPr>
                <w:rFonts w:eastAsia="Times New Roman"/>
                <w:szCs w:val="18"/>
              </w:rPr>
              <w:t xml:space="preserve">ction </w:t>
            </w:r>
            <w:r w:rsidR="009252E8" w:rsidRPr="00683FF0">
              <w:rPr>
                <w:rFonts w:eastAsia="Times New Roman"/>
                <w:szCs w:val="18"/>
              </w:rPr>
              <w:t>9.</w:t>
            </w:r>
            <w:r w:rsidR="00152F83" w:rsidRPr="00683FF0">
              <w:rPr>
                <w:rFonts w:eastAsia="Times New Roman"/>
                <w:szCs w:val="18"/>
              </w:rPr>
              <w:t>1)</w:t>
            </w:r>
            <w:r w:rsidRPr="00683FF0">
              <w:rPr>
                <w:rFonts w:eastAsia="Times New Roman"/>
                <w:szCs w:val="18"/>
              </w:rPr>
              <w:t>.</w:t>
            </w:r>
          </w:p>
          <w:p w14:paraId="202AC479" w14:textId="1CF22374" w:rsidR="00152F83" w:rsidRPr="00683FF0" w:rsidRDefault="00BE2393" w:rsidP="00F06534">
            <w:pPr>
              <w:pStyle w:val="TableText"/>
              <w:spacing w:before="40" w:after="40" w:line="230" w:lineRule="atLeast"/>
              <w:rPr>
                <w:szCs w:val="18"/>
              </w:rPr>
            </w:pPr>
            <w:r w:rsidRPr="00683FF0">
              <w:rPr>
                <w:rFonts w:eastAsia="Times New Roman"/>
                <w:b/>
                <w:szCs w:val="18"/>
              </w:rPr>
              <w:t xml:space="preserve">The Government agrees with these recommendations. </w:t>
            </w:r>
            <w:r w:rsidR="00152F83" w:rsidRPr="00683FF0">
              <w:rPr>
                <w:rFonts w:eastAsia="Times New Roman"/>
                <w:b/>
                <w:szCs w:val="18"/>
              </w:rPr>
              <w:t xml:space="preserve">14.1a and 1b. </w:t>
            </w:r>
            <w:r w:rsidR="00496921" w:rsidRPr="00683FF0">
              <w:rPr>
                <w:rFonts w:eastAsia="Times New Roman"/>
                <w:szCs w:val="18"/>
              </w:rPr>
              <w:t xml:space="preserve">The </w:t>
            </w:r>
            <w:r w:rsidR="00152F83" w:rsidRPr="00683FF0">
              <w:rPr>
                <w:rFonts w:eastAsia="Times New Roman"/>
                <w:szCs w:val="18"/>
              </w:rPr>
              <w:t xml:space="preserve">development of the </w:t>
            </w:r>
            <w:r w:rsidR="00356FC3" w:rsidRPr="00683FF0">
              <w:rPr>
                <w:rFonts w:eastAsia="Times New Roman"/>
                <w:szCs w:val="18"/>
              </w:rPr>
              <w:t>c</w:t>
            </w:r>
            <w:r w:rsidR="00152F83" w:rsidRPr="00683FF0">
              <w:rPr>
                <w:rFonts w:eastAsia="Times New Roman"/>
                <w:szCs w:val="18"/>
              </w:rPr>
              <w:t xml:space="preserve">ircular </w:t>
            </w:r>
            <w:r w:rsidR="00356FC3" w:rsidRPr="00683FF0">
              <w:rPr>
                <w:rFonts w:eastAsia="Times New Roman"/>
                <w:szCs w:val="18"/>
              </w:rPr>
              <w:t>e</w:t>
            </w:r>
            <w:r w:rsidR="00152F83" w:rsidRPr="00683FF0">
              <w:rPr>
                <w:rFonts w:eastAsia="Times New Roman"/>
                <w:szCs w:val="18"/>
              </w:rPr>
              <w:t xml:space="preserve">conomy </w:t>
            </w:r>
            <w:r w:rsidR="00A57AA2" w:rsidRPr="00683FF0">
              <w:rPr>
                <w:rFonts w:eastAsia="Times New Roman"/>
                <w:szCs w:val="18"/>
              </w:rPr>
              <w:t xml:space="preserve">and </w:t>
            </w:r>
            <w:r w:rsidR="00356FC3" w:rsidRPr="00683FF0">
              <w:rPr>
                <w:rFonts w:eastAsia="Times New Roman"/>
                <w:szCs w:val="18"/>
              </w:rPr>
              <w:t>b</w:t>
            </w:r>
            <w:r w:rsidR="00A57AA2" w:rsidRPr="00683FF0">
              <w:rPr>
                <w:rFonts w:eastAsia="Times New Roman"/>
                <w:szCs w:val="18"/>
              </w:rPr>
              <w:t xml:space="preserve">ioeconomy </w:t>
            </w:r>
            <w:r w:rsidR="00356FC3" w:rsidRPr="00683FF0">
              <w:rPr>
                <w:rFonts w:eastAsia="Times New Roman"/>
                <w:szCs w:val="18"/>
              </w:rPr>
              <w:t>s</w:t>
            </w:r>
            <w:r w:rsidR="00152F83" w:rsidRPr="00683FF0">
              <w:rPr>
                <w:rFonts w:eastAsia="Times New Roman"/>
                <w:szCs w:val="18"/>
              </w:rPr>
              <w:t>trategy</w:t>
            </w:r>
            <w:r w:rsidR="00496921" w:rsidRPr="00683FF0">
              <w:rPr>
                <w:rFonts w:eastAsia="Times New Roman"/>
                <w:szCs w:val="18"/>
              </w:rPr>
              <w:t xml:space="preserve"> will consider how to embed a </w:t>
            </w:r>
            <w:r w:rsidR="00496921" w:rsidRPr="00683FF0">
              <w:rPr>
                <w:szCs w:val="18"/>
              </w:rPr>
              <w:t>mātauranga Māori approach and how to enable Māori</w:t>
            </w:r>
            <w:r w:rsidR="002929B4" w:rsidRPr="00683FF0">
              <w:rPr>
                <w:szCs w:val="18"/>
              </w:rPr>
              <w:t xml:space="preserve"> </w:t>
            </w:r>
            <w:r w:rsidR="00496921" w:rsidRPr="00683FF0">
              <w:rPr>
                <w:szCs w:val="18"/>
              </w:rPr>
              <w:t>collectives to participate in associated business opportunities</w:t>
            </w:r>
            <w:r w:rsidR="0023059F" w:rsidRPr="00683FF0">
              <w:rPr>
                <w:szCs w:val="18"/>
              </w:rPr>
              <w:t xml:space="preserve"> </w:t>
            </w:r>
            <w:r w:rsidR="00152F83" w:rsidRPr="00683FF0">
              <w:rPr>
                <w:rFonts w:eastAsia="Times New Roman"/>
                <w:szCs w:val="18"/>
              </w:rPr>
              <w:t>(</w:t>
            </w:r>
            <w:r w:rsidR="0023059F" w:rsidRPr="00683FF0">
              <w:rPr>
                <w:rFonts w:eastAsia="Times New Roman"/>
                <w:szCs w:val="18"/>
              </w:rPr>
              <w:t>c</w:t>
            </w:r>
            <w:r w:rsidR="00152F83" w:rsidRPr="00683FF0">
              <w:rPr>
                <w:rFonts w:eastAsia="Times New Roman"/>
                <w:szCs w:val="18"/>
              </w:rPr>
              <w:t xml:space="preserve">hapter </w:t>
            </w:r>
            <w:r w:rsidR="00345FB2" w:rsidRPr="00683FF0">
              <w:rPr>
                <w:rFonts w:eastAsia="Times New Roman"/>
                <w:szCs w:val="18"/>
              </w:rPr>
              <w:t>9</w:t>
            </w:r>
            <w:r w:rsidR="0023059F" w:rsidRPr="00683FF0">
              <w:rPr>
                <w:rFonts w:eastAsia="Times New Roman"/>
                <w:szCs w:val="18"/>
              </w:rPr>
              <w:t>:</w:t>
            </w:r>
            <w:r w:rsidR="00152F83" w:rsidRPr="00683FF0">
              <w:rPr>
                <w:rFonts w:eastAsia="Times New Roman"/>
                <w:szCs w:val="18"/>
              </w:rPr>
              <w:t xml:space="preserve"> </w:t>
            </w:r>
            <w:r w:rsidR="00345FB2" w:rsidRPr="00683FF0">
              <w:rPr>
                <w:rFonts w:eastAsia="Times New Roman"/>
                <w:szCs w:val="18"/>
              </w:rPr>
              <w:t>C</w:t>
            </w:r>
            <w:r w:rsidR="00152F83" w:rsidRPr="00683FF0">
              <w:rPr>
                <w:rFonts w:eastAsia="Times New Roman"/>
                <w:szCs w:val="18"/>
              </w:rPr>
              <w:t>ircular economy and bioeconomy</w:t>
            </w:r>
            <w:r w:rsidR="0023059F" w:rsidRPr="00683FF0">
              <w:rPr>
                <w:rFonts w:eastAsia="Times New Roman"/>
                <w:szCs w:val="18"/>
              </w:rPr>
              <w:t>,</w:t>
            </w:r>
            <w:r w:rsidR="00152F83" w:rsidRPr="00683FF0">
              <w:rPr>
                <w:rFonts w:eastAsia="Times New Roman"/>
                <w:szCs w:val="18"/>
              </w:rPr>
              <w:t xml:space="preserve"> </w:t>
            </w:r>
            <w:r w:rsidR="0023059F" w:rsidRPr="00683FF0">
              <w:rPr>
                <w:rFonts w:eastAsia="Times New Roman"/>
                <w:szCs w:val="18"/>
              </w:rPr>
              <w:t>a</w:t>
            </w:r>
            <w:r w:rsidR="00152F83" w:rsidRPr="00683FF0">
              <w:rPr>
                <w:rFonts w:eastAsia="Times New Roman"/>
                <w:szCs w:val="18"/>
              </w:rPr>
              <w:t xml:space="preserve">ctions </w:t>
            </w:r>
            <w:r w:rsidR="009252E8" w:rsidRPr="00683FF0">
              <w:rPr>
                <w:rFonts w:eastAsia="Times New Roman"/>
                <w:szCs w:val="18"/>
              </w:rPr>
              <w:t>9.</w:t>
            </w:r>
            <w:r w:rsidR="00152F83" w:rsidRPr="00683FF0">
              <w:rPr>
                <w:rFonts w:eastAsia="Times New Roman"/>
                <w:szCs w:val="18"/>
              </w:rPr>
              <w:t xml:space="preserve">1.4, </w:t>
            </w:r>
            <w:r w:rsidR="00C02906" w:rsidRPr="00683FF0">
              <w:rPr>
                <w:rFonts w:eastAsia="Times New Roman"/>
                <w:szCs w:val="18"/>
              </w:rPr>
              <w:t>9.</w:t>
            </w:r>
            <w:r w:rsidR="00152F83" w:rsidRPr="00683FF0">
              <w:rPr>
                <w:rFonts w:eastAsia="Times New Roman"/>
                <w:szCs w:val="18"/>
              </w:rPr>
              <w:t>3</w:t>
            </w:r>
            <w:r w:rsidR="00F32E84" w:rsidRPr="00683FF0">
              <w:rPr>
                <w:rFonts w:eastAsia="Times New Roman"/>
                <w:szCs w:val="18"/>
              </w:rPr>
              <w:t>,</w:t>
            </w:r>
            <w:r w:rsidR="00152F83" w:rsidRPr="00683FF0">
              <w:rPr>
                <w:rFonts w:eastAsia="Times New Roman"/>
                <w:szCs w:val="18"/>
              </w:rPr>
              <w:t xml:space="preserve"> </w:t>
            </w:r>
            <w:r w:rsidR="00C02906" w:rsidRPr="00683FF0">
              <w:rPr>
                <w:rFonts w:eastAsia="Times New Roman"/>
                <w:szCs w:val="18"/>
              </w:rPr>
              <w:t>9.</w:t>
            </w:r>
            <w:r w:rsidR="00152F83" w:rsidRPr="00683FF0">
              <w:rPr>
                <w:rFonts w:eastAsia="Times New Roman"/>
                <w:szCs w:val="18"/>
              </w:rPr>
              <w:t>4</w:t>
            </w:r>
            <w:r w:rsidR="0023059F" w:rsidRPr="00683FF0">
              <w:rPr>
                <w:rFonts w:eastAsia="Times New Roman"/>
                <w:szCs w:val="18"/>
              </w:rPr>
              <w:t>,</w:t>
            </w:r>
            <w:r w:rsidR="00152F83" w:rsidRPr="00683FF0">
              <w:rPr>
                <w:rFonts w:eastAsia="Times New Roman"/>
                <w:szCs w:val="18"/>
              </w:rPr>
              <w:t xml:space="preserve"> </w:t>
            </w:r>
            <w:r w:rsidR="00622914" w:rsidRPr="00683FF0">
              <w:rPr>
                <w:rFonts w:eastAsia="Times New Roman"/>
                <w:szCs w:val="18"/>
              </w:rPr>
              <w:t>9.</w:t>
            </w:r>
            <w:r w:rsidR="00152F83" w:rsidRPr="00683FF0">
              <w:rPr>
                <w:rFonts w:eastAsia="Times New Roman"/>
                <w:szCs w:val="18"/>
              </w:rPr>
              <w:t>5)</w:t>
            </w:r>
            <w:r w:rsidR="00077857" w:rsidRPr="00683FF0">
              <w:rPr>
                <w:rFonts w:eastAsia="Times New Roman"/>
                <w:szCs w:val="18"/>
              </w:rPr>
              <w:t>.</w:t>
            </w:r>
          </w:p>
        </w:tc>
      </w:tr>
      <w:tr w:rsidR="00152F83" w:rsidRPr="00683FF0" w14:paraId="26552796" w14:textId="77777777" w:rsidTr="00F06534">
        <w:tc>
          <w:tcPr>
            <w:tcW w:w="4508" w:type="dxa"/>
            <w:shd w:val="clear" w:color="auto" w:fill="FFFFFF" w:themeFill="background1"/>
          </w:tcPr>
          <w:p w14:paraId="31D74F92" w14:textId="113067E6" w:rsidR="00152F83" w:rsidRPr="00683FF0" w:rsidRDefault="00152F83" w:rsidP="00F06534">
            <w:pPr>
              <w:spacing w:before="40" w:after="40" w:line="230" w:lineRule="atLeast"/>
              <w:rPr>
                <w:sz w:val="18"/>
                <w:szCs w:val="18"/>
              </w:rPr>
            </w:pPr>
            <w:r w:rsidRPr="00683FF0">
              <w:rPr>
                <w:sz w:val="18"/>
                <w:szCs w:val="18"/>
              </w:rPr>
              <w:t>14.2. Prioritising and investing in data collection to support measurable indicators to enable monitoring of progress towards circularity and the impact on emissions.</w:t>
            </w:r>
          </w:p>
        </w:tc>
        <w:tc>
          <w:tcPr>
            <w:tcW w:w="4508" w:type="dxa"/>
            <w:shd w:val="clear" w:color="auto" w:fill="FFFFFF" w:themeFill="background1"/>
          </w:tcPr>
          <w:p w14:paraId="2C146AE2" w14:textId="1FC3C0D3" w:rsidR="00152F83" w:rsidRPr="00683FF0" w:rsidRDefault="00496921" w:rsidP="00F06534">
            <w:pPr>
              <w:pStyle w:val="TableText"/>
              <w:spacing w:before="40" w:after="40" w:line="230" w:lineRule="atLeast"/>
              <w:rPr>
                <w:rFonts w:eastAsia="Times New Roman" w:cstheme="minorHAnsi"/>
                <w:szCs w:val="18"/>
              </w:rPr>
            </w:pPr>
            <w:r w:rsidRPr="00683FF0">
              <w:rPr>
                <w:rFonts w:eastAsia="Times New Roman" w:cstheme="minorHAnsi"/>
                <w:b/>
                <w:bCs/>
                <w:szCs w:val="18"/>
              </w:rPr>
              <w:t xml:space="preserve">14.2. </w:t>
            </w:r>
            <w:r w:rsidR="00BE2393" w:rsidRPr="00683FF0">
              <w:rPr>
                <w:rFonts w:eastAsia="Times New Roman" w:cstheme="minorHAnsi"/>
                <w:b/>
                <w:bCs/>
                <w:szCs w:val="18"/>
              </w:rPr>
              <w:t>The Government agrees with this recommendation.</w:t>
            </w:r>
            <w:r w:rsidR="00BE2393" w:rsidRPr="00683FF0">
              <w:rPr>
                <w:rFonts w:eastAsia="Times New Roman" w:cstheme="minorHAnsi"/>
                <w:szCs w:val="18"/>
              </w:rPr>
              <w:t xml:space="preserve"> </w:t>
            </w:r>
            <w:r w:rsidRPr="00683FF0">
              <w:rPr>
                <w:rFonts w:eastAsia="Times New Roman" w:cstheme="minorHAnsi"/>
                <w:szCs w:val="18"/>
              </w:rPr>
              <w:t>The development of the circular economy</w:t>
            </w:r>
            <w:r w:rsidR="00152F83" w:rsidRPr="00683FF0">
              <w:rPr>
                <w:rFonts w:eastAsia="Times New Roman" w:cstheme="minorHAnsi"/>
                <w:szCs w:val="18"/>
              </w:rPr>
              <w:t xml:space="preserve"> strategy will include crafting resource flow maps, establishing a baseline and developing metrics to effectively track the transition to circular economy with a thriving bioeconomy, to ensure it achieves </w:t>
            </w:r>
            <w:r w:rsidRPr="00683FF0">
              <w:rPr>
                <w:rFonts w:eastAsia="Times New Roman" w:cstheme="minorHAnsi"/>
                <w:szCs w:val="18"/>
              </w:rPr>
              <w:t>the Government</w:t>
            </w:r>
            <w:r w:rsidR="00865AA3" w:rsidRPr="00683FF0">
              <w:rPr>
                <w:rFonts w:eastAsia="Times New Roman" w:cstheme="minorHAnsi"/>
                <w:szCs w:val="18"/>
              </w:rPr>
              <w:t>’</w:t>
            </w:r>
            <w:r w:rsidRPr="00683FF0">
              <w:rPr>
                <w:rFonts w:eastAsia="Times New Roman" w:cstheme="minorHAnsi"/>
                <w:szCs w:val="18"/>
              </w:rPr>
              <w:t>s</w:t>
            </w:r>
            <w:r w:rsidR="00152F83" w:rsidRPr="00683FF0">
              <w:rPr>
                <w:rFonts w:eastAsia="Times New Roman" w:cstheme="minorHAnsi"/>
                <w:szCs w:val="18"/>
              </w:rPr>
              <w:t xml:space="preserve"> objectives on regenerative natural systems and lifting wellbeing (</w:t>
            </w:r>
            <w:r w:rsidR="00865AA3" w:rsidRPr="00683FF0">
              <w:rPr>
                <w:rFonts w:eastAsia="Times New Roman" w:cstheme="minorHAnsi"/>
                <w:szCs w:val="18"/>
              </w:rPr>
              <w:t>c</w:t>
            </w:r>
            <w:r w:rsidR="00152F83" w:rsidRPr="00683FF0">
              <w:rPr>
                <w:rFonts w:eastAsia="Times New Roman" w:cstheme="minorHAnsi"/>
                <w:szCs w:val="18"/>
              </w:rPr>
              <w:t xml:space="preserve">hapter </w:t>
            </w:r>
            <w:r w:rsidR="00345FB2" w:rsidRPr="00683FF0">
              <w:rPr>
                <w:rFonts w:eastAsia="Times New Roman" w:cstheme="minorHAnsi"/>
                <w:szCs w:val="18"/>
              </w:rPr>
              <w:t>9</w:t>
            </w:r>
            <w:r w:rsidR="00865AA3" w:rsidRPr="00683FF0">
              <w:rPr>
                <w:rFonts w:eastAsia="Times New Roman" w:cstheme="minorHAnsi"/>
                <w:szCs w:val="18"/>
              </w:rPr>
              <w:t>:</w:t>
            </w:r>
            <w:r w:rsidR="00152F83" w:rsidRPr="00683FF0">
              <w:rPr>
                <w:rFonts w:eastAsia="Times New Roman" w:cstheme="minorHAnsi"/>
                <w:szCs w:val="18"/>
              </w:rPr>
              <w:t xml:space="preserve"> </w:t>
            </w:r>
            <w:r w:rsidR="00345FB2" w:rsidRPr="00683FF0">
              <w:rPr>
                <w:rFonts w:eastAsia="Times New Roman" w:cstheme="minorHAnsi"/>
                <w:szCs w:val="18"/>
              </w:rPr>
              <w:t>C</w:t>
            </w:r>
            <w:r w:rsidR="00152F83" w:rsidRPr="00683FF0">
              <w:rPr>
                <w:rFonts w:eastAsia="Times New Roman" w:cstheme="minorHAnsi"/>
                <w:szCs w:val="18"/>
              </w:rPr>
              <w:t>ircular economy and bioeconomy</w:t>
            </w:r>
            <w:r w:rsidR="00865AA3" w:rsidRPr="00683FF0">
              <w:rPr>
                <w:rFonts w:eastAsia="Times New Roman" w:cstheme="minorHAnsi"/>
                <w:szCs w:val="18"/>
              </w:rPr>
              <w:t>,</w:t>
            </w:r>
            <w:r w:rsidR="00152F83" w:rsidRPr="00683FF0">
              <w:rPr>
                <w:rFonts w:eastAsia="Times New Roman" w:cstheme="minorHAnsi"/>
                <w:szCs w:val="18"/>
              </w:rPr>
              <w:t xml:space="preserve"> </w:t>
            </w:r>
            <w:r w:rsidR="00865AA3" w:rsidRPr="00683FF0">
              <w:rPr>
                <w:rFonts w:eastAsia="Times New Roman" w:cstheme="minorHAnsi"/>
                <w:szCs w:val="18"/>
              </w:rPr>
              <w:t>a</w:t>
            </w:r>
            <w:r w:rsidR="00152F83" w:rsidRPr="00683FF0">
              <w:rPr>
                <w:rFonts w:eastAsia="Times New Roman" w:cstheme="minorHAnsi"/>
                <w:szCs w:val="18"/>
              </w:rPr>
              <w:t xml:space="preserve">ction </w:t>
            </w:r>
            <w:r w:rsidR="00622914" w:rsidRPr="00683FF0">
              <w:rPr>
                <w:rFonts w:eastAsia="Times New Roman" w:cstheme="minorHAnsi"/>
                <w:szCs w:val="18"/>
              </w:rPr>
              <w:t>9.</w:t>
            </w:r>
            <w:r w:rsidR="00140F63" w:rsidRPr="00683FF0">
              <w:rPr>
                <w:rFonts w:eastAsia="Times New Roman" w:cstheme="minorHAnsi"/>
                <w:szCs w:val="18"/>
              </w:rPr>
              <w:t>1</w:t>
            </w:r>
            <w:r w:rsidR="00152F83" w:rsidRPr="00683FF0">
              <w:rPr>
                <w:rFonts w:eastAsia="Times New Roman" w:cstheme="minorHAnsi"/>
                <w:szCs w:val="18"/>
              </w:rPr>
              <w:t>)</w:t>
            </w:r>
            <w:r w:rsidR="00865AA3" w:rsidRPr="00683FF0">
              <w:rPr>
                <w:rFonts w:eastAsia="Times New Roman" w:cstheme="minorHAnsi"/>
                <w:szCs w:val="18"/>
              </w:rPr>
              <w:t>.</w:t>
            </w:r>
          </w:p>
        </w:tc>
      </w:tr>
      <w:tr w:rsidR="00152F83" w:rsidRPr="00683FF0" w14:paraId="04929AF1" w14:textId="77777777" w:rsidTr="00F06534">
        <w:tc>
          <w:tcPr>
            <w:tcW w:w="4508" w:type="dxa"/>
            <w:shd w:val="clear" w:color="auto" w:fill="FFFFFF" w:themeFill="background1"/>
          </w:tcPr>
          <w:p w14:paraId="2CEA760D" w14:textId="55B38384" w:rsidR="00152F83" w:rsidRPr="00683FF0" w:rsidRDefault="00152F83" w:rsidP="00F06534">
            <w:pPr>
              <w:spacing w:before="40" w:after="40" w:line="230" w:lineRule="atLeast"/>
              <w:rPr>
                <w:sz w:val="18"/>
                <w:szCs w:val="18"/>
              </w:rPr>
            </w:pPr>
            <w:r w:rsidRPr="00683FF0">
              <w:rPr>
                <w:sz w:val="18"/>
                <w:szCs w:val="18"/>
              </w:rPr>
              <w:t>14.3. Providing a clear governance structure, including tasking a minister and lead agency to assess and implement actions for a more circular economy.</w:t>
            </w:r>
          </w:p>
        </w:tc>
        <w:tc>
          <w:tcPr>
            <w:tcW w:w="4508" w:type="dxa"/>
            <w:shd w:val="clear" w:color="auto" w:fill="FFFFFF" w:themeFill="background1"/>
          </w:tcPr>
          <w:p w14:paraId="39BF8D0A" w14:textId="43EA2315" w:rsidR="00140F63" w:rsidRPr="00683FF0" w:rsidRDefault="00496921" w:rsidP="00F06534">
            <w:pPr>
              <w:pStyle w:val="TableText"/>
              <w:spacing w:before="40" w:after="40" w:line="230" w:lineRule="atLeast"/>
              <w:rPr>
                <w:szCs w:val="18"/>
              </w:rPr>
            </w:pPr>
            <w:r w:rsidRPr="00683FF0">
              <w:rPr>
                <w:rFonts w:eastAsia="Times New Roman" w:cstheme="minorHAnsi"/>
                <w:b/>
                <w:bCs/>
                <w:szCs w:val="18"/>
              </w:rPr>
              <w:t xml:space="preserve">14.3. </w:t>
            </w:r>
            <w:r w:rsidR="00BE2393" w:rsidRPr="00683FF0">
              <w:rPr>
                <w:rFonts w:eastAsia="Times New Roman" w:cstheme="minorHAnsi"/>
                <w:b/>
                <w:bCs/>
                <w:szCs w:val="18"/>
              </w:rPr>
              <w:t>The Government agrees with this recommendation.</w:t>
            </w:r>
            <w:r w:rsidR="00865AA3" w:rsidRPr="00683FF0">
              <w:rPr>
                <w:rFonts w:eastAsia="Times New Roman"/>
                <w:szCs w:val="18"/>
              </w:rPr>
              <w:t xml:space="preserve"> </w:t>
            </w:r>
            <w:r w:rsidR="00654D0F" w:rsidRPr="00683FF0">
              <w:rPr>
                <w:rFonts w:eastAsia="Times New Roman"/>
                <w:szCs w:val="18"/>
              </w:rPr>
              <w:t xml:space="preserve">The circular economy </w:t>
            </w:r>
            <w:r w:rsidR="00A57AA2" w:rsidRPr="00683FF0">
              <w:rPr>
                <w:rFonts w:eastAsia="Times New Roman"/>
                <w:szCs w:val="18"/>
              </w:rPr>
              <w:t xml:space="preserve">and </w:t>
            </w:r>
            <w:r w:rsidR="00C06652" w:rsidRPr="00683FF0">
              <w:rPr>
                <w:rFonts w:eastAsia="Times New Roman"/>
                <w:szCs w:val="18"/>
              </w:rPr>
              <w:t>b</w:t>
            </w:r>
            <w:r w:rsidR="00A57AA2" w:rsidRPr="00683FF0">
              <w:rPr>
                <w:rFonts w:eastAsia="Times New Roman"/>
                <w:szCs w:val="18"/>
              </w:rPr>
              <w:t xml:space="preserve">ioeconomy </w:t>
            </w:r>
            <w:r w:rsidR="00654D0F" w:rsidRPr="00683FF0">
              <w:rPr>
                <w:rFonts w:eastAsia="Times New Roman"/>
                <w:szCs w:val="18"/>
              </w:rPr>
              <w:t>strategy will clearly outline</w:t>
            </w:r>
            <w:r w:rsidR="00140F63" w:rsidRPr="00683FF0">
              <w:rPr>
                <w:rFonts w:eastAsia="Times New Roman"/>
                <w:szCs w:val="18"/>
              </w:rPr>
              <w:t xml:space="preserve"> governance structures and Ministerial accountabilities (</w:t>
            </w:r>
            <w:r w:rsidR="00865AA3" w:rsidRPr="00683FF0">
              <w:rPr>
                <w:rFonts w:eastAsia="Times New Roman"/>
                <w:szCs w:val="18"/>
              </w:rPr>
              <w:t>c</w:t>
            </w:r>
            <w:r w:rsidR="00140F63" w:rsidRPr="00683FF0">
              <w:rPr>
                <w:rFonts w:eastAsia="Times New Roman"/>
                <w:szCs w:val="18"/>
              </w:rPr>
              <w:t xml:space="preserve">hapter </w:t>
            </w:r>
            <w:r w:rsidR="004D131A" w:rsidRPr="00683FF0">
              <w:rPr>
                <w:rFonts w:eastAsia="Times New Roman"/>
                <w:szCs w:val="18"/>
              </w:rPr>
              <w:t>9</w:t>
            </w:r>
            <w:r w:rsidR="00865AA3" w:rsidRPr="00683FF0">
              <w:rPr>
                <w:rFonts w:eastAsia="Times New Roman"/>
                <w:szCs w:val="18"/>
              </w:rPr>
              <w:t>:</w:t>
            </w:r>
            <w:r w:rsidR="00140F63" w:rsidRPr="00683FF0">
              <w:rPr>
                <w:rFonts w:eastAsia="Times New Roman"/>
                <w:szCs w:val="18"/>
              </w:rPr>
              <w:t xml:space="preserve"> </w:t>
            </w:r>
            <w:r w:rsidR="004D131A" w:rsidRPr="00683FF0">
              <w:rPr>
                <w:rFonts w:eastAsia="Times New Roman"/>
                <w:szCs w:val="18"/>
              </w:rPr>
              <w:t>C</w:t>
            </w:r>
            <w:r w:rsidR="00140F63" w:rsidRPr="00683FF0">
              <w:rPr>
                <w:rFonts w:eastAsia="Times New Roman"/>
                <w:szCs w:val="18"/>
              </w:rPr>
              <w:t>ircular economy and bioeconomy</w:t>
            </w:r>
            <w:r w:rsidR="00865AA3" w:rsidRPr="00683FF0">
              <w:rPr>
                <w:rFonts w:eastAsia="Times New Roman"/>
                <w:szCs w:val="18"/>
              </w:rPr>
              <w:t>,</w:t>
            </w:r>
            <w:r w:rsidR="00140F63" w:rsidRPr="00683FF0">
              <w:rPr>
                <w:rFonts w:eastAsia="Times New Roman"/>
                <w:szCs w:val="18"/>
              </w:rPr>
              <w:t xml:space="preserve"> </w:t>
            </w:r>
            <w:r w:rsidR="00865AA3" w:rsidRPr="00683FF0">
              <w:rPr>
                <w:rFonts w:eastAsia="Times New Roman"/>
                <w:szCs w:val="18"/>
              </w:rPr>
              <w:t>a</w:t>
            </w:r>
            <w:r w:rsidR="00140F63" w:rsidRPr="00683FF0">
              <w:rPr>
                <w:rFonts w:eastAsia="Times New Roman"/>
                <w:szCs w:val="18"/>
              </w:rPr>
              <w:t xml:space="preserve">ction </w:t>
            </w:r>
            <w:r w:rsidR="00622914" w:rsidRPr="00683FF0">
              <w:rPr>
                <w:rFonts w:eastAsia="Times New Roman"/>
                <w:szCs w:val="18"/>
              </w:rPr>
              <w:t>9.</w:t>
            </w:r>
            <w:r w:rsidR="00140F63" w:rsidRPr="00683FF0">
              <w:rPr>
                <w:rFonts w:eastAsia="Times New Roman"/>
                <w:szCs w:val="18"/>
              </w:rPr>
              <w:t>1).</w:t>
            </w:r>
          </w:p>
        </w:tc>
      </w:tr>
      <w:tr w:rsidR="00152F83" w:rsidRPr="00683FF0" w14:paraId="7902D352" w14:textId="77777777" w:rsidTr="00F06534">
        <w:tc>
          <w:tcPr>
            <w:tcW w:w="4508" w:type="dxa"/>
            <w:shd w:val="clear" w:color="auto" w:fill="FFFFFF" w:themeFill="background1"/>
          </w:tcPr>
          <w:p w14:paraId="49E306E0" w14:textId="73C5E888" w:rsidR="00152F83" w:rsidRPr="00683FF0" w:rsidRDefault="00152F83" w:rsidP="00F06534">
            <w:pPr>
              <w:spacing w:before="40" w:after="40" w:line="230" w:lineRule="atLeast"/>
              <w:rPr>
                <w:sz w:val="18"/>
                <w:szCs w:val="18"/>
              </w:rPr>
            </w:pPr>
            <w:r w:rsidRPr="00683FF0">
              <w:rPr>
                <w:sz w:val="18"/>
                <w:szCs w:val="18"/>
              </w:rPr>
              <w:t>14.4. Setting up a mechanism that enables active collaboration with Iwi/Māori, local government and industry.</w:t>
            </w:r>
          </w:p>
        </w:tc>
        <w:tc>
          <w:tcPr>
            <w:tcW w:w="4508" w:type="dxa"/>
            <w:shd w:val="clear" w:color="auto" w:fill="FFFFFF" w:themeFill="background1"/>
          </w:tcPr>
          <w:p w14:paraId="13FD8C82" w14:textId="39D1BC06" w:rsidR="00140F63" w:rsidRPr="00683FF0" w:rsidRDefault="00654D0F" w:rsidP="00F06534">
            <w:pPr>
              <w:pStyle w:val="TableText"/>
              <w:spacing w:before="40" w:after="0" w:line="230" w:lineRule="atLeast"/>
              <w:rPr>
                <w:rFonts w:eastAsia="Times New Roman"/>
                <w:szCs w:val="18"/>
              </w:rPr>
            </w:pPr>
            <w:r w:rsidRPr="00683FF0">
              <w:rPr>
                <w:rFonts w:eastAsia="Times New Roman"/>
                <w:b/>
                <w:szCs w:val="18"/>
              </w:rPr>
              <w:t xml:space="preserve">14.4. </w:t>
            </w:r>
            <w:r w:rsidR="00BE2393" w:rsidRPr="00683FF0">
              <w:rPr>
                <w:rFonts w:eastAsia="Times New Roman"/>
                <w:b/>
                <w:szCs w:val="18"/>
              </w:rPr>
              <w:t>The Government agrees with this recommendation.</w:t>
            </w:r>
            <w:r w:rsidR="00BE2393" w:rsidRPr="00683FF0">
              <w:rPr>
                <w:rFonts w:eastAsia="Times New Roman"/>
                <w:szCs w:val="18"/>
              </w:rPr>
              <w:t xml:space="preserve"> </w:t>
            </w:r>
          </w:p>
          <w:p w14:paraId="258BA342" w14:textId="5F617CD5" w:rsidR="00140F63" w:rsidRPr="00683FF0" w:rsidRDefault="7DAD7FCA" w:rsidP="00F06534">
            <w:pPr>
              <w:pStyle w:val="TableText"/>
              <w:spacing w:before="40" w:after="40" w:line="230" w:lineRule="atLeast"/>
              <w:rPr>
                <w:szCs w:val="18"/>
              </w:rPr>
            </w:pPr>
            <w:r w:rsidRPr="00683FF0">
              <w:rPr>
                <w:rFonts w:eastAsia="Times New Roman"/>
                <w:szCs w:val="18"/>
              </w:rPr>
              <w:t>Developing the circular economy and bioeconomy strategy will include meaningful engagement</w:t>
            </w:r>
            <w:r w:rsidR="7D7FEAD0" w:rsidRPr="00683FF0">
              <w:rPr>
                <w:rFonts w:eastAsia="Times New Roman"/>
                <w:szCs w:val="18"/>
              </w:rPr>
              <w:t xml:space="preserve">, and the Government will set up a mechanism to enable active collaboration with key stakeholders, including </w:t>
            </w:r>
            <w:r w:rsidR="339C634B" w:rsidRPr="00683FF0">
              <w:rPr>
                <w:rFonts w:eastAsia="Times New Roman"/>
                <w:szCs w:val="18"/>
              </w:rPr>
              <w:t>M</w:t>
            </w:r>
            <w:r w:rsidR="00152F83" w:rsidRPr="00683FF0">
              <w:rPr>
                <w:szCs w:val="18"/>
              </w:rPr>
              <w:t>ā</w:t>
            </w:r>
            <w:r w:rsidR="339C634B" w:rsidRPr="00683FF0">
              <w:rPr>
                <w:rFonts w:eastAsia="Times New Roman"/>
                <w:szCs w:val="18"/>
              </w:rPr>
              <w:t>ori</w:t>
            </w:r>
            <w:r w:rsidR="7D7FEAD0" w:rsidRPr="00683FF0">
              <w:rPr>
                <w:rFonts w:eastAsia="Times New Roman"/>
                <w:szCs w:val="18"/>
              </w:rPr>
              <w:t xml:space="preserve">, local </w:t>
            </w:r>
            <w:r w:rsidR="47D533F6" w:rsidRPr="00683FF0">
              <w:rPr>
                <w:rFonts w:eastAsia="Times New Roman"/>
                <w:szCs w:val="18"/>
              </w:rPr>
              <w:t>government, and industry</w:t>
            </w:r>
            <w:r w:rsidR="7D7FEAD0" w:rsidRPr="00683FF0">
              <w:rPr>
                <w:rFonts w:eastAsia="Times New Roman"/>
                <w:szCs w:val="18"/>
              </w:rPr>
              <w:t xml:space="preserve"> </w:t>
            </w:r>
            <w:r w:rsidR="51FE700D" w:rsidRPr="00683FF0">
              <w:rPr>
                <w:rFonts w:eastAsia="Times New Roman"/>
                <w:szCs w:val="18"/>
              </w:rPr>
              <w:t>(</w:t>
            </w:r>
            <w:r w:rsidR="2EBAF222" w:rsidRPr="00683FF0">
              <w:rPr>
                <w:rFonts w:eastAsia="Times New Roman"/>
                <w:szCs w:val="18"/>
              </w:rPr>
              <w:t>c</w:t>
            </w:r>
            <w:r w:rsidR="51FE700D" w:rsidRPr="00683FF0">
              <w:rPr>
                <w:rFonts w:eastAsia="Times New Roman"/>
                <w:szCs w:val="18"/>
              </w:rPr>
              <w:t>hapter</w:t>
            </w:r>
            <w:r w:rsidR="4DD9A3D3" w:rsidRPr="00683FF0">
              <w:rPr>
                <w:rFonts w:eastAsia="Times New Roman"/>
                <w:szCs w:val="18"/>
              </w:rPr>
              <w:t> </w:t>
            </w:r>
            <w:r w:rsidR="68810F38" w:rsidRPr="00683FF0">
              <w:rPr>
                <w:rFonts w:eastAsia="Times New Roman"/>
                <w:szCs w:val="18"/>
              </w:rPr>
              <w:t>9</w:t>
            </w:r>
            <w:r w:rsidR="2EBAF222" w:rsidRPr="00683FF0">
              <w:rPr>
                <w:rFonts w:eastAsia="Times New Roman"/>
                <w:szCs w:val="18"/>
              </w:rPr>
              <w:t>:</w:t>
            </w:r>
            <w:r w:rsidR="51FE700D" w:rsidRPr="00683FF0">
              <w:rPr>
                <w:rFonts w:eastAsia="Times New Roman"/>
                <w:szCs w:val="18"/>
              </w:rPr>
              <w:t xml:space="preserve"> </w:t>
            </w:r>
            <w:r w:rsidR="68810F38" w:rsidRPr="00683FF0">
              <w:rPr>
                <w:rFonts w:eastAsia="Times New Roman"/>
                <w:szCs w:val="18"/>
              </w:rPr>
              <w:t>C</w:t>
            </w:r>
            <w:r w:rsidR="51FE700D" w:rsidRPr="00683FF0">
              <w:rPr>
                <w:rFonts w:eastAsia="Times New Roman"/>
                <w:szCs w:val="18"/>
              </w:rPr>
              <w:t>ircular economy and bioeconomy</w:t>
            </w:r>
            <w:r w:rsidR="2EBAF222" w:rsidRPr="00683FF0">
              <w:rPr>
                <w:rFonts w:eastAsia="Times New Roman"/>
                <w:szCs w:val="18"/>
              </w:rPr>
              <w:t>,</w:t>
            </w:r>
            <w:r w:rsidR="51FE700D" w:rsidRPr="00683FF0">
              <w:rPr>
                <w:rFonts w:eastAsia="Times New Roman"/>
                <w:szCs w:val="18"/>
              </w:rPr>
              <w:t xml:space="preserve"> </w:t>
            </w:r>
            <w:r w:rsidR="2EBAF222" w:rsidRPr="00683FF0">
              <w:rPr>
                <w:rFonts w:eastAsia="Times New Roman"/>
                <w:szCs w:val="18"/>
              </w:rPr>
              <w:t>a</w:t>
            </w:r>
            <w:r w:rsidR="51FE700D" w:rsidRPr="00683FF0">
              <w:rPr>
                <w:rFonts w:eastAsia="Times New Roman"/>
                <w:szCs w:val="18"/>
              </w:rPr>
              <w:t xml:space="preserve">ctions </w:t>
            </w:r>
            <w:r w:rsidR="331465BD" w:rsidRPr="00683FF0">
              <w:rPr>
                <w:rFonts w:eastAsia="Times New Roman"/>
                <w:szCs w:val="18"/>
              </w:rPr>
              <w:t>9.</w:t>
            </w:r>
            <w:r w:rsidR="51FE700D" w:rsidRPr="00683FF0">
              <w:rPr>
                <w:rFonts w:eastAsia="Times New Roman"/>
                <w:szCs w:val="18"/>
              </w:rPr>
              <w:t>1.4</w:t>
            </w:r>
            <w:r w:rsidR="2EBAF222" w:rsidRPr="00683FF0">
              <w:rPr>
                <w:rFonts w:eastAsia="Times New Roman"/>
                <w:szCs w:val="18"/>
              </w:rPr>
              <w:t>,</w:t>
            </w:r>
            <w:r w:rsidR="51FE700D" w:rsidRPr="00683FF0">
              <w:rPr>
                <w:rFonts w:eastAsia="Times New Roman"/>
                <w:szCs w:val="18"/>
              </w:rPr>
              <w:t xml:space="preserve"> </w:t>
            </w:r>
            <w:r w:rsidR="331465BD" w:rsidRPr="00683FF0">
              <w:rPr>
                <w:rFonts w:eastAsia="Times New Roman"/>
                <w:szCs w:val="18"/>
              </w:rPr>
              <w:t>9.</w:t>
            </w:r>
            <w:r w:rsidR="51FE700D" w:rsidRPr="00683FF0">
              <w:rPr>
                <w:rFonts w:eastAsia="Times New Roman"/>
                <w:szCs w:val="18"/>
              </w:rPr>
              <w:t>5)</w:t>
            </w:r>
            <w:r w:rsidR="40FCE7A6" w:rsidRPr="00683FF0">
              <w:rPr>
                <w:rFonts w:eastAsia="Times New Roman"/>
                <w:szCs w:val="18"/>
              </w:rPr>
              <w:t>.</w:t>
            </w:r>
            <w:r w:rsidRPr="00683FF0">
              <w:rPr>
                <w:rFonts w:eastAsia="Times New Roman"/>
                <w:szCs w:val="18"/>
              </w:rPr>
              <w:t xml:space="preserve"> For example, this could include using the platform Government will establish </w:t>
            </w:r>
            <w:r w:rsidR="488249D3" w:rsidRPr="00683FF0">
              <w:rPr>
                <w:rFonts w:eastAsia="Times New Roman"/>
                <w:szCs w:val="18"/>
              </w:rPr>
              <w:t>for Māori climate action to sit alongside the Government</w:t>
            </w:r>
            <w:r w:rsidR="5BC01F20" w:rsidRPr="00683FF0">
              <w:rPr>
                <w:rFonts w:eastAsia="Times New Roman"/>
                <w:szCs w:val="18"/>
              </w:rPr>
              <w:t>’</w:t>
            </w:r>
            <w:r w:rsidR="488249D3" w:rsidRPr="00683FF0">
              <w:rPr>
                <w:rFonts w:eastAsia="Times New Roman"/>
                <w:szCs w:val="18"/>
              </w:rPr>
              <w:t>s climate policy response (</w:t>
            </w:r>
            <w:r w:rsidR="243D1106" w:rsidRPr="00683FF0">
              <w:rPr>
                <w:rFonts w:eastAsia="Times New Roman"/>
                <w:szCs w:val="18"/>
              </w:rPr>
              <w:t>c</w:t>
            </w:r>
            <w:r w:rsidR="488249D3" w:rsidRPr="00683FF0">
              <w:rPr>
                <w:rFonts w:eastAsia="Times New Roman"/>
                <w:szCs w:val="18"/>
              </w:rPr>
              <w:t>hapter 2</w:t>
            </w:r>
            <w:r w:rsidR="243D1106" w:rsidRPr="00683FF0">
              <w:rPr>
                <w:rFonts w:eastAsia="Times New Roman"/>
                <w:szCs w:val="18"/>
              </w:rPr>
              <w:t>:</w:t>
            </w:r>
            <w:r w:rsidR="488249D3" w:rsidRPr="00683FF0">
              <w:rPr>
                <w:rFonts w:eastAsia="Times New Roman"/>
                <w:szCs w:val="18"/>
              </w:rPr>
              <w:t xml:space="preserve"> Empowering Māori</w:t>
            </w:r>
            <w:r w:rsidR="243D1106" w:rsidRPr="00683FF0">
              <w:rPr>
                <w:rFonts w:eastAsia="Times New Roman"/>
                <w:szCs w:val="18"/>
              </w:rPr>
              <w:t>,</w:t>
            </w:r>
            <w:r w:rsidR="488249D3" w:rsidRPr="00683FF0">
              <w:rPr>
                <w:rFonts w:eastAsia="Times New Roman"/>
                <w:szCs w:val="18"/>
              </w:rPr>
              <w:t xml:space="preserve"> actions </w:t>
            </w:r>
            <w:r w:rsidR="1D704CC1" w:rsidRPr="00683FF0">
              <w:rPr>
                <w:rFonts w:eastAsia="Times New Roman"/>
                <w:szCs w:val="18"/>
              </w:rPr>
              <w:t>2.</w:t>
            </w:r>
            <w:r w:rsidR="488249D3" w:rsidRPr="00683FF0">
              <w:rPr>
                <w:rFonts w:eastAsia="Times New Roman"/>
                <w:szCs w:val="18"/>
              </w:rPr>
              <w:t>1</w:t>
            </w:r>
            <w:r w:rsidR="243D1106" w:rsidRPr="00683FF0">
              <w:rPr>
                <w:rFonts w:eastAsia="Times New Roman"/>
                <w:szCs w:val="18"/>
              </w:rPr>
              <w:t>,</w:t>
            </w:r>
            <w:r w:rsidR="488249D3" w:rsidRPr="00683FF0">
              <w:rPr>
                <w:rFonts w:eastAsia="Times New Roman"/>
                <w:szCs w:val="18"/>
              </w:rPr>
              <w:t xml:space="preserve"> </w:t>
            </w:r>
            <w:r w:rsidR="1D704CC1" w:rsidRPr="00683FF0">
              <w:rPr>
                <w:rFonts w:eastAsia="Times New Roman"/>
                <w:szCs w:val="18"/>
              </w:rPr>
              <w:t>2.</w:t>
            </w:r>
            <w:r w:rsidR="488249D3" w:rsidRPr="00683FF0">
              <w:rPr>
                <w:rFonts w:eastAsia="Times New Roman"/>
                <w:szCs w:val="18"/>
              </w:rPr>
              <w:t>2)</w:t>
            </w:r>
            <w:r w:rsidRPr="00683FF0">
              <w:rPr>
                <w:rFonts w:eastAsia="Times New Roman"/>
                <w:szCs w:val="18"/>
              </w:rPr>
              <w:t xml:space="preserve"> </w:t>
            </w:r>
          </w:p>
        </w:tc>
      </w:tr>
      <w:tr w:rsidR="00654D0F" w:rsidRPr="00683FF0" w14:paraId="6B50AAC4" w14:textId="77777777" w:rsidTr="00F06534">
        <w:tc>
          <w:tcPr>
            <w:tcW w:w="4508" w:type="dxa"/>
            <w:shd w:val="clear" w:color="auto" w:fill="FFFFFF" w:themeFill="background1"/>
          </w:tcPr>
          <w:p w14:paraId="1433C95B" w14:textId="77777777" w:rsidR="00654D0F" w:rsidRPr="00683FF0" w:rsidRDefault="00654D0F" w:rsidP="00F06534">
            <w:pPr>
              <w:spacing w:before="40" w:after="40" w:line="230" w:lineRule="atLeast"/>
              <w:rPr>
                <w:sz w:val="18"/>
                <w:szCs w:val="18"/>
              </w:rPr>
            </w:pPr>
          </w:p>
        </w:tc>
        <w:tc>
          <w:tcPr>
            <w:tcW w:w="4508" w:type="dxa"/>
            <w:shd w:val="clear" w:color="auto" w:fill="FFFFFF" w:themeFill="background1"/>
          </w:tcPr>
          <w:p w14:paraId="57FF160C" w14:textId="6FB1A1E4" w:rsidR="00654D0F" w:rsidRPr="00683FF0" w:rsidRDefault="00654D0F" w:rsidP="005D20B5">
            <w:pPr>
              <w:pStyle w:val="TableText"/>
              <w:spacing w:before="40" w:line="230" w:lineRule="atLeast"/>
              <w:rPr>
                <w:szCs w:val="18"/>
              </w:rPr>
            </w:pPr>
            <w:r w:rsidRPr="00683FF0">
              <w:rPr>
                <w:b/>
                <w:bCs/>
                <w:szCs w:val="18"/>
              </w:rPr>
              <w:t>Responsible agency:</w:t>
            </w:r>
            <w:r w:rsidRPr="00683FF0">
              <w:rPr>
                <w:szCs w:val="18"/>
              </w:rPr>
              <w:t xml:space="preserve"> Ministry </w:t>
            </w:r>
            <w:r w:rsidR="00045686" w:rsidRPr="00683FF0">
              <w:rPr>
                <w:szCs w:val="18"/>
              </w:rPr>
              <w:t>of</w:t>
            </w:r>
            <w:r w:rsidRPr="00683FF0">
              <w:rPr>
                <w:szCs w:val="18"/>
              </w:rPr>
              <w:t xml:space="preserve"> Business, Innovation </w:t>
            </w:r>
            <w:r w:rsidR="00591D68" w:rsidRPr="00683FF0">
              <w:rPr>
                <w:szCs w:val="18"/>
              </w:rPr>
              <w:t xml:space="preserve">and </w:t>
            </w:r>
            <w:r w:rsidRPr="00683FF0">
              <w:rPr>
                <w:szCs w:val="18"/>
              </w:rPr>
              <w:t>Employment</w:t>
            </w:r>
          </w:p>
          <w:p w14:paraId="6FFDA565" w14:textId="0C9CA197" w:rsidR="00654D0F" w:rsidRPr="00683FF0" w:rsidRDefault="00654D0F" w:rsidP="005D20B5">
            <w:pPr>
              <w:pStyle w:val="TableText"/>
              <w:spacing w:before="0" w:line="230" w:lineRule="atLeast"/>
              <w:rPr>
                <w:szCs w:val="18"/>
              </w:rPr>
            </w:pPr>
            <w:r w:rsidRPr="00683FF0">
              <w:rPr>
                <w:b/>
                <w:bCs/>
                <w:szCs w:val="18"/>
              </w:rPr>
              <w:t>Responsible Minister</w:t>
            </w:r>
            <w:r w:rsidR="00180B6A" w:rsidRPr="00683FF0">
              <w:rPr>
                <w:b/>
                <w:bCs/>
                <w:szCs w:val="18"/>
              </w:rPr>
              <w:t>s</w:t>
            </w:r>
            <w:r w:rsidRPr="00683FF0">
              <w:rPr>
                <w:b/>
                <w:bCs/>
                <w:szCs w:val="18"/>
              </w:rPr>
              <w:t>:</w:t>
            </w:r>
            <w:r w:rsidRPr="00683FF0">
              <w:rPr>
                <w:szCs w:val="18"/>
              </w:rPr>
              <w:t xml:space="preserve"> Ministers for Economic and Regional Development</w:t>
            </w:r>
            <w:r w:rsidR="004C095F" w:rsidRPr="00683FF0">
              <w:rPr>
                <w:szCs w:val="18"/>
              </w:rPr>
              <w:t>,</w:t>
            </w:r>
            <w:r w:rsidRPr="00683FF0">
              <w:rPr>
                <w:szCs w:val="18"/>
              </w:rPr>
              <w:t xml:space="preserve"> Energy and Resources</w:t>
            </w:r>
          </w:p>
          <w:p w14:paraId="21C05A30" w14:textId="0E5AA77A" w:rsidR="00654D0F" w:rsidRPr="00683FF0" w:rsidRDefault="00654D0F" w:rsidP="005D20B5">
            <w:pPr>
              <w:pStyle w:val="TableText"/>
              <w:spacing w:before="0" w:line="230" w:lineRule="atLeast"/>
            </w:pPr>
            <w:r w:rsidRPr="00683FF0">
              <w:rPr>
                <w:b/>
                <w:bCs/>
              </w:rPr>
              <w:t>Timeline</w:t>
            </w:r>
            <w:r w:rsidRPr="00683FF0">
              <w:t>: 2022</w:t>
            </w:r>
            <w:r w:rsidR="00F35FEA" w:rsidRPr="00683FF0">
              <w:t>–</w:t>
            </w:r>
            <w:r w:rsidRPr="00683FF0">
              <w:t>25 (EB1)</w:t>
            </w:r>
          </w:p>
        </w:tc>
      </w:tr>
    </w:tbl>
    <w:p w14:paraId="0F0E9697" w14:textId="2C16EDA0" w:rsidR="00C64F92" w:rsidRPr="00683FF0" w:rsidRDefault="00C64F92" w:rsidP="00F06534">
      <w:pPr>
        <w:pStyle w:val="BodyText"/>
        <w:spacing w:before="0" w:after="0"/>
      </w:pPr>
    </w:p>
    <w:p w14:paraId="49546315" w14:textId="5F35B06D" w:rsidR="008E5E76" w:rsidRPr="00683FF0" w:rsidRDefault="00AB6168" w:rsidP="00F06534">
      <w:pPr>
        <w:pStyle w:val="Heading2"/>
        <w:spacing w:after="240"/>
      </w:pPr>
      <w:bookmarkStart w:id="31" w:name="_Toc103175831"/>
      <w:bookmarkStart w:id="32" w:name="_Toc103778794"/>
      <w:r w:rsidRPr="00683FF0">
        <w:lastRenderedPageBreak/>
        <w:t>Develop a thriving, climate</w:t>
      </w:r>
      <w:r w:rsidR="00F35FEA" w:rsidRPr="00683FF0">
        <w:t>-</w:t>
      </w:r>
      <w:r w:rsidRPr="00683FF0">
        <w:t>resilient bioeconomy that delivers emissions reduction</w:t>
      </w:r>
      <w:r w:rsidR="00520C21" w:rsidRPr="00683FF0">
        <w:t>s</w:t>
      </w:r>
      <w:bookmarkEnd w:id="31"/>
      <w:bookmarkEnd w:id="32"/>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ook w:val="04A0" w:firstRow="1" w:lastRow="0" w:firstColumn="1" w:lastColumn="0" w:noHBand="0" w:noVBand="1"/>
      </w:tblPr>
      <w:tblGrid>
        <w:gridCol w:w="4264"/>
        <w:gridCol w:w="4241"/>
      </w:tblGrid>
      <w:tr w:rsidR="009A2BED" w:rsidRPr="00683FF0" w14:paraId="3DFF61C1" w14:textId="77777777" w:rsidTr="009A2BED">
        <w:trPr>
          <w:trHeight w:val="340"/>
        </w:trPr>
        <w:tc>
          <w:tcPr>
            <w:tcW w:w="4508" w:type="dxa"/>
            <w:tcBorders>
              <w:top w:val="single" w:sz="4" w:space="0" w:color="1B556B" w:themeColor="text2"/>
              <w:bottom w:val="nil"/>
            </w:tcBorders>
            <w:shd w:val="clear" w:color="auto" w:fill="1B556B" w:themeFill="text2"/>
            <w:vAlign w:val="center"/>
          </w:tcPr>
          <w:p w14:paraId="38F43874" w14:textId="29BE3C36" w:rsidR="002674D5" w:rsidRPr="00683FF0" w:rsidRDefault="002674D5" w:rsidP="009A2BED">
            <w:pPr>
              <w:pStyle w:val="TableTextbold"/>
              <w:rPr>
                <w:color w:val="FFFFFF" w:themeColor="background1"/>
              </w:rPr>
            </w:pPr>
            <w:r w:rsidRPr="00683FF0">
              <w:rPr>
                <w:color w:val="FFFFFF" w:themeColor="background1"/>
              </w:rPr>
              <w:t xml:space="preserve">Report </w:t>
            </w:r>
            <w:r w:rsidR="00822636"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0C268D17" w14:textId="0218ABB4" w:rsidR="002674D5" w:rsidRPr="00683FF0" w:rsidRDefault="002674D5" w:rsidP="009A2BED">
            <w:pPr>
              <w:pStyle w:val="TableTextbold"/>
              <w:rPr>
                <w:color w:val="FFFFFF" w:themeColor="background1"/>
              </w:rPr>
            </w:pPr>
            <w:r w:rsidRPr="00683FF0">
              <w:rPr>
                <w:color w:val="FFFFFF" w:themeColor="background1"/>
              </w:rPr>
              <w:t xml:space="preserve">Government </w:t>
            </w:r>
            <w:r w:rsidR="00822636" w:rsidRPr="00683FF0">
              <w:rPr>
                <w:color w:val="FFFFFF" w:themeColor="background1"/>
              </w:rPr>
              <w:t>r</w:t>
            </w:r>
            <w:r w:rsidRPr="00683FF0">
              <w:rPr>
                <w:color w:val="FFFFFF" w:themeColor="background1"/>
              </w:rPr>
              <w:t>esponse</w:t>
            </w:r>
          </w:p>
        </w:tc>
      </w:tr>
      <w:tr w:rsidR="002674D5" w:rsidRPr="00683FF0" w14:paraId="3C993CFC" w14:textId="77777777" w:rsidTr="009A2BED">
        <w:tc>
          <w:tcPr>
            <w:tcW w:w="4508" w:type="dxa"/>
            <w:tcBorders>
              <w:top w:val="nil"/>
            </w:tcBorders>
            <w:shd w:val="clear" w:color="auto" w:fill="auto"/>
          </w:tcPr>
          <w:p w14:paraId="78011E5A" w14:textId="077FC1D4" w:rsidR="002674D5" w:rsidRPr="00683FF0" w:rsidRDefault="002674D5" w:rsidP="005D20B5">
            <w:pPr>
              <w:pStyle w:val="TableTextbold"/>
              <w:spacing w:after="0"/>
            </w:pPr>
            <w:r w:rsidRPr="00683FF0">
              <w:t xml:space="preserve">Recommendation 15 </w:t>
            </w:r>
            <w:r w:rsidR="00822636" w:rsidRPr="00683FF0">
              <w:t>–</w:t>
            </w:r>
            <w:r w:rsidRPr="00683FF0">
              <w:t xml:space="preserve"> Develop a thriving, climate-resilient bioeconomy that delivers emissions reductions</w:t>
            </w:r>
          </w:p>
          <w:p w14:paraId="42FE64D9" w14:textId="13BE02E0" w:rsidR="002674D5" w:rsidRPr="00683FF0" w:rsidRDefault="002674D5" w:rsidP="009A2BED">
            <w:pPr>
              <w:pStyle w:val="TableText"/>
            </w:pPr>
            <w:r w:rsidRPr="00683FF0">
              <w:t>We recommend that, in the first emissions reduction plan, the Government commit to: Developing and delivering a strategy for a thriving, climate-resilient bioeconomy that reduces emissions through displacing fossil fuel-derived production materials and energy sources. This should include:</w:t>
            </w:r>
          </w:p>
        </w:tc>
        <w:tc>
          <w:tcPr>
            <w:tcW w:w="4508" w:type="dxa"/>
            <w:tcBorders>
              <w:top w:val="nil"/>
            </w:tcBorders>
            <w:shd w:val="clear" w:color="auto" w:fill="auto"/>
          </w:tcPr>
          <w:p w14:paraId="2925A494" w14:textId="1600CE45" w:rsidR="00140F63" w:rsidRPr="00683FF0" w:rsidRDefault="00021855" w:rsidP="009A2BED">
            <w:pPr>
              <w:pStyle w:val="TableText"/>
            </w:pPr>
            <w:r w:rsidRPr="00683FF0">
              <w:rPr>
                <w:b/>
                <w:bCs/>
              </w:rPr>
              <w:t xml:space="preserve">The Government agrees with this recommendation. </w:t>
            </w:r>
            <w:r w:rsidRPr="00683FF0">
              <w:t xml:space="preserve">The </w:t>
            </w:r>
            <w:r w:rsidR="00FD74DA" w:rsidRPr="00683FF0">
              <w:t>emissions reduction plan</w:t>
            </w:r>
            <w:r w:rsidRPr="00683FF0">
              <w:t xml:space="preserve"> commits to developing and delivering a long-term strategy to move Aotearoa to a </w:t>
            </w:r>
            <w:r w:rsidR="00F04A0B" w:rsidRPr="00683FF0">
              <w:t>thriving, climate-resilient bioeconomy</w:t>
            </w:r>
            <w:r w:rsidRPr="00683FF0">
              <w:t xml:space="preserve"> (</w:t>
            </w:r>
            <w:r w:rsidR="00822636" w:rsidRPr="00683FF0">
              <w:t>c</w:t>
            </w:r>
            <w:r w:rsidRPr="00683FF0">
              <w:t xml:space="preserve">hapter </w:t>
            </w:r>
            <w:r w:rsidR="00237229" w:rsidRPr="00683FF0">
              <w:t>9</w:t>
            </w:r>
            <w:r w:rsidR="00822636" w:rsidRPr="00683FF0">
              <w:t>:</w:t>
            </w:r>
            <w:r w:rsidRPr="00683FF0">
              <w:t xml:space="preserve"> </w:t>
            </w:r>
            <w:r w:rsidR="00237229" w:rsidRPr="00683FF0">
              <w:t>C</w:t>
            </w:r>
            <w:r w:rsidRPr="00683FF0">
              <w:t>ircular economy and bioeconomy).</w:t>
            </w:r>
            <w:r w:rsidRPr="00683FF0">
              <w:rPr>
                <w:highlight w:val="yellow"/>
              </w:rPr>
              <w:t xml:space="preserve"> </w:t>
            </w:r>
          </w:p>
          <w:p w14:paraId="346FB5AB" w14:textId="7BA9E412" w:rsidR="007E338A" w:rsidRPr="00683FF0" w:rsidRDefault="00591D68" w:rsidP="009A2BED">
            <w:pPr>
              <w:pStyle w:val="TableText"/>
            </w:pPr>
            <w:r w:rsidRPr="00683FF0">
              <w:t xml:space="preserve">The Ministry of Business, Innovation and Employment </w:t>
            </w:r>
            <w:r w:rsidR="007E338A" w:rsidRPr="00683FF0">
              <w:t xml:space="preserve">supports the Commission’s recommendation to develop a thriving and climate-resilient bioeconomy that delivers emissions reductions. </w:t>
            </w:r>
          </w:p>
        </w:tc>
      </w:tr>
      <w:tr w:rsidR="002674D5" w:rsidRPr="00683FF0" w14:paraId="2A842118" w14:textId="77777777" w:rsidTr="009A2BED">
        <w:tc>
          <w:tcPr>
            <w:tcW w:w="4508" w:type="dxa"/>
            <w:shd w:val="clear" w:color="auto" w:fill="FFFFFF" w:themeFill="background1"/>
          </w:tcPr>
          <w:p w14:paraId="118976C3" w14:textId="2C4E3740" w:rsidR="002674D5" w:rsidRPr="00683FF0" w:rsidRDefault="002674D5" w:rsidP="009A2BED">
            <w:pPr>
              <w:pStyle w:val="TableText"/>
            </w:pPr>
            <w:r w:rsidRPr="00683FF0">
              <w:t>15.1. Acting in partnership: To be enduring, the strategy must be created in partnership with Iwi/Māori, give effect to the principles of Te Tiriti o Waitangi/The Treaty of Waitangi, and align with the He</w:t>
            </w:r>
            <w:r w:rsidR="005D20B5" w:rsidRPr="00683FF0">
              <w:t> </w:t>
            </w:r>
            <w:r w:rsidRPr="00683FF0">
              <w:t>Ara Waiora framework. Consideration should also be given to:</w:t>
            </w:r>
          </w:p>
          <w:p w14:paraId="4F3D7967" w14:textId="77777777" w:rsidR="002674D5" w:rsidRPr="00683FF0" w:rsidRDefault="002674D5" w:rsidP="00D21268">
            <w:pPr>
              <w:pStyle w:val="TableText"/>
              <w:numPr>
                <w:ilvl w:val="0"/>
                <w:numId w:val="21"/>
              </w:numPr>
              <w:spacing w:before="40" w:after="40" w:line="230" w:lineRule="atLeast"/>
            </w:pPr>
            <w:r w:rsidRPr="00683FF0">
              <w:t>How to embed a complementary mātauranga Māori approach in the strategy (see also Recommendation 26 on an equitable and proactive partnership with Iwi/Māori).</w:t>
            </w:r>
          </w:p>
          <w:p w14:paraId="350A07E1" w14:textId="2C7FF095" w:rsidR="002674D5" w:rsidRPr="00683FF0" w:rsidRDefault="002674D5" w:rsidP="00D21268">
            <w:pPr>
              <w:pStyle w:val="TableText"/>
              <w:numPr>
                <w:ilvl w:val="0"/>
                <w:numId w:val="21"/>
              </w:numPr>
              <w:spacing w:before="40" w:after="40" w:line="230" w:lineRule="atLeast"/>
              <w:rPr>
                <w:szCs w:val="18"/>
              </w:rPr>
            </w:pPr>
            <w:r w:rsidRPr="00683FF0">
              <w:t>Enabling Māori-collectives to participate in associated business opportunities</w:t>
            </w:r>
            <w:r w:rsidR="00EF2132" w:rsidRPr="00683FF0">
              <w:t>.</w:t>
            </w:r>
          </w:p>
        </w:tc>
        <w:tc>
          <w:tcPr>
            <w:tcW w:w="4508" w:type="dxa"/>
            <w:shd w:val="clear" w:color="auto" w:fill="FFFFFF" w:themeFill="background1"/>
          </w:tcPr>
          <w:p w14:paraId="42E61E8C" w14:textId="2976E212" w:rsidR="00BE2393" w:rsidRPr="00683FF0" w:rsidRDefault="00021855" w:rsidP="009A2BED">
            <w:pPr>
              <w:pStyle w:val="TableText"/>
              <w:rPr>
                <w:b/>
                <w:bCs/>
              </w:rPr>
            </w:pPr>
            <w:r w:rsidRPr="00683FF0">
              <w:rPr>
                <w:b/>
              </w:rPr>
              <w:t xml:space="preserve">15.1. </w:t>
            </w:r>
            <w:r w:rsidR="00BE2393" w:rsidRPr="00683FF0">
              <w:rPr>
                <w:b/>
              </w:rPr>
              <w:t>The Government agrees in part with this recommendation.</w:t>
            </w:r>
            <w:r w:rsidR="00BE2393" w:rsidRPr="00683FF0">
              <w:t xml:space="preserve"> </w:t>
            </w:r>
            <w:r w:rsidR="00140F63" w:rsidRPr="00683FF0">
              <w:t xml:space="preserve">This will be carried out with meaningful engagement with Māori rather than in partnership, recognising that ultimate responsibility for delivering a thriving bioeconomy </w:t>
            </w:r>
            <w:r w:rsidR="002A0514" w:rsidRPr="00683FF0">
              <w:t xml:space="preserve">rests </w:t>
            </w:r>
            <w:r w:rsidR="00140F63" w:rsidRPr="00683FF0">
              <w:t>with the Crown</w:t>
            </w:r>
            <w:r w:rsidR="00354F9B" w:rsidRPr="00683FF0">
              <w:t xml:space="preserve"> (</w:t>
            </w:r>
            <w:r w:rsidR="00EF2132" w:rsidRPr="00683FF0">
              <w:t>c</w:t>
            </w:r>
            <w:r w:rsidR="00354F9B" w:rsidRPr="00683FF0">
              <w:t xml:space="preserve">hapter </w:t>
            </w:r>
            <w:r w:rsidR="00ED7FC4" w:rsidRPr="00683FF0">
              <w:t>9</w:t>
            </w:r>
            <w:r w:rsidR="00EF2132" w:rsidRPr="00683FF0">
              <w:t>:</w:t>
            </w:r>
            <w:r w:rsidR="00354F9B" w:rsidRPr="00683FF0">
              <w:t xml:space="preserve"> </w:t>
            </w:r>
            <w:r w:rsidR="00EF2132" w:rsidRPr="00683FF0">
              <w:t>C</w:t>
            </w:r>
            <w:r w:rsidR="00354F9B" w:rsidRPr="00683FF0">
              <w:t>ircular economy and bioeconomy</w:t>
            </w:r>
            <w:r w:rsidR="00EF2132" w:rsidRPr="00683FF0">
              <w:t>,</w:t>
            </w:r>
            <w:r w:rsidR="00354F9B" w:rsidRPr="00683FF0">
              <w:t xml:space="preserve"> </w:t>
            </w:r>
            <w:r w:rsidR="00EF2132" w:rsidRPr="00683FF0">
              <w:t>a</w:t>
            </w:r>
            <w:r w:rsidR="00354F9B" w:rsidRPr="00683FF0">
              <w:t xml:space="preserve">ction </w:t>
            </w:r>
            <w:r w:rsidR="00622914" w:rsidRPr="00683FF0">
              <w:t>9.</w:t>
            </w:r>
            <w:r w:rsidR="22415FD5" w:rsidRPr="00683FF0">
              <w:t>1</w:t>
            </w:r>
            <w:r w:rsidR="00354F9B" w:rsidRPr="00683FF0">
              <w:t>.4).</w:t>
            </w:r>
          </w:p>
          <w:p w14:paraId="448A82EA" w14:textId="75D1FCA6" w:rsidR="00140F63" w:rsidRPr="00683FF0" w:rsidRDefault="00021855" w:rsidP="009A2BED">
            <w:pPr>
              <w:pStyle w:val="TableText"/>
            </w:pPr>
            <w:r w:rsidRPr="00683FF0">
              <w:rPr>
                <w:b/>
              </w:rPr>
              <w:t xml:space="preserve">15.1a. </w:t>
            </w:r>
            <w:r w:rsidR="00BE2393" w:rsidRPr="00683FF0">
              <w:rPr>
                <w:b/>
              </w:rPr>
              <w:t>The Government agrees with this recommendation.</w:t>
            </w:r>
            <w:r w:rsidRPr="00683FF0">
              <w:rPr>
                <w:b/>
              </w:rPr>
              <w:t xml:space="preserve"> </w:t>
            </w:r>
            <w:r w:rsidR="00140F63" w:rsidRPr="00683FF0">
              <w:t>This will be actioned through the</w:t>
            </w:r>
            <w:r w:rsidR="005D20B5" w:rsidRPr="00683FF0">
              <w:t> </w:t>
            </w:r>
            <w:r w:rsidR="00140F63" w:rsidRPr="00683FF0">
              <w:t xml:space="preserve">development of the </w:t>
            </w:r>
            <w:r w:rsidR="00A57AA2" w:rsidRPr="00683FF0">
              <w:t>C</w:t>
            </w:r>
            <w:r w:rsidR="00140F63" w:rsidRPr="00683FF0">
              <w:t xml:space="preserve">ircular </w:t>
            </w:r>
            <w:r w:rsidR="00A57AA2" w:rsidRPr="00683FF0">
              <w:t>E</w:t>
            </w:r>
            <w:r w:rsidR="00140F63" w:rsidRPr="00683FF0">
              <w:t xml:space="preserve">conomy </w:t>
            </w:r>
            <w:r w:rsidR="00A57AA2" w:rsidRPr="00683FF0">
              <w:t>and Bioeconomy S</w:t>
            </w:r>
            <w:r w:rsidR="00140F63" w:rsidRPr="00683FF0">
              <w:t xml:space="preserve">trategy, which includes enabling Māori to shape and benefit from a thriving bioeconomy as a critical component, </w:t>
            </w:r>
            <w:r w:rsidR="00DE26B7" w:rsidRPr="00683FF0">
              <w:t xml:space="preserve">as part of </w:t>
            </w:r>
            <w:r w:rsidR="00140F63" w:rsidRPr="00683FF0">
              <w:t xml:space="preserve">the </w:t>
            </w:r>
            <w:r w:rsidR="00FD74DA" w:rsidRPr="00683FF0">
              <w:t>emissions reduction plan</w:t>
            </w:r>
            <w:r w:rsidR="00354F9B" w:rsidRPr="00683FF0">
              <w:t xml:space="preserve"> (</w:t>
            </w:r>
            <w:r w:rsidR="00EF2132" w:rsidRPr="00683FF0">
              <w:t>c</w:t>
            </w:r>
            <w:r w:rsidR="00354F9B" w:rsidRPr="00683FF0">
              <w:t xml:space="preserve">hapter </w:t>
            </w:r>
            <w:r w:rsidR="00ED7FC4" w:rsidRPr="00683FF0">
              <w:t>9</w:t>
            </w:r>
            <w:r w:rsidR="00EF2132" w:rsidRPr="00683FF0">
              <w:t>:</w:t>
            </w:r>
            <w:r w:rsidR="00354F9B" w:rsidRPr="00683FF0">
              <w:t xml:space="preserve"> </w:t>
            </w:r>
            <w:r w:rsidR="00ED7FC4" w:rsidRPr="00683FF0">
              <w:t>C</w:t>
            </w:r>
            <w:r w:rsidR="00354F9B" w:rsidRPr="00683FF0">
              <w:t>ircular economy and bioeconomy</w:t>
            </w:r>
            <w:r w:rsidR="00EF2132" w:rsidRPr="00683FF0">
              <w:t>,</w:t>
            </w:r>
            <w:r w:rsidR="00354F9B" w:rsidRPr="00683FF0">
              <w:t xml:space="preserve"> </w:t>
            </w:r>
            <w:r w:rsidR="00EF2132" w:rsidRPr="00683FF0">
              <w:t>a</w:t>
            </w:r>
            <w:r w:rsidR="00354F9B" w:rsidRPr="00683FF0">
              <w:t xml:space="preserve">ctions </w:t>
            </w:r>
            <w:r w:rsidR="00622914" w:rsidRPr="00683FF0">
              <w:t>9.</w:t>
            </w:r>
            <w:r w:rsidR="22415FD5" w:rsidRPr="00683FF0">
              <w:t>1.</w:t>
            </w:r>
            <w:r w:rsidR="00354F9B" w:rsidRPr="00683FF0">
              <w:t>4</w:t>
            </w:r>
            <w:r w:rsidR="00EF2132" w:rsidRPr="00683FF0">
              <w:t>,</w:t>
            </w:r>
            <w:r w:rsidR="22415FD5" w:rsidRPr="00683FF0">
              <w:t xml:space="preserve"> </w:t>
            </w:r>
            <w:r w:rsidR="00622914" w:rsidRPr="00683FF0">
              <w:t>9.</w:t>
            </w:r>
            <w:r w:rsidR="22415FD5" w:rsidRPr="00683FF0">
              <w:t>5</w:t>
            </w:r>
            <w:r w:rsidR="00354F9B" w:rsidRPr="00683FF0">
              <w:t>).</w:t>
            </w:r>
          </w:p>
          <w:p w14:paraId="5CDD2292" w14:textId="214A68CA" w:rsidR="00140F63" w:rsidRPr="00683FF0" w:rsidRDefault="00021855" w:rsidP="009A2BED">
            <w:pPr>
              <w:pStyle w:val="TableText"/>
            </w:pPr>
            <w:r w:rsidRPr="00683FF0">
              <w:rPr>
                <w:b/>
              </w:rPr>
              <w:t xml:space="preserve">15.1b. </w:t>
            </w:r>
            <w:r w:rsidR="00BE2393" w:rsidRPr="00683FF0">
              <w:rPr>
                <w:b/>
              </w:rPr>
              <w:t xml:space="preserve">The Government agrees with this recommendation. </w:t>
            </w:r>
            <w:r w:rsidR="00140F63" w:rsidRPr="00683FF0">
              <w:t>This will be actioned through the</w:t>
            </w:r>
            <w:r w:rsidR="005D20B5" w:rsidRPr="00683FF0">
              <w:t> </w:t>
            </w:r>
            <w:r w:rsidR="00140F63" w:rsidRPr="00683FF0">
              <w:t xml:space="preserve">development of the </w:t>
            </w:r>
            <w:r w:rsidR="00A57AA2" w:rsidRPr="00683FF0">
              <w:t>C</w:t>
            </w:r>
            <w:r w:rsidR="00140F63" w:rsidRPr="00683FF0">
              <w:t xml:space="preserve">ircular </w:t>
            </w:r>
            <w:r w:rsidR="00A57AA2" w:rsidRPr="00683FF0">
              <w:t>E</w:t>
            </w:r>
            <w:r w:rsidR="00140F63" w:rsidRPr="00683FF0">
              <w:t xml:space="preserve">conomy </w:t>
            </w:r>
            <w:r w:rsidR="00A57AA2" w:rsidRPr="00683FF0">
              <w:t>and Bioeconomy S</w:t>
            </w:r>
            <w:r w:rsidR="00140F63" w:rsidRPr="00683FF0">
              <w:t xml:space="preserve">trategy, which includes enabling Māori to shape and benefit from a thriving bioeconomy as a critical component, </w:t>
            </w:r>
            <w:r w:rsidR="0038609C" w:rsidRPr="00683FF0">
              <w:t xml:space="preserve">as part of </w:t>
            </w:r>
            <w:r w:rsidR="00140F63" w:rsidRPr="00683FF0">
              <w:t xml:space="preserve">the </w:t>
            </w:r>
            <w:r w:rsidR="00FD74DA" w:rsidRPr="00683FF0">
              <w:t>emissions reduction plan</w:t>
            </w:r>
            <w:r w:rsidR="00354F9B" w:rsidRPr="00683FF0">
              <w:t xml:space="preserve"> (</w:t>
            </w:r>
            <w:r w:rsidR="0067250C" w:rsidRPr="00683FF0">
              <w:t>c</w:t>
            </w:r>
            <w:r w:rsidR="00354F9B" w:rsidRPr="00683FF0">
              <w:t xml:space="preserve">hapter </w:t>
            </w:r>
            <w:r w:rsidR="00053E00" w:rsidRPr="00683FF0">
              <w:t>9</w:t>
            </w:r>
            <w:r w:rsidR="0067250C" w:rsidRPr="00683FF0">
              <w:t>:</w:t>
            </w:r>
            <w:r w:rsidR="00354F9B" w:rsidRPr="00683FF0">
              <w:t xml:space="preserve"> </w:t>
            </w:r>
            <w:r w:rsidR="00053E00" w:rsidRPr="00683FF0">
              <w:t>C</w:t>
            </w:r>
            <w:r w:rsidR="00354F9B" w:rsidRPr="00683FF0">
              <w:t>ircular economy and</w:t>
            </w:r>
            <w:r w:rsidR="00053E00" w:rsidRPr="00683FF0">
              <w:t xml:space="preserve"> </w:t>
            </w:r>
            <w:r w:rsidR="00354F9B" w:rsidRPr="00683FF0">
              <w:t>bioeconomy</w:t>
            </w:r>
            <w:r w:rsidR="0067250C" w:rsidRPr="00683FF0">
              <w:t>,</w:t>
            </w:r>
            <w:r w:rsidR="00354F9B" w:rsidRPr="00683FF0">
              <w:t xml:space="preserve"> </w:t>
            </w:r>
            <w:r w:rsidR="0067250C" w:rsidRPr="00683FF0">
              <w:t>a</w:t>
            </w:r>
            <w:r w:rsidR="00354F9B" w:rsidRPr="00683FF0">
              <w:t xml:space="preserve">ctions </w:t>
            </w:r>
            <w:r w:rsidR="00622914" w:rsidRPr="00683FF0">
              <w:t>9.</w:t>
            </w:r>
            <w:r w:rsidR="22415FD5" w:rsidRPr="00683FF0">
              <w:t>1.4</w:t>
            </w:r>
            <w:r w:rsidR="0067250C" w:rsidRPr="00683FF0">
              <w:t>,</w:t>
            </w:r>
            <w:r w:rsidR="22415FD5" w:rsidRPr="00683FF0">
              <w:t xml:space="preserve"> </w:t>
            </w:r>
            <w:r w:rsidR="00622914" w:rsidRPr="00683FF0">
              <w:t>9.</w:t>
            </w:r>
            <w:r w:rsidR="22415FD5" w:rsidRPr="00683FF0">
              <w:t>5</w:t>
            </w:r>
            <w:r w:rsidR="00354F9B" w:rsidRPr="00683FF0">
              <w:t>).</w:t>
            </w:r>
          </w:p>
        </w:tc>
      </w:tr>
      <w:tr w:rsidR="002674D5" w:rsidRPr="00683FF0" w14:paraId="361B7D0C" w14:textId="77777777" w:rsidTr="009A2BED">
        <w:tc>
          <w:tcPr>
            <w:tcW w:w="4508" w:type="dxa"/>
            <w:shd w:val="clear" w:color="auto" w:fill="FFFFFF" w:themeFill="background1"/>
          </w:tcPr>
          <w:p w14:paraId="29F65855" w14:textId="638A31FC" w:rsidR="002674D5" w:rsidRPr="00683FF0" w:rsidRDefault="002674D5" w:rsidP="009A2BED">
            <w:pPr>
              <w:pStyle w:val="TableText"/>
            </w:pPr>
            <w:r w:rsidRPr="00683FF0">
              <w:t>15.2. Providing a clear governance structure, including tasking a Minister and lead agency to assess and address competing interests and trade-offs within and across the sectors involved in the bioeconomy.</w:t>
            </w:r>
          </w:p>
        </w:tc>
        <w:tc>
          <w:tcPr>
            <w:tcW w:w="4508" w:type="dxa"/>
            <w:shd w:val="clear" w:color="auto" w:fill="FFFFFF" w:themeFill="background1"/>
          </w:tcPr>
          <w:p w14:paraId="6AA77AB6" w14:textId="724C1E13" w:rsidR="00354F9B" w:rsidRPr="00683FF0" w:rsidRDefault="00F04A0B" w:rsidP="009A2BED">
            <w:pPr>
              <w:pStyle w:val="TableText"/>
            </w:pPr>
            <w:r w:rsidRPr="00683FF0">
              <w:rPr>
                <w:b/>
                <w:bCs/>
              </w:rPr>
              <w:t xml:space="preserve">15.2. </w:t>
            </w:r>
            <w:r w:rsidR="00BE2393" w:rsidRPr="00683FF0">
              <w:rPr>
                <w:b/>
                <w:bCs/>
              </w:rPr>
              <w:t>The Government agrees with this recommendation.</w:t>
            </w:r>
            <w:r w:rsidR="00BE2393" w:rsidRPr="00683FF0">
              <w:t xml:space="preserve"> </w:t>
            </w:r>
            <w:r w:rsidR="00107C17" w:rsidRPr="00683FF0">
              <w:t>The Minister for Economic and Regional Development, the Minister of Energy and Resources, and the Minister of Forestry will be responsible for the circular economy and bioeconomy</w:t>
            </w:r>
            <w:r w:rsidR="00696186" w:rsidRPr="00683FF0">
              <w:t xml:space="preserve"> </w:t>
            </w:r>
            <w:r w:rsidR="00107C17" w:rsidRPr="00683FF0">
              <w:t>actions. The Minister of Business, Innovation and Employment is the responsible agency.</w:t>
            </w:r>
            <w:r w:rsidR="00C1630D" w:rsidRPr="00683FF0">
              <w:t xml:space="preserve"> </w:t>
            </w:r>
            <w:r w:rsidR="00354F9B" w:rsidRPr="00683FF0">
              <w:t>(</w:t>
            </w:r>
            <w:r w:rsidR="007142FA" w:rsidRPr="00683FF0">
              <w:t>c</w:t>
            </w:r>
            <w:r w:rsidR="00354F9B" w:rsidRPr="00683FF0">
              <w:t xml:space="preserve">hapter </w:t>
            </w:r>
            <w:r w:rsidR="004C1582" w:rsidRPr="00683FF0">
              <w:t>9</w:t>
            </w:r>
            <w:r w:rsidR="007142FA" w:rsidRPr="00683FF0">
              <w:t>:</w:t>
            </w:r>
            <w:r w:rsidR="00354F9B" w:rsidRPr="00683FF0">
              <w:t xml:space="preserve"> </w:t>
            </w:r>
            <w:r w:rsidR="007142FA" w:rsidRPr="00683FF0">
              <w:t>C</w:t>
            </w:r>
            <w:r w:rsidR="00354F9B" w:rsidRPr="00683FF0">
              <w:t>ircular economy and bioeconomy).</w:t>
            </w:r>
          </w:p>
        </w:tc>
      </w:tr>
      <w:tr w:rsidR="002674D5" w:rsidRPr="00683FF0" w14:paraId="26CB3B66" w14:textId="77777777" w:rsidTr="009A2BED">
        <w:tc>
          <w:tcPr>
            <w:tcW w:w="4508" w:type="dxa"/>
            <w:shd w:val="clear" w:color="auto" w:fill="FFFFFF" w:themeFill="background1"/>
          </w:tcPr>
          <w:p w14:paraId="57990289" w14:textId="496BAB70" w:rsidR="002674D5" w:rsidRPr="00683FF0" w:rsidRDefault="002674D5" w:rsidP="009A2BED">
            <w:pPr>
              <w:pStyle w:val="TableText"/>
            </w:pPr>
            <w:r w:rsidRPr="00683FF0">
              <w:t>15.3. Setting up a mechanism that enables active collaboration with Iwi/Māori, local government and industry.</w:t>
            </w:r>
          </w:p>
        </w:tc>
        <w:tc>
          <w:tcPr>
            <w:tcW w:w="4508" w:type="dxa"/>
            <w:shd w:val="clear" w:color="auto" w:fill="FFFFFF" w:themeFill="background1"/>
          </w:tcPr>
          <w:p w14:paraId="24031F0F" w14:textId="083A4227" w:rsidR="00354F9B" w:rsidRPr="00683FF0" w:rsidRDefault="324E1E76" w:rsidP="009A2BED">
            <w:pPr>
              <w:pStyle w:val="TableText"/>
            </w:pPr>
            <w:r w:rsidRPr="00683FF0">
              <w:rPr>
                <w:b/>
                <w:bCs/>
              </w:rPr>
              <w:t xml:space="preserve">15.3. </w:t>
            </w:r>
            <w:r w:rsidR="355E2B63" w:rsidRPr="00683FF0">
              <w:rPr>
                <w:b/>
                <w:bCs/>
              </w:rPr>
              <w:t>The Government agrees with this recommendation.</w:t>
            </w:r>
            <w:r w:rsidR="00C1630D" w:rsidRPr="00683FF0">
              <w:t xml:space="preserve"> </w:t>
            </w:r>
            <w:r w:rsidR="40FCE7A6" w:rsidRPr="00683FF0">
              <w:t>Developing the circular economy and bioeconomy strategy will include meaningful engagement</w:t>
            </w:r>
            <w:r w:rsidR="59D3424D" w:rsidRPr="00683FF0">
              <w:t>, and the Government will set up a mechanism to enable active collaboration with key stakeholders, including M</w:t>
            </w:r>
            <w:r w:rsidR="00152F83" w:rsidRPr="00683FF0">
              <w:t>ā</w:t>
            </w:r>
            <w:r w:rsidR="59D3424D" w:rsidRPr="00683FF0">
              <w:t>ori, local government, and</w:t>
            </w:r>
            <w:r w:rsidR="005D20B5" w:rsidRPr="00683FF0">
              <w:t> </w:t>
            </w:r>
            <w:r w:rsidR="59D3424D" w:rsidRPr="00683FF0">
              <w:t xml:space="preserve">industry </w:t>
            </w:r>
            <w:r w:rsidR="51FE700D" w:rsidRPr="00683FF0">
              <w:t>(</w:t>
            </w:r>
            <w:r w:rsidR="2EBAF222" w:rsidRPr="00683FF0">
              <w:t>c</w:t>
            </w:r>
            <w:r w:rsidR="51FE700D" w:rsidRPr="00683FF0">
              <w:t>hapter</w:t>
            </w:r>
            <w:r w:rsidR="4DD9A3D3" w:rsidRPr="00683FF0">
              <w:t> </w:t>
            </w:r>
            <w:r w:rsidR="68810F38" w:rsidRPr="00683FF0">
              <w:t>9</w:t>
            </w:r>
            <w:r w:rsidR="2EBAF222" w:rsidRPr="00683FF0">
              <w:t>:</w:t>
            </w:r>
            <w:r w:rsidR="51FE700D" w:rsidRPr="00683FF0">
              <w:t xml:space="preserve"> </w:t>
            </w:r>
            <w:r w:rsidR="68810F38" w:rsidRPr="00683FF0">
              <w:t>C</w:t>
            </w:r>
            <w:r w:rsidR="51FE700D" w:rsidRPr="00683FF0">
              <w:t>ircular economy and bioeconomy</w:t>
            </w:r>
            <w:r w:rsidR="2EBAF222" w:rsidRPr="00683FF0">
              <w:t>,</w:t>
            </w:r>
            <w:r w:rsidR="51FE700D" w:rsidRPr="00683FF0">
              <w:t xml:space="preserve"> </w:t>
            </w:r>
            <w:r w:rsidR="2EBAF222" w:rsidRPr="00683FF0">
              <w:t>a</w:t>
            </w:r>
            <w:r w:rsidR="51FE700D" w:rsidRPr="00683FF0">
              <w:t xml:space="preserve">ctions </w:t>
            </w:r>
            <w:r w:rsidR="331465BD" w:rsidRPr="00683FF0">
              <w:t>9.</w:t>
            </w:r>
            <w:r w:rsidR="51FE700D" w:rsidRPr="00683FF0">
              <w:t>1.4</w:t>
            </w:r>
            <w:r w:rsidR="2EBAF222" w:rsidRPr="00683FF0">
              <w:t>,</w:t>
            </w:r>
            <w:r w:rsidR="51FE700D" w:rsidRPr="00683FF0">
              <w:t xml:space="preserve"> </w:t>
            </w:r>
            <w:r w:rsidR="331465BD" w:rsidRPr="00683FF0">
              <w:t>9.</w:t>
            </w:r>
            <w:r w:rsidR="51FE700D" w:rsidRPr="00683FF0">
              <w:t>5)</w:t>
            </w:r>
            <w:r w:rsidR="40FCE7A6" w:rsidRPr="00683FF0">
              <w:t xml:space="preserve">. For example, this could include using the platform Government will </w:t>
            </w:r>
            <w:r w:rsidR="40FCE7A6" w:rsidRPr="00683FF0">
              <w:lastRenderedPageBreak/>
              <w:t xml:space="preserve">establish </w:t>
            </w:r>
            <w:r w:rsidR="488249D3" w:rsidRPr="00683FF0">
              <w:t>for Māori climate action to sit alongside the Government</w:t>
            </w:r>
            <w:r w:rsidR="5BC01F20" w:rsidRPr="00683FF0">
              <w:t>’</w:t>
            </w:r>
            <w:r w:rsidR="488249D3" w:rsidRPr="00683FF0">
              <w:t>s climate policy response (</w:t>
            </w:r>
            <w:r w:rsidR="243D1106" w:rsidRPr="00683FF0">
              <w:t>c</w:t>
            </w:r>
            <w:r w:rsidR="488249D3" w:rsidRPr="00683FF0">
              <w:t>hapter 2</w:t>
            </w:r>
            <w:r w:rsidR="243D1106" w:rsidRPr="00683FF0">
              <w:t>:</w:t>
            </w:r>
            <w:r w:rsidR="488249D3" w:rsidRPr="00683FF0">
              <w:t xml:space="preserve"> Empowering Māori</w:t>
            </w:r>
            <w:r w:rsidR="243D1106" w:rsidRPr="00683FF0">
              <w:t>,</w:t>
            </w:r>
            <w:r w:rsidR="488249D3" w:rsidRPr="00683FF0">
              <w:t xml:space="preserve"> actions </w:t>
            </w:r>
            <w:r w:rsidR="1D704CC1" w:rsidRPr="00683FF0">
              <w:t>2.</w:t>
            </w:r>
            <w:r w:rsidR="488249D3" w:rsidRPr="00683FF0">
              <w:t>1</w:t>
            </w:r>
            <w:r w:rsidR="243D1106" w:rsidRPr="00683FF0">
              <w:t>,</w:t>
            </w:r>
            <w:r w:rsidR="488249D3" w:rsidRPr="00683FF0">
              <w:t xml:space="preserve"> </w:t>
            </w:r>
            <w:r w:rsidR="1D704CC1" w:rsidRPr="00683FF0">
              <w:t>2.</w:t>
            </w:r>
            <w:r w:rsidR="488249D3" w:rsidRPr="00683FF0">
              <w:t>2)</w:t>
            </w:r>
          </w:p>
        </w:tc>
      </w:tr>
      <w:tr w:rsidR="002674D5" w:rsidRPr="00683FF0" w14:paraId="59605008" w14:textId="77777777" w:rsidTr="009A2BED">
        <w:tc>
          <w:tcPr>
            <w:tcW w:w="4508" w:type="dxa"/>
            <w:shd w:val="clear" w:color="auto" w:fill="FFFFFF" w:themeFill="background1"/>
          </w:tcPr>
          <w:p w14:paraId="05C64830" w14:textId="0368BD69" w:rsidR="002674D5" w:rsidRPr="00683FF0" w:rsidRDefault="002674D5" w:rsidP="009A2BED">
            <w:pPr>
              <w:pStyle w:val="TableText"/>
            </w:pPr>
            <w:r w:rsidRPr="00683FF0">
              <w:lastRenderedPageBreak/>
              <w:t>15.4. Integrating considerations across the agriculture, building, energy, forestry, land, transport, and waste sectors (see relevant sector recommendations) including:</w:t>
            </w:r>
          </w:p>
          <w:p w14:paraId="3AA52D16" w14:textId="77777777" w:rsidR="002674D5" w:rsidRPr="00683FF0" w:rsidRDefault="002674D5" w:rsidP="00D21268">
            <w:pPr>
              <w:pStyle w:val="TableText"/>
              <w:numPr>
                <w:ilvl w:val="0"/>
                <w:numId w:val="22"/>
              </w:numPr>
              <w:spacing w:before="40" w:after="40" w:line="230" w:lineRule="atLeast"/>
            </w:pPr>
            <w:r w:rsidRPr="00683FF0">
              <w:t>Collating and publishing data on existing biomass resource supply and demand to identify potential regional supply chains.</w:t>
            </w:r>
          </w:p>
          <w:p w14:paraId="79AA4198" w14:textId="77777777" w:rsidR="00473F30" w:rsidRPr="00683FF0" w:rsidRDefault="002674D5" w:rsidP="00D21268">
            <w:pPr>
              <w:pStyle w:val="TableText"/>
              <w:numPr>
                <w:ilvl w:val="0"/>
                <w:numId w:val="22"/>
              </w:numPr>
              <w:spacing w:before="40" w:after="40" w:line="230" w:lineRule="atLeast"/>
            </w:pPr>
            <w:r w:rsidRPr="00683FF0">
              <w:t>Introducing regulatory or investment settings that prioritise high value and emissions reduction uses for biomass resources.</w:t>
            </w:r>
          </w:p>
          <w:p w14:paraId="49AB77FF" w14:textId="77777777" w:rsidR="00473F30" w:rsidRPr="00683FF0" w:rsidRDefault="00473F30" w:rsidP="00D21268">
            <w:pPr>
              <w:pStyle w:val="TableText"/>
              <w:numPr>
                <w:ilvl w:val="0"/>
                <w:numId w:val="22"/>
              </w:numPr>
              <w:spacing w:before="40" w:after="40" w:line="230" w:lineRule="atLeast"/>
            </w:pPr>
            <w:r w:rsidRPr="00683FF0">
              <w:t>Evaluating the future value of the bioeconomy including as a source of fuels, construction materials, other products, employment and economic opportunity.</w:t>
            </w:r>
          </w:p>
          <w:p w14:paraId="5DB26D54" w14:textId="6AD35D34" w:rsidR="00473F30" w:rsidRPr="00683FF0" w:rsidRDefault="00473F30" w:rsidP="00D21268">
            <w:pPr>
              <w:pStyle w:val="TableText"/>
              <w:numPr>
                <w:ilvl w:val="0"/>
                <w:numId w:val="22"/>
              </w:numPr>
              <w:spacing w:before="40" w:after="40" w:line="230" w:lineRule="atLeast"/>
              <w:rPr>
                <w:szCs w:val="18"/>
              </w:rPr>
            </w:pPr>
            <w:r w:rsidRPr="00683FF0">
              <w:t>Creating an environment that enables research and innovation to drive a valuable future bioeconomy (consistent with Recommendation 13 on innovation, finance, and behaviour change).</w:t>
            </w:r>
          </w:p>
        </w:tc>
        <w:tc>
          <w:tcPr>
            <w:tcW w:w="4508" w:type="dxa"/>
            <w:shd w:val="clear" w:color="auto" w:fill="FFFFFF" w:themeFill="background1"/>
          </w:tcPr>
          <w:p w14:paraId="15B18C61" w14:textId="77777777" w:rsidR="00781597" w:rsidRPr="00683FF0" w:rsidRDefault="00781597" w:rsidP="009A2BED">
            <w:pPr>
              <w:pStyle w:val="TableTextbold"/>
              <w:spacing w:after="0"/>
            </w:pPr>
            <w:r w:rsidRPr="00683FF0">
              <w:t>15.4. The Government agrees with this recommendation.</w:t>
            </w:r>
          </w:p>
          <w:p w14:paraId="113924D3" w14:textId="17986847" w:rsidR="00781597" w:rsidRPr="00683FF0" w:rsidRDefault="0031489E" w:rsidP="009A2BED">
            <w:pPr>
              <w:pStyle w:val="TableText"/>
            </w:pPr>
            <w:r w:rsidRPr="00683FF0">
              <w:t xml:space="preserve">The </w:t>
            </w:r>
            <w:r w:rsidR="007465CA" w:rsidRPr="00683FF0">
              <w:t xml:space="preserve">circular </w:t>
            </w:r>
            <w:r w:rsidR="00135EFA" w:rsidRPr="00683FF0">
              <w:t xml:space="preserve">economy </w:t>
            </w:r>
            <w:r w:rsidR="007465CA" w:rsidRPr="00683FF0">
              <w:t>and bioeconomy</w:t>
            </w:r>
            <w:r w:rsidR="00781597" w:rsidRPr="00683FF0">
              <w:t xml:space="preserve"> strategy will take a cross-sector view of New Zealand’s bio-resources and opportunities and integrate considerations for agriculture, building, energy, forestry, transport, waste and other sectors. </w:t>
            </w:r>
          </w:p>
          <w:p w14:paraId="2332AA59" w14:textId="5788B85B" w:rsidR="00781597" w:rsidRPr="00683FF0" w:rsidRDefault="00781597" w:rsidP="009A2BED">
            <w:pPr>
              <w:pStyle w:val="TableText"/>
            </w:pPr>
            <w:r w:rsidRPr="00683FF0">
              <w:rPr>
                <w:b/>
                <w:bCs/>
              </w:rPr>
              <w:t>15.4a.</w:t>
            </w:r>
            <w:r w:rsidRPr="00683FF0">
              <w:t xml:space="preserve"> Action 9.6 in the emissions reduction plan, “Accelerate sustainable and secure supply and uptake of bioenergy” include a sub-action to establish a baseline of supply and demand of bioenergy feedstocks (</w:t>
            </w:r>
            <w:r w:rsidR="005800EB" w:rsidRPr="00683FF0">
              <w:t>c</w:t>
            </w:r>
            <w:r w:rsidRPr="00683FF0">
              <w:t>hapter 9</w:t>
            </w:r>
            <w:r w:rsidR="003854DE" w:rsidRPr="00683FF0">
              <w:t>:</w:t>
            </w:r>
            <w:r w:rsidRPr="00683FF0">
              <w:t xml:space="preserve"> Circular economy and bioeconomy</w:t>
            </w:r>
            <w:r w:rsidR="005800EB" w:rsidRPr="00683FF0">
              <w:t>,</w:t>
            </w:r>
            <w:r w:rsidRPr="00683FF0">
              <w:t xml:space="preserve"> </w:t>
            </w:r>
            <w:r w:rsidR="005800EB" w:rsidRPr="00683FF0">
              <w:t>a</w:t>
            </w:r>
            <w:r w:rsidRPr="00683FF0">
              <w:t>ction</w:t>
            </w:r>
            <w:r w:rsidR="005800EB" w:rsidRPr="00683FF0">
              <w:t xml:space="preserve"> </w:t>
            </w:r>
            <w:r w:rsidR="00DD6BE4" w:rsidRPr="00683FF0">
              <w:t>9.</w:t>
            </w:r>
            <w:r w:rsidRPr="00683FF0">
              <w:t>6).</w:t>
            </w:r>
          </w:p>
          <w:p w14:paraId="33293FE3" w14:textId="25C6B8E9" w:rsidR="00781597" w:rsidRPr="00683FF0" w:rsidRDefault="00781597" w:rsidP="009A2BED">
            <w:pPr>
              <w:pStyle w:val="TableText"/>
            </w:pPr>
            <w:r w:rsidRPr="00683FF0">
              <w:rPr>
                <w:b/>
                <w:bCs/>
              </w:rPr>
              <w:t>15.4b.</w:t>
            </w:r>
            <w:r w:rsidRPr="00683FF0">
              <w:t xml:space="preserve"> The Government will use its position to address market and regulatory failures, shape markets and set direction by investing in science and innovation, and working in partnership with businesses by providing technical support (</w:t>
            </w:r>
            <w:r w:rsidR="003A724A" w:rsidRPr="00683FF0">
              <w:t>c</w:t>
            </w:r>
            <w:r w:rsidRPr="00683FF0">
              <w:t>hapter 9</w:t>
            </w:r>
            <w:r w:rsidR="003854DE" w:rsidRPr="00683FF0">
              <w:t>:</w:t>
            </w:r>
            <w:r w:rsidRPr="00683FF0">
              <w:t xml:space="preserve"> </w:t>
            </w:r>
            <w:r w:rsidR="00ED74D9" w:rsidRPr="00683FF0">
              <w:t>C</w:t>
            </w:r>
            <w:r w:rsidRPr="00683FF0">
              <w:t>ircular economy and the bioeconomy</w:t>
            </w:r>
            <w:r w:rsidR="00ED74D9" w:rsidRPr="00683FF0">
              <w:t>,</w:t>
            </w:r>
            <w:r w:rsidRPr="00683FF0">
              <w:t xml:space="preserve"> </w:t>
            </w:r>
            <w:r w:rsidR="00ED74D9" w:rsidRPr="00683FF0">
              <w:t>a</w:t>
            </w:r>
            <w:r w:rsidRPr="00683FF0">
              <w:t xml:space="preserve">ctions </w:t>
            </w:r>
            <w:r w:rsidR="00DD6BE4" w:rsidRPr="00683FF0">
              <w:t>9</w:t>
            </w:r>
            <w:r w:rsidR="00D9010F" w:rsidRPr="00683FF0">
              <w:t>.</w:t>
            </w:r>
            <w:r w:rsidRPr="00683FF0">
              <w:t>1).</w:t>
            </w:r>
          </w:p>
          <w:p w14:paraId="0E66311E" w14:textId="103C91FA" w:rsidR="00781597" w:rsidRPr="00683FF0" w:rsidRDefault="00781597" w:rsidP="009A2BED">
            <w:pPr>
              <w:pStyle w:val="TableText"/>
              <w:rPr>
                <w:rFonts w:eastAsia="Times New Roman" w:cstheme="minorHAnsi"/>
                <w:szCs w:val="18"/>
              </w:rPr>
            </w:pPr>
            <w:r w:rsidRPr="00683FF0">
              <w:rPr>
                <w:b/>
                <w:bCs/>
              </w:rPr>
              <w:t>15.4c</w:t>
            </w:r>
            <w:r w:rsidRPr="00683FF0">
              <w:t>. The circular economy and bioeconomy strategy will evaluate the future value of existing bio-resources (following a stocktake of New Zealand's existing bio</w:t>
            </w:r>
            <w:r w:rsidR="009A2BED" w:rsidRPr="00683FF0">
              <w:noBreakHyphen/>
            </w:r>
            <w:r w:rsidRPr="00683FF0">
              <w:t>resources) (</w:t>
            </w:r>
            <w:r w:rsidR="00ED74D9" w:rsidRPr="00683FF0">
              <w:t>c</w:t>
            </w:r>
            <w:r w:rsidRPr="00683FF0">
              <w:t>hapter 9</w:t>
            </w:r>
            <w:r w:rsidR="003854DE" w:rsidRPr="00683FF0">
              <w:t>:</w:t>
            </w:r>
            <w:r w:rsidRPr="00683FF0">
              <w:t xml:space="preserve"> </w:t>
            </w:r>
            <w:r w:rsidR="00ED74D9" w:rsidRPr="00683FF0">
              <w:t>C</w:t>
            </w:r>
            <w:r w:rsidRPr="00683FF0">
              <w:t>ircular economy and bioeconomy</w:t>
            </w:r>
            <w:r w:rsidR="00ED74D9" w:rsidRPr="00683FF0">
              <w:t>,</w:t>
            </w:r>
            <w:r w:rsidRPr="00683FF0">
              <w:t xml:space="preserve"> </w:t>
            </w:r>
            <w:r w:rsidR="00ED74D9" w:rsidRPr="00683FF0">
              <w:t>a</w:t>
            </w:r>
            <w:r w:rsidRPr="00683FF0">
              <w:t xml:space="preserve">ctions </w:t>
            </w:r>
            <w:r w:rsidR="00FF72C9" w:rsidRPr="00683FF0">
              <w:t>9.</w:t>
            </w:r>
            <w:r w:rsidRPr="00683FF0">
              <w:t>1.5).</w:t>
            </w:r>
          </w:p>
          <w:p w14:paraId="21190EFA" w14:textId="041A87FA" w:rsidR="00354F9B" w:rsidRPr="00683FF0" w:rsidRDefault="00781597" w:rsidP="009A2BED">
            <w:pPr>
              <w:pStyle w:val="TableText"/>
              <w:rPr>
                <w:szCs w:val="18"/>
              </w:rPr>
            </w:pPr>
            <w:r w:rsidRPr="00683FF0">
              <w:rPr>
                <w:rFonts w:eastAsia="Times New Roman" w:cstheme="minorHAnsi"/>
                <w:b/>
                <w:bCs/>
                <w:szCs w:val="18"/>
              </w:rPr>
              <w:t>15.4d.</w:t>
            </w:r>
            <w:r w:rsidRPr="00683FF0">
              <w:rPr>
                <w:rFonts w:eastAsia="Times New Roman" w:cstheme="minorHAnsi"/>
                <w:szCs w:val="18"/>
              </w:rPr>
              <w:t xml:space="preserve"> The Government will use its position to address market and regulatory failures, and shape markets and set direction by investing in science and innovation, and working in partnership with businesses to support research and development and accelerate investment in the bioeconomy to commercialise bioeconomy technology and products (</w:t>
            </w:r>
            <w:r w:rsidR="00522C12" w:rsidRPr="00683FF0">
              <w:rPr>
                <w:rFonts w:eastAsia="Times New Roman" w:cstheme="minorHAnsi"/>
                <w:szCs w:val="18"/>
              </w:rPr>
              <w:t>c</w:t>
            </w:r>
            <w:r w:rsidRPr="00683FF0">
              <w:rPr>
                <w:rFonts w:eastAsia="Times New Roman" w:cstheme="minorHAnsi"/>
                <w:szCs w:val="18"/>
              </w:rPr>
              <w:t>hapter 9</w:t>
            </w:r>
            <w:r w:rsidR="005E67AA" w:rsidRPr="00683FF0">
              <w:rPr>
                <w:rFonts w:eastAsia="Times New Roman" w:cstheme="minorHAnsi"/>
                <w:szCs w:val="18"/>
              </w:rPr>
              <w:t>:</w:t>
            </w:r>
            <w:r w:rsidRPr="00683FF0">
              <w:rPr>
                <w:rFonts w:eastAsia="Times New Roman" w:cstheme="minorHAnsi"/>
                <w:szCs w:val="18"/>
              </w:rPr>
              <w:t xml:space="preserve"> Circular economy and bioeconomy</w:t>
            </w:r>
            <w:r w:rsidR="00522C12" w:rsidRPr="00683FF0">
              <w:rPr>
                <w:rFonts w:eastAsia="Times New Roman" w:cstheme="minorHAnsi"/>
                <w:szCs w:val="18"/>
              </w:rPr>
              <w:t>,</w:t>
            </w:r>
            <w:r w:rsidRPr="00683FF0">
              <w:rPr>
                <w:rFonts w:eastAsia="Times New Roman" w:cstheme="minorHAnsi"/>
                <w:szCs w:val="18"/>
              </w:rPr>
              <w:t xml:space="preserve"> </w:t>
            </w:r>
            <w:r w:rsidR="00522C12" w:rsidRPr="00683FF0">
              <w:rPr>
                <w:rFonts w:eastAsia="Times New Roman" w:cstheme="minorHAnsi"/>
                <w:szCs w:val="18"/>
              </w:rPr>
              <w:t>a</w:t>
            </w:r>
            <w:r w:rsidRPr="00683FF0">
              <w:rPr>
                <w:rFonts w:eastAsia="Times New Roman" w:cstheme="minorHAnsi"/>
                <w:szCs w:val="18"/>
              </w:rPr>
              <w:t xml:space="preserve">ctions </w:t>
            </w:r>
            <w:r w:rsidR="00FF72C9" w:rsidRPr="00683FF0">
              <w:rPr>
                <w:rFonts w:eastAsia="Times New Roman" w:cstheme="minorHAnsi"/>
                <w:szCs w:val="18"/>
              </w:rPr>
              <w:t>9.</w:t>
            </w:r>
            <w:r w:rsidRPr="00683FF0">
              <w:rPr>
                <w:rFonts w:eastAsia="Times New Roman" w:cstheme="minorHAnsi"/>
                <w:szCs w:val="18"/>
              </w:rPr>
              <w:t>1</w:t>
            </w:r>
            <w:r w:rsidR="00522C12" w:rsidRPr="00683FF0">
              <w:rPr>
                <w:rFonts w:eastAsia="Times New Roman" w:cstheme="minorHAnsi"/>
                <w:szCs w:val="18"/>
              </w:rPr>
              <w:t xml:space="preserve">, </w:t>
            </w:r>
            <w:r w:rsidR="00FF72C9" w:rsidRPr="00683FF0">
              <w:rPr>
                <w:rFonts w:eastAsia="Times New Roman" w:cstheme="minorHAnsi"/>
                <w:szCs w:val="18"/>
              </w:rPr>
              <w:t>9.</w:t>
            </w:r>
            <w:r w:rsidRPr="00683FF0">
              <w:rPr>
                <w:rFonts w:eastAsia="Times New Roman" w:cstheme="minorHAnsi"/>
                <w:szCs w:val="18"/>
              </w:rPr>
              <w:t>7).</w:t>
            </w:r>
          </w:p>
        </w:tc>
      </w:tr>
      <w:tr w:rsidR="00021855" w:rsidRPr="00683FF0" w14:paraId="6139FC59" w14:textId="77777777" w:rsidTr="009A2BED">
        <w:tc>
          <w:tcPr>
            <w:tcW w:w="4508" w:type="dxa"/>
            <w:shd w:val="clear" w:color="auto" w:fill="FFFFFF" w:themeFill="background1"/>
          </w:tcPr>
          <w:p w14:paraId="451A1AFA" w14:textId="77777777" w:rsidR="00021855" w:rsidRPr="00683FF0" w:rsidRDefault="00021855" w:rsidP="002674D5">
            <w:pPr>
              <w:rPr>
                <w:sz w:val="18"/>
                <w:szCs w:val="18"/>
              </w:rPr>
            </w:pPr>
          </w:p>
        </w:tc>
        <w:tc>
          <w:tcPr>
            <w:tcW w:w="4508" w:type="dxa"/>
            <w:shd w:val="clear" w:color="auto" w:fill="FFFFFF" w:themeFill="background1"/>
          </w:tcPr>
          <w:p w14:paraId="211AC480" w14:textId="07ADCF85" w:rsidR="00021855" w:rsidRPr="00683FF0" w:rsidRDefault="00021855" w:rsidP="009A2BED">
            <w:pPr>
              <w:pStyle w:val="TableText"/>
            </w:pPr>
            <w:r w:rsidRPr="00683FF0">
              <w:rPr>
                <w:b/>
                <w:bCs/>
              </w:rPr>
              <w:t>Responsible agency:</w:t>
            </w:r>
            <w:r w:rsidRPr="00683FF0">
              <w:t xml:space="preserve"> Ministry </w:t>
            </w:r>
            <w:r w:rsidR="00031DC1" w:rsidRPr="00683FF0">
              <w:t>of</w:t>
            </w:r>
            <w:r w:rsidRPr="00683FF0">
              <w:t xml:space="preserve"> Business, Innovation </w:t>
            </w:r>
            <w:r w:rsidR="00591D68" w:rsidRPr="00683FF0">
              <w:t xml:space="preserve">and </w:t>
            </w:r>
            <w:r w:rsidRPr="00683FF0">
              <w:t>Employment</w:t>
            </w:r>
          </w:p>
          <w:p w14:paraId="1AF11DFF" w14:textId="1805639F" w:rsidR="00021855" w:rsidRPr="00683FF0" w:rsidRDefault="00021855" w:rsidP="005D20B5">
            <w:pPr>
              <w:pStyle w:val="TableText"/>
              <w:spacing w:before="0"/>
            </w:pPr>
            <w:r w:rsidRPr="00683FF0">
              <w:rPr>
                <w:b/>
                <w:bCs/>
              </w:rPr>
              <w:t>Responsible Minister</w:t>
            </w:r>
            <w:r w:rsidR="00591D68" w:rsidRPr="00683FF0">
              <w:rPr>
                <w:b/>
                <w:bCs/>
              </w:rPr>
              <w:t>s</w:t>
            </w:r>
            <w:r w:rsidRPr="00683FF0">
              <w:rPr>
                <w:b/>
                <w:bCs/>
              </w:rPr>
              <w:t>:</w:t>
            </w:r>
            <w:r w:rsidRPr="00683FF0">
              <w:t xml:space="preserve"> Ministers </w:t>
            </w:r>
            <w:r w:rsidR="009446D5" w:rsidRPr="00683FF0">
              <w:t xml:space="preserve">of </w:t>
            </w:r>
            <w:r w:rsidRPr="00683FF0">
              <w:t>Economic and Regional Development</w:t>
            </w:r>
            <w:r w:rsidR="004C095F" w:rsidRPr="00683FF0">
              <w:t>,</w:t>
            </w:r>
            <w:r w:rsidRPr="00683FF0">
              <w:t xml:space="preserve"> Energy and Resources</w:t>
            </w:r>
          </w:p>
          <w:p w14:paraId="1589C43C" w14:textId="6BA01539" w:rsidR="00021855" w:rsidRPr="00683FF0" w:rsidRDefault="00021855" w:rsidP="005D20B5">
            <w:pPr>
              <w:pStyle w:val="TableText"/>
              <w:spacing w:before="0"/>
            </w:pPr>
            <w:r w:rsidRPr="00683FF0">
              <w:rPr>
                <w:b/>
                <w:bCs/>
              </w:rPr>
              <w:t>Timeline</w:t>
            </w:r>
            <w:r w:rsidRPr="00683FF0">
              <w:t>: 2022</w:t>
            </w:r>
            <w:r w:rsidR="00314949" w:rsidRPr="00683FF0">
              <w:t>–</w:t>
            </w:r>
            <w:r w:rsidRPr="00683FF0">
              <w:t>25 (EB1) subject to Cabinet agreement</w:t>
            </w:r>
          </w:p>
        </w:tc>
      </w:tr>
    </w:tbl>
    <w:p w14:paraId="12AE75E0" w14:textId="77777777" w:rsidR="00AB6168" w:rsidRPr="00683FF0" w:rsidRDefault="00AB6168" w:rsidP="007D7396"/>
    <w:p w14:paraId="19D79CA5" w14:textId="77777777" w:rsidR="00641AE0" w:rsidRPr="00683FF0" w:rsidRDefault="00641AE0" w:rsidP="009A2BED">
      <w:pPr>
        <w:pStyle w:val="BodyText"/>
      </w:pPr>
      <w:r w:rsidRPr="00683FF0">
        <w:br w:type="page"/>
      </w:r>
    </w:p>
    <w:p w14:paraId="589F1345" w14:textId="40911B78" w:rsidR="00AB6168" w:rsidRPr="00683FF0" w:rsidRDefault="00AB6168" w:rsidP="001E2BCF">
      <w:pPr>
        <w:pStyle w:val="Heading2"/>
        <w:spacing w:after="240"/>
      </w:pPr>
      <w:bookmarkStart w:id="33" w:name="_Toc103175832"/>
      <w:bookmarkStart w:id="34" w:name="_Toc103778795"/>
      <w:r w:rsidRPr="00683FF0">
        <w:lastRenderedPageBreak/>
        <w:t>Enable emissions reductions through changes to urban form, function and development</w:t>
      </w:r>
      <w:bookmarkEnd w:id="33"/>
      <w:bookmarkEnd w:id="34"/>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1E2BCF" w:rsidRPr="00683FF0" w14:paraId="1649B768" w14:textId="77777777" w:rsidTr="001E2BCF">
        <w:trPr>
          <w:tblHeader/>
        </w:trPr>
        <w:tc>
          <w:tcPr>
            <w:tcW w:w="4508" w:type="dxa"/>
            <w:tcBorders>
              <w:top w:val="single" w:sz="4" w:space="0" w:color="1B556B" w:themeColor="text2"/>
              <w:bottom w:val="nil"/>
            </w:tcBorders>
            <w:shd w:val="clear" w:color="auto" w:fill="1B556B" w:themeFill="text2"/>
            <w:vAlign w:val="center"/>
          </w:tcPr>
          <w:p w14:paraId="52CA59DC" w14:textId="15A5A81F" w:rsidR="00BE781F" w:rsidRPr="00683FF0" w:rsidRDefault="00BE781F" w:rsidP="001E2BCF">
            <w:pPr>
              <w:pStyle w:val="TableTextbold"/>
              <w:rPr>
                <w:color w:val="FFFFFF" w:themeColor="background1"/>
              </w:rPr>
            </w:pPr>
            <w:r w:rsidRPr="00683FF0">
              <w:rPr>
                <w:color w:val="FFFFFF" w:themeColor="background1"/>
              </w:rPr>
              <w:t xml:space="preserve">Report </w:t>
            </w:r>
            <w:r w:rsidR="00314949"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37E639F1" w14:textId="0F2F6829" w:rsidR="00BE781F" w:rsidRPr="00683FF0" w:rsidRDefault="00BE781F" w:rsidP="001E2BCF">
            <w:pPr>
              <w:pStyle w:val="TableTextbold"/>
              <w:rPr>
                <w:color w:val="FFFFFF" w:themeColor="background1"/>
              </w:rPr>
            </w:pPr>
            <w:r w:rsidRPr="00683FF0">
              <w:rPr>
                <w:color w:val="FFFFFF" w:themeColor="background1"/>
              </w:rPr>
              <w:t xml:space="preserve">Government </w:t>
            </w:r>
            <w:r w:rsidR="00314949" w:rsidRPr="00683FF0">
              <w:rPr>
                <w:color w:val="FFFFFF" w:themeColor="background1"/>
              </w:rPr>
              <w:t>r</w:t>
            </w:r>
            <w:r w:rsidRPr="00683FF0">
              <w:rPr>
                <w:color w:val="FFFFFF" w:themeColor="background1"/>
              </w:rPr>
              <w:t>esponse</w:t>
            </w:r>
          </w:p>
        </w:tc>
      </w:tr>
      <w:tr w:rsidR="00BE781F" w:rsidRPr="00683FF0" w14:paraId="63B1F394" w14:textId="77777777" w:rsidTr="001E2BCF">
        <w:tc>
          <w:tcPr>
            <w:tcW w:w="4508" w:type="dxa"/>
            <w:tcBorders>
              <w:top w:val="nil"/>
            </w:tcBorders>
            <w:shd w:val="clear" w:color="auto" w:fill="auto"/>
          </w:tcPr>
          <w:p w14:paraId="250DD6FE" w14:textId="28BB9788" w:rsidR="00BE781F" w:rsidRPr="00683FF0" w:rsidRDefault="00BE781F" w:rsidP="005D20B5">
            <w:pPr>
              <w:pStyle w:val="TableTextbold"/>
              <w:spacing w:after="0"/>
            </w:pPr>
            <w:r w:rsidRPr="00683FF0">
              <w:t xml:space="preserve">Recommendation 16 </w:t>
            </w:r>
            <w:r w:rsidR="007E7B53" w:rsidRPr="00683FF0">
              <w:t xml:space="preserve">– </w:t>
            </w:r>
            <w:r w:rsidRPr="00683FF0">
              <w:t>Enable emissions reductions through changes to urban form, function and development</w:t>
            </w:r>
          </w:p>
          <w:p w14:paraId="1EFD8952" w14:textId="1490EDEA" w:rsidR="00BE781F" w:rsidRPr="00683FF0" w:rsidRDefault="00BE781F" w:rsidP="001E2BCF">
            <w:pPr>
              <w:pStyle w:val="TableText"/>
            </w:pPr>
            <w:r w:rsidRPr="00683FF0">
              <w:t>We recommend that, in the first emissions reduction plan, the Government commit to: Enabling emissions reductions through changes to urban form, function and development. This should include:</w:t>
            </w:r>
          </w:p>
        </w:tc>
        <w:tc>
          <w:tcPr>
            <w:tcW w:w="4508" w:type="dxa"/>
            <w:tcBorders>
              <w:top w:val="nil"/>
            </w:tcBorders>
            <w:shd w:val="clear" w:color="auto" w:fill="auto"/>
          </w:tcPr>
          <w:p w14:paraId="7F89C75B" w14:textId="77777777" w:rsidR="00BE781F" w:rsidRPr="00683FF0" w:rsidRDefault="00BE781F" w:rsidP="00A2543F">
            <w:pPr>
              <w:rPr>
                <w:sz w:val="18"/>
                <w:szCs w:val="18"/>
              </w:rPr>
            </w:pPr>
          </w:p>
        </w:tc>
      </w:tr>
      <w:tr w:rsidR="00BE781F" w:rsidRPr="00683FF0" w14:paraId="6A36FA20" w14:textId="77777777" w:rsidTr="001E2BCF">
        <w:tc>
          <w:tcPr>
            <w:tcW w:w="4508" w:type="dxa"/>
            <w:shd w:val="clear" w:color="auto" w:fill="FFFFFF" w:themeFill="background1"/>
          </w:tcPr>
          <w:p w14:paraId="16BB4D17" w14:textId="5B9114EF" w:rsidR="00BE781F" w:rsidRPr="00683FF0" w:rsidRDefault="00BE781F" w:rsidP="001E2BCF">
            <w:pPr>
              <w:pStyle w:val="TableText"/>
            </w:pPr>
            <w:r w:rsidRPr="00683FF0">
              <w:t>16.1. Developing a policy approach in partnership with Iwi/Māori to ensure well-integrated planning and policies related to urban form, function and development. This approach must also be developed in active collaboration with local councils and communities.</w:t>
            </w:r>
          </w:p>
        </w:tc>
        <w:tc>
          <w:tcPr>
            <w:tcW w:w="4508" w:type="dxa"/>
            <w:shd w:val="clear" w:color="auto" w:fill="FFFFFF" w:themeFill="background1"/>
          </w:tcPr>
          <w:p w14:paraId="51552E22" w14:textId="10DE67AF" w:rsidR="00F06E85" w:rsidRPr="00683FF0" w:rsidRDefault="00235F4C" w:rsidP="001E2BCF">
            <w:pPr>
              <w:pStyle w:val="TableText"/>
            </w:pPr>
            <w:r w:rsidRPr="00683FF0">
              <w:t xml:space="preserve">16.1. </w:t>
            </w:r>
            <w:r w:rsidR="472D26F7" w:rsidRPr="00683FF0">
              <w:t>The Government agrees with this recommendation.</w:t>
            </w:r>
            <w:r w:rsidR="00436AC1" w:rsidRPr="00683FF0">
              <w:t xml:space="preserve"> </w:t>
            </w:r>
            <w:r w:rsidR="008A0473" w:rsidRPr="00683FF0">
              <w:t xml:space="preserve">The </w:t>
            </w:r>
            <w:r w:rsidR="00354F9B" w:rsidRPr="00683FF0">
              <w:t>Government will</w:t>
            </w:r>
            <w:r w:rsidR="00FC3F29" w:rsidRPr="00683FF0">
              <w:t xml:space="preserve"> take the following actions.</w:t>
            </w:r>
          </w:p>
          <w:p w14:paraId="35A6B7CD" w14:textId="19A29CAE" w:rsidR="00F06E85" w:rsidRPr="00683FF0" w:rsidRDefault="4FE14B3F" w:rsidP="001E2BCF">
            <w:pPr>
              <w:pStyle w:val="TableBullet"/>
            </w:pPr>
            <w:r w:rsidRPr="00683FF0">
              <w:t>E</w:t>
            </w:r>
            <w:r w:rsidR="0AD60B77" w:rsidRPr="00683FF0">
              <w:t>mbed climate objectives into new land use planning legislation</w:t>
            </w:r>
            <w:r w:rsidR="00C1630D" w:rsidRPr="00683FF0">
              <w:t xml:space="preserve"> </w:t>
            </w:r>
            <w:r w:rsidR="0AD60B77" w:rsidRPr="00683FF0">
              <w:t>through resource management reforms. Te Oranga o Te Taiao is signalled to be in the proposed Natural and Built Environments Act. New entities (joint committees with central and local government and iwi/Māori representation) will be established to oversee the development of regional plans and strategies</w:t>
            </w:r>
            <w:r w:rsidR="00FC3F29" w:rsidRPr="00683FF0">
              <w:t>.</w:t>
            </w:r>
            <w:r w:rsidR="24911CC2" w:rsidRPr="00683FF0">
              <w:t xml:space="preserve"> </w:t>
            </w:r>
          </w:p>
          <w:p w14:paraId="2DAA7FE4" w14:textId="72A68C9E" w:rsidR="00F06E85" w:rsidRPr="00683FF0" w:rsidRDefault="0AD60B77" w:rsidP="001E2BCF">
            <w:pPr>
              <w:pStyle w:val="TableBullet"/>
            </w:pPr>
            <w:r w:rsidRPr="00683FF0">
              <w:t>Integrate land use planning, urban development and transport planning and investments to reduce transport emissions</w:t>
            </w:r>
            <w:r w:rsidR="00FC3F29" w:rsidRPr="00683FF0">
              <w:t>.</w:t>
            </w:r>
          </w:p>
          <w:p w14:paraId="2F5BD0BE" w14:textId="2EC270AF" w:rsidR="00F06E85" w:rsidRPr="00683FF0" w:rsidRDefault="0AD60B77" w:rsidP="001E2BCF">
            <w:pPr>
              <w:pStyle w:val="TableBullet"/>
            </w:pPr>
            <w:r w:rsidRPr="00683FF0">
              <w:t xml:space="preserve">Accelerate emissions reductions and climate resilience </w:t>
            </w:r>
            <w:r w:rsidR="00FC3F29" w:rsidRPr="00683FF0">
              <w:t>by</w:t>
            </w:r>
            <w:r w:rsidRPr="00683FF0">
              <w:t xml:space="preserve"> implement</w:t>
            </w:r>
            <w:r w:rsidR="00FC3F29" w:rsidRPr="00683FF0">
              <w:t>ing</w:t>
            </w:r>
            <w:r w:rsidRPr="00683FF0">
              <w:t xml:space="preserve"> existing urban development and housing policies and work programmes, including Urban Growth Partnerships (with central and local government</w:t>
            </w:r>
            <w:r w:rsidR="0E266616" w:rsidRPr="00683FF0">
              <w:t>,</w:t>
            </w:r>
            <w:r w:rsidRPr="00683FF0">
              <w:t xml:space="preserve"> and iwi), Government Policy Statement</w:t>
            </w:r>
            <w:r w:rsidR="00235F4C" w:rsidRPr="00683FF0">
              <w:t xml:space="preserve"> on </w:t>
            </w:r>
            <w:r w:rsidRPr="00683FF0">
              <w:t>Housing and Urban Development, and MAIHI Ka Ora</w:t>
            </w:r>
            <w:r w:rsidR="002B65F3" w:rsidRPr="00683FF0">
              <w:t xml:space="preserve"> (the National Māori Housing Strategy)</w:t>
            </w:r>
            <w:r w:rsidR="00FC3F29" w:rsidRPr="00683FF0">
              <w:t>.</w:t>
            </w:r>
            <w:r w:rsidRPr="00683FF0">
              <w:t xml:space="preserve"> </w:t>
            </w:r>
          </w:p>
          <w:p w14:paraId="2A892401" w14:textId="131DA18E" w:rsidR="00354F9B" w:rsidRPr="00683FF0" w:rsidRDefault="00354F9B" w:rsidP="001E2BCF">
            <w:pPr>
              <w:pStyle w:val="TableText"/>
              <w:rPr>
                <w:szCs w:val="18"/>
              </w:rPr>
            </w:pPr>
            <w:r w:rsidRPr="00683FF0">
              <w:t xml:space="preserve">The </w:t>
            </w:r>
            <w:r w:rsidR="002B65F3" w:rsidRPr="00683FF0">
              <w:t>G</w:t>
            </w:r>
            <w:r w:rsidRPr="00683FF0">
              <w:t xml:space="preserve">overnment is committed to partnerships with Māori. Partnership will take time and </w:t>
            </w:r>
            <w:r w:rsidR="2107B9F8" w:rsidRPr="00683FF0">
              <w:t xml:space="preserve">appropriate structures </w:t>
            </w:r>
            <w:r w:rsidRPr="00683FF0">
              <w:t>to be effective</w:t>
            </w:r>
            <w:r w:rsidR="002B65F3" w:rsidRPr="00683FF0">
              <w:t xml:space="preserve"> </w:t>
            </w:r>
            <w:r w:rsidR="00F06E85" w:rsidRPr="00683FF0">
              <w:t>(</w:t>
            </w:r>
            <w:r w:rsidR="002B65F3" w:rsidRPr="00683FF0">
              <w:t>c</w:t>
            </w:r>
            <w:r w:rsidR="00F06E85" w:rsidRPr="00683FF0">
              <w:t xml:space="preserve">hapter </w:t>
            </w:r>
            <w:r w:rsidR="006214CE" w:rsidRPr="00683FF0">
              <w:t>7</w:t>
            </w:r>
            <w:r w:rsidR="002B65F3" w:rsidRPr="00683FF0">
              <w:t>:</w:t>
            </w:r>
            <w:r w:rsidR="00F06E85" w:rsidRPr="00683FF0">
              <w:t xml:space="preserve"> Planning and infrastructure</w:t>
            </w:r>
            <w:r w:rsidR="00143EE5" w:rsidRPr="00683FF0">
              <w:t>,</w:t>
            </w:r>
            <w:r w:rsidR="00F06E85" w:rsidRPr="00683FF0">
              <w:t xml:space="preserve"> </w:t>
            </w:r>
            <w:r w:rsidR="00143EE5" w:rsidRPr="00683FF0">
              <w:t>a</w:t>
            </w:r>
            <w:r w:rsidR="00F06E85" w:rsidRPr="00683FF0">
              <w:t xml:space="preserve">ctions </w:t>
            </w:r>
            <w:r w:rsidR="00FF72C9" w:rsidRPr="00683FF0">
              <w:t>7.</w:t>
            </w:r>
            <w:r w:rsidR="00F06E85" w:rsidRPr="00683FF0">
              <w:t>1</w:t>
            </w:r>
            <w:r w:rsidR="00143EE5" w:rsidRPr="00683FF0">
              <w:t>,</w:t>
            </w:r>
            <w:r w:rsidR="00F06E85" w:rsidRPr="00683FF0">
              <w:t xml:space="preserve"> </w:t>
            </w:r>
            <w:r w:rsidR="00FF72C9" w:rsidRPr="00683FF0">
              <w:t>7.</w:t>
            </w:r>
            <w:r w:rsidR="00F06E85" w:rsidRPr="00683FF0">
              <w:t>2).</w:t>
            </w:r>
          </w:p>
        </w:tc>
      </w:tr>
      <w:tr w:rsidR="00BE781F" w:rsidRPr="00683FF0" w14:paraId="0C283A0E" w14:textId="77777777" w:rsidTr="001E2BCF">
        <w:tc>
          <w:tcPr>
            <w:tcW w:w="4508" w:type="dxa"/>
            <w:shd w:val="clear" w:color="auto" w:fill="FFFFFF" w:themeFill="background1"/>
          </w:tcPr>
          <w:p w14:paraId="5A268D91" w14:textId="1739CA3F" w:rsidR="00BE781F" w:rsidRPr="00683FF0" w:rsidRDefault="00BE781F" w:rsidP="001E2BCF">
            <w:pPr>
              <w:pStyle w:val="TableText"/>
            </w:pPr>
            <w:r w:rsidRPr="00683FF0">
              <w:t>16.2. Promoting urban design solutions that acknowledge Iwi/Māori whakapapa, identity and tūrangawaewae and the need to preserve and protect their wāhi tap</w:t>
            </w:r>
            <w:r w:rsidR="00143EE5" w:rsidRPr="00683FF0">
              <w:t>u</w:t>
            </w:r>
            <w:r w:rsidRPr="00683FF0">
              <w:t xml:space="preserve"> and sites of cultural significance.</w:t>
            </w:r>
          </w:p>
        </w:tc>
        <w:tc>
          <w:tcPr>
            <w:tcW w:w="4508" w:type="dxa"/>
            <w:shd w:val="clear" w:color="auto" w:fill="FFFFFF" w:themeFill="background1"/>
          </w:tcPr>
          <w:p w14:paraId="2A06327A" w14:textId="4730AE3B" w:rsidR="00F06E85" w:rsidRPr="00683FF0" w:rsidRDefault="007B1D0A" w:rsidP="001E2BCF">
            <w:pPr>
              <w:pStyle w:val="TableText"/>
            </w:pPr>
            <w:r w:rsidRPr="00683FF0">
              <w:t xml:space="preserve">16.2. </w:t>
            </w:r>
            <w:r w:rsidR="00D22E2C" w:rsidRPr="00683FF0">
              <w:t xml:space="preserve">The Government agrees with this recommendation. </w:t>
            </w:r>
            <w:r w:rsidR="00C34287" w:rsidRPr="00683FF0">
              <w:t xml:space="preserve">The </w:t>
            </w:r>
            <w:r w:rsidR="00F06E85" w:rsidRPr="00683FF0">
              <w:t>Government will:</w:t>
            </w:r>
          </w:p>
          <w:p w14:paraId="613467F1" w14:textId="3618D7E0" w:rsidR="00F06E85" w:rsidRPr="00683FF0" w:rsidRDefault="00F06E85" w:rsidP="001E2BCF">
            <w:pPr>
              <w:pStyle w:val="TableBullet"/>
            </w:pPr>
            <w:r w:rsidRPr="00683FF0">
              <w:t>incorporate mātauranga Māori in the decision-making framework of the Natural and Built Environments Act. This will enable any future urban design guidance to incorporate Māori whakapapa, identity and tūrangawaewae and the need to protect wāhi tap</w:t>
            </w:r>
            <w:r w:rsidR="00143EE5" w:rsidRPr="00683FF0">
              <w:t>u</w:t>
            </w:r>
            <w:r w:rsidRPr="00683FF0">
              <w:t xml:space="preserve"> </w:t>
            </w:r>
          </w:p>
          <w:p w14:paraId="1411DBC1" w14:textId="08FF4F14" w:rsidR="00F06E85" w:rsidRPr="00683FF0" w:rsidRDefault="00F06E85" w:rsidP="001E2BCF">
            <w:pPr>
              <w:pStyle w:val="TableBullet"/>
              <w:rPr>
                <w:szCs w:val="18"/>
              </w:rPr>
            </w:pPr>
            <w:r w:rsidRPr="00683FF0">
              <w:t>continue to develop a national medium</w:t>
            </w:r>
            <w:r w:rsidR="005B22E4" w:rsidRPr="00683FF0">
              <w:t>-</w:t>
            </w:r>
            <w:r w:rsidRPr="00683FF0">
              <w:t xml:space="preserve">density design guide to support the implementation of the Resource Management (Enabling Housing Supply and </w:t>
            </w:r>
            <w:r w:rsidR="005B22E4" w:rsidRPr="00683FF0">
              <w:t>O</w:t>
            </w:r>
            <w:r w:rsidRPr="00683FF0">
              <w:t xml:space="preserve">ther Matters) Amendment Act </w:t>
            </w:r>
            <w:r w:rsidR="00A7159B" w:rsidRPr="00683FF0">
              <w:t xml:space="preserve">2021 </w:t>
            </w:r>
            <w:r w:rsidRPr="00683FF0">
              <w:t>in consultation with local government, Māori and industry stakeholders</w:t>
            </w:r>
            <w:r w:rsidR="00143EE5" w:rsidRPr="00683FF0">
              <w:t xml:space="preserve"> </w:t>
            </w:r>
            <w:r w:rsidRPr="00683FF0">
              <w:t>(</w:t>
            </w:r>
            <w:r w:rsidR="00143EE5" w:rsidRPr="00683FF0">
              <w:t>c</w:t>
            </w:r>
            <w:r w:rsidRPr="00683FF0">
              <w:t xml:space="preserve">hapter </w:t>
            </w:r>
            <w:r w:rsidR="006214CE" w:rsidRPr="00683FF0">
              <w:t>7</w:t>
            </w:r>
            <w:r w:rsidR="00143EE5" w:rsidRPr="00683FF0">
              <w:t>:</w:t>
            </w:r>
            <w:r w:rsidRPr="00683FF0">
              <w:t xml:space="preserve"> Planning and infrastructure</w:t>
            </w:r>
            <w:r w:rsidR="00143EE5" w:rsidRPr="00683FF0">
              <w:t>,</w:t>
            </w:r>
            <w:r w:rsidRPr="00683FF0">
              <w:t xml:space="preserve"> </w:t>
            </w:r>
            <w:r w:rsidR="00143EE5" w:rsidRPr="00683FF0">
              <w:t>a</w:t>
            </w:r>
            <w:r w:rsidRPr="00683FF0">
              <w:t xml:space="preserve">ctions </w:t>
            </w:r>
            <w:r w:rsidR="00FF72C9" w:rsidRPr="00683FF0">
              <w:t>7.1</w:t>
            </w:r>
            <w:r w:rsidR="00143EE5" w:rsidRPr="00683FF0">
              <w:t>,</w:t>
            </w:r>
            <w:r w:rsidRPr="00683FF0">
              <w:t xml:space="preserve"> </w:t>
            </w:r>
            <w:r w:rsidR="00FF72C9" w:rsidRPr="00683FF0">
              <w:t>7.</w:t>
            </w:r>
            <w:r w:rsidRPr="00683FF0">
              <w:t>2).</w:t>
            </w:r>
          </w:p>
        </w:tc>
      </w:tr>
      <w:tr w:rsidR="00BE781F" w:rsidRPr="00683FF0" w14:paraId="6A6D0BB8" w14:textId="77777777" w:rsidTr="001E2BCF">
        <w:tc>
          <w:tcPr>
            <w:tcW w:w="4508" w:type="dxa"/>
            <w:shd w:val="clear" w:color="auto" w:fill="FFFFFF" w:themeFill="background1"/>
          </w:tcPr>
          <w:p w14:paraId="7E47F4BD" w14:textId="411FBCBA" w:rsidR="00BE781F" w:rsidRPr="00683FF0" w:rsidRDefault="00BE781F" w:rsidP="001E2BCF">
            <w:pPr>
              <w:pStyle w:val="TableText"/>
            </w:pPr>
            <w:r w:rsidRPr="00683FF0">
              <w:lastRenderedPageBreak/>
              <w:t>16.3. Developing a consistent approach to quantifying the emissions impacts of urban development decisions. Use this to continually improve the way emissions consequences are integrated into decision making on land use, transport and infrastructure investments.</w:t>
            </w:r>
          </w:p>
        </w:tc>
        <w:tc>
          <w:tcPr>
            <w:tcW w:w="4508" w:type="dxa"/>
            <w:shd w:val="clear" w:color="auto" w:fill="FFFFFF" w:themeFill="background1"/>
          </w:tcPr>
          <w:p w14:paraId="059AF6B3" w14:textId="43623E9B" w:rsidR="00363578" w:rsidRPr="00683FF0" w:rsidRDefault="007B1D0A" w:rsidP="001E2BCF">
            <w:pPr>
              <w:pStyle w:val="TableText"/>
            </w:pPr>
            <w:r w:rsidRPr="00683FF0">
              <w:t xml:space="preserve">16.3. </w:t>
            </w:r>
            <w:r w:rsidR="00D22E2C" w:rsidRPr="00683FF0">
              <w:t xml:space="preserve">The Government agrees with this recommendation. </w:t>
            </w:r>
            <w:r w:rsidR="00F06E85" w:rsidRPr="00683FF0">
              <w:t xml:space="preserve">The </w:t>
            </w:r>
            <w:r w:rsidR="00FD74DA" w:rsidRPr="00683FF0">
              <w:t xml:space="preserve">emissions reduction plan </w:t>
            </w:r>
            <w:r w:rsidR="00F06E85" w:rsidRPr="00683FF0">
              <w:t>includes actions to:</w:t>
            </w:r>
            <w:r w:rsidR="00363578" w:rsidRPr="00683FF0">
              <w:t xml:space="preserve"> </w:t>
            </w:r>
          </w:p>
          <w:p w14:paraId="2D81ABB8" w14:textId="2B088D09" w:rsidR="00363578" w:rsidRPr="00683FF0" w:rsidRDefault="00F06E85" w:rsidP="001E2BCF">
            <w:pPr>
              <w:pStyle w:val="TableBullet"/>
            </w:pPr>
            <w:r w:rsidRPr="00683FF0">
              <w:t>review existing tools and methodologies, and develop new tools, to establish a nationally consistent emissions measurement toolkit to assist decision making on urban and infrastructure development</w:t>
            </w:r>
          </w:p>
          <w:p w14:paraId="2984E5B5" w14:textId="26A0F483" w:rsidR="00363578" w:rsidRPr="00683FF0" w:rsidRDefault="00F06E85" w:rsidP="001E2BCF">
            <w:pPr>
              <w:pStyle w:val="TableBullet"/>
              <w:rPr>
                <w:szCs w:val="18"/>
              </w:rPr>
            </w:pPr>
            <w:r w:rsidRPr="00683FF0">
              <w:t>develop tools to assess transport emissions from proposed urban developments, and to require transport emissions impact assessments for transport projects and major urban developments</w:t>
            </w:r>
            <w:r w:rsidR="008A0473" w:rsidRPr="00683FF0">
              <w:rPr>
                <w:sz w:val="14"/>
                <w:szCs w:val="14"/>
              </w:rPr>
              <w:t xml:space="preserve"> </w:t>
            </w:r>
            <w:r w:rsidR="00363578" w:rsidRPr="00683FF0">
              <w:t>(</w:t>
            </w:r>
            <w:r w:rsidR="005B22E4" w:rsidRPr="00683FF0">
              <w:t>c</w:t>
            </w:r>
            <w:r w:rsidR="00363578" w:rsidRPr="00683FF0">
              <w:t xml:space="preserve">hapter </w:t>
            </w:r>
            <w:r w:rsidR="006214CE" w:rsidRPr="00683FF0">
              <w:t>7</w:t>
            </w:r>
            <w:r w:rsidR="005B22E4" w:rsidRPr="00683FF0">
              <w:t>:</w:t>
            </w:r>
            <w:r w:rsidR="00363578" w:rsidRPr="00683FF0">
              <w:t xml:space="preserve"> Planning and infrastructure</w:t>
            </w:r>
            <w:r w:rsidR="005B22E4" w:rsidRPr="00683FF0">
              <w:t>,</w:t>
            </w:r>
            <w:r w:rsidR="00363578" w:rsidRPr="00683FF0">
              <w:t xml:space="preserve"> </w:t>
            </w:r>
            <w:r w:rsidR="005B22E4" w:rsidRPr="00683FF0">
              <w:t>a</w:t>
            </w:r>
            <w:r w:rsidR="00363578" w:rsidRPr="00683FF0">
              <w:t xml:space="preserve">ction </w:t>
            </w:r>
            <w:r w:rsidR="00FF72C9" w:rsidRPr="00683FF0">
              <w:t>7.</w:t>
            </w:r>
            <w:r w:rsidR="00363578" w:rsidRPr="00683FF0">
              <w:t>4</w:t>
            </w:r>
            <w:r w:rsidR="005B22E4" w:rsidRPr="00683FF0">
              <w:t>;</w:t>
            </w:r>
            <w:r w:rsidR="00363578" w:rsidRPr="00683FF0">
              <w:t xml:space="preserve"> </w:t>
            </w:r>
            <w:r w:rsidR="005B22E4" w:rsidRPr="00683FF0">
              <w:t>c</w:t>
            </w:r>
            <w:r w:rsidR="00363578" w:rsidRPr="00683FF0">
              <w:t>hapter 1</w:t>
            </w:r>
            <w:r w:rsidR="006214CE" w:rsidRPr="00683FF0">
              <w:t>0</w:t>
            </w:r>
            <w:r w:rsidR="005B22E4" w:rsidRPr="00683FF0">
              <w:t>:</w:t>
            </w:r>
            <w:r w:rsidR="00363578" w:rsidRPr="00683FF0">
              <w:t xml:space="preserve"> Transport</w:t>
            </w:r>
            <w:r w:rsidR="005B22E4" w:rsidRPr="00683FF0">
              <w:t>,</w:t>
            </w:r>
            <w:r w:rsidR="00363578" w:rsidRPr="00683FF0">
              <w:t xml:space="preserve"> </w:t>
            </w:r>
            <w:r w:rsidR="005B22E4" w:rsidRPr="00683FF0">
              <w:t>a</w:t>
            </w:r>
            <w:r w:rsidR="00363578" w:rsidRPr="00683FF0">
              <w:t xml:space="preserve">ction </w:t>
            </w:r>
            <w:r w:rsidR="00FF72C9" w:rsidRPr="00683FF0">
              <w:t>10.</w:t>
            </w:r>
            <w:r w:rsidR="00363578" w:rsidRPr="00683FF0">
              <w:t>1.2A).</w:t>
            </w:r>
          </w:p>
        </w:tc>
      </w:tr>
      <w:tr w:rsidR="00363578" w:rsidRPr="00683FF0" w14:paraId="22701EED" w14:textId="77777777" w:rsidTr="001E2BCF">
        <w:tc>
          <w:tcPr>
            <w:tcW w:w="4508" w:type="dxa"/>
            <w:shd w:val="clear" w:color="auto" w:fill="FFFFFF" w:themeFill="background1"/>
          </w:tcPr>
          <w:p w14:paraId="04B6C02A" w14:textId="404F6881" w:rsidR="00363578" w:rsidRPr="00683FF0" w:rsidRDefault="00363578" w:rsidP="001E2BCF">
            <w:pPr>
              <w:pStyle w:val="TableText"/>
            </w:pPr>
            <w:r w:rsidRPr="00683FF0">
              <w:t xml:space="preserve">16.4. Improving the evidence base on the relationship between urban form, function, density, transport systems, land use and other factors. This will support the design of approaches to reduce emissions across different urban areas. </w:t>
            </w:r>
          </w:p>
        </w:tc>
        <w:tc>
          <w:tcPr>
            <w:tcW w:w="4508" w:type="dxa"/>
            <w:shd w:val="clear" w:color="auto" w:fill="FFFFFF" w:themeFill="background1"/>
          </w:tcPr>
          <w:p w14:paraId="7F56AC60" w14:textId="6F01F3C8" w:rsidR="00363578" w:rsidRPr="00683FF0" w:rsidRDefault="008D6012" w:rsidP="001E2BCF">
            <w:pPr>
              <w:pStyle w:val="TableText"/>
            </w:pPr>
            <w:r w:rsidRPr="00683FF0">
              <w:t xml:space="preserve">16.4. </w:t>
            </w:r>
            <w:r w:rsidR="00D22E2C" w:rsidRPr="00683FF0">
              <w:t xml:space="preserve">The Government agrees with this recommendation. </w:t>
            </w:r>
            <w:r w:rsidR="00363578" w:rsidRPr="00683FF0">
              <w:t xml:space="preserve">The </w:t>
            </w:r>
            <w:r w:rsidR="00FD74DA" w:rsidRPr="00683FF0">
              <w:t xml:space="preserve">emissions reduction plan </w:t>
            </w:r>
            <w:r w:rsidR="00363578" w:rsidRPr="00683FF0">
              <w:t xml:space="preserve">includes actions to: </w:t>
            </w:r>
          </w:p>
          <w:p w14:paraId="63656496" w14:textId="38F22E2D" w:rsidR="00363578" w:rsidRPr="00683FF0" w:rsidRDefault="00363578" w:rsidP="001E2BCF">
            <w:pPr>
              <w:pStyle w:val="TableBullet"/>
            </w:pPr>
            <w:r w:rsidRPr="00683FF0">
              <w:t>develop tools to assess transport emissions from proposed urban developments, and to require transport emissions impact assessments for transport projects and major urban developments</w:t>
            </w:r>
          </w:p>
          <w:p w14:paraId="6644A63C" w14:textId="3DE24B31" w:rsidR="00363578" w:rsidRPr="00683FF0" w:rsidRDefault="00363578" w:rsidP="001E2BCF">
            <w:pPr>
              <w:pStyle w:val="TableBullet"/>
            </w:pPr>
            <w:r w:rsidRPr="00683FF0">
              <w:t>improve the evidence base for understanding what can help reduce urban greenhouse gas emissions in an Aotearoa context, such as how land use planning and delivering infrastructure in our urban development can reduce emissions</w:t>
            </w:r>
          </w:p>
          <w:p w14:paraId="71F6C1A7" w14:textId="554575EE" w:rsidR="00363578" w:rsidRPr="00683FF0" w:rsidRDefault="6E0D2CE0" w:rsidP="001E2BCF">
            <w:pPr>
              <w:pStyle w:val="TableBullet"/>
              <w:rPr>
                <w:szCs w:val="18"/>
              </w:rPr>
            </w:pPr>
            <w:r w:rsidRPr="00683FF0">
              <w:t xml:space="preserve">identify and aim to pilot innovative approaches that deliver low-emissions alternatives to traditional neighbourhood and infrastructure approaches. Kāinga Ora – Homes and Communities may lead this work within </w:t>
            </w:r>
            <w:r w:rsidR="008D6012" w:rsidRPr="00683FF0">
              <w:t xml:space="preserve">one or more </w:t>
            </w:r>
            <w:r w:rsidRPr="00683FF0">
              <w:t>existing projects</w:t>
            </w:r>
            <w:r w:rsidR="00A1642C" w:rsidRPr="00683FF0">
              <w:t xml:space="preserve"> </w:t>
            </w:r>
            <w:r w:rsidR="00363578" w:rsidRPr="00683FF0">
              <w:t>(</w:t>
            </w:r>
            <w:r w:rsidR="00A1642C" w:rsidRPr="00683FF0">
              <w:t>c</w:t>
            </w:r>
            <w:r w:rsidR="00363578" w:rsidRPr="00683FF0">
              <w:t xml:space="preserve">hapter </w:t>
            </w:r>
            <w:r w:rsidR="00EA5051" w:rsidRPr="00683FF0">
              <w:t>7</w:t>
            </w:r>
            <w:r w:rsidR="00A1642C" w:rsidRPr="00683FF0">
              <w:t>:</w:t>
            </w:r>
            <w:r w:rsidR="00363578" w:rsidRPr="00683FF0">
              <w:t xml:space="preserve"> Planning and infrastructure</w:t>
            </w:r>
            <w:r w:rsidR="00A1642C" w:rsidRPr="00683FF0">
              <w:t>,</w:t>
            </w:r>
            <w:r w:rsidR="00363578" w:rsidRPr="00683FF0">
              <w:t xml:space="preserve"> </w:t>
            </w:r>
            <w:r w:rsidR="00A1642C" w:rsidRPr="00683FF0">
              <w:t>a</w:t>
            </w:r>
            <w:r w:rsidR="00363578" w:rsidRPr="00683FF0">
              <w:t xml:space="preserve">ctions </w:t>
            </w:r>
            <w:r w:rsidR="00FF72C9" w:rsidRPr="00683FF0">
              <w:t>7.</w:t>
            </w:r>
            <w:r w:rsidR="00363578" w:rsidRPr="00683FF0">
              <w:t>4</w:t>
            </w:r>
            <w:r w:rsidR="00A1642C" w:rsidRPr="00683FF0">
              <w:t>,</w:t>
            </w:r>
            <w:r w:rsidR="00363578" w:rsidRPr="00683FF0">
              <w:t xml:space="preserve"> </w:t>
            </w:r>
            <w:r w:rsidR="00FF72C9" w:rsidRPr="00683FF0">
              <w:t>7.</w:t>
            </w:r>
            <w:r w:rsidR="00363578" w:rsidRPr="00683FF0">
              <w:t>5</w:t>
            </w:r>
            <w:r w:rsidR="00A1642C" w:rsidRPr="00683FF0">
              <w:t>;</w:t>
            </w:r>
            <w:r w:rsidR="00363578" w:rsidRPr="00683FF0">
              <w:t xml:space="preserve"> </w:t>
            </w:r>
            <w:r w:rsidR="00A1642C" w:rsidRPr="00683FF0">
              <w:t>c</w:t>
            </w:r>
            <w:r w:rsidR="00363578" w:rsidRPr="00683FF0">
              <w:t>hapter 1</w:t>
            </w:r>
            <w:r w:rsidR="00EA5051" w:rsidRPr="00683FF0">
              <w:t>0</w:t>
            </w:r>
            <w:r w:rsidR="00A1642C" w:rsidRPr="00683FF0">
              <w:t>:</w:t>
            </w:r>
            <w:r w:rsidR="00363578" w:rsidRPr="00683FF0">
              <w:t xml:space="preserve"> Transport</w:t>
            </w:r>
            <w:r w:rsidR="00A1642C" w:rsidRPr="00683FF0">
              <w:t>, a</w:t>
            </w:r>
            <w:r w:rsidR="00363578" w:rsidRPr="00683FF0">
              <w:t xml:space="preserve">ction </w:t>
            </w:r>
            <w:r w:rsidR="00FF72C9" w:rsidRPr="00683FF0">
              <w:t>10.</w:t>
            </w:r>
            <w:r w:rsidR="00363578" w:rsidRPr="00683FF0">
              <w:t>1.2A).</w:t>
            </w:r>
          </w:p>
        </w:tc>
      </w:tr>
      <w:tr w:rsidR="00363578" w:rsidRPr="00683FF0" w14:paraId="2DFC5668" w14:textId="77777777" w:rsidTr="001E2BCF">
        <w:tc>
          <w:tcPr>
            <w:tcW w:w="4508" w:type="dxa"/>
            <w:shd w:val="clear" w:color="auto" w:fill="auto"/>
          </w:tcPr>
          <w:p w14:paraId="753E8B54" w14:textId="71435AC7" w:rsidR="00363578" w:rsidRPr="00683FF0" w:rsidRDefault="00363578" w:rsidP="005D20B5">
            <w:pPr>
              <w:pStyle w:val="TableTextbold"/>
              <w:spacing w:after="0"/>
            </w:pPr>
            <w:r w:rsidRPr="00683FF0">
              <w:t xml:space="preserve">For existing urban areas: </w:t>
            </w:r>
          </w:p>
        </w:tc>
        <w:tc>
          <w:tcPr>
            <w:tcW w:w="4508" w:type="dxa"/>
            <w:shd w:val="clear" w:color="auto" w:fill="auto"/>
          </w:tcPr>
          <w:p w14:paraId="7B740BF9" w14:textId="77777777" w:rsidR="00363578" w:rsidRPr="00683FF0" w:rsidRDefault="00363578" w:rsidP="001E2BCF">
            <w:pPr>
              <w:pStyle w:val="TableText"/>
            </w:pPr>
          </w:p>
        </w:tc>
      </w:tr>
      <w:tr w:rsidR="00363578" w:rsidRPr="00683FF0" w14:paraId="42E42D69" w14:textId="77777777" w:rsidTr="001E2BCF">
        <w:tc>
          <w:tcPr>
            <w:tcW w:w="4508" w:type="dxa"/>
            <w:shd w:val="clear" w:color="auto" w:fill="FFFFFF" w:themeFill="background1"/>
          </w:tcPr>
          <w:p w14:paraId="05BC6E0B" w14:textId="521F63E4" w:rsidR="00363578" w:rsidRPr="00683FF0" w:rsidRDefault="00363578" w:rsidP="005D20B5">
            <w:pPr>
              <w:pStyle w:val="TableText"/>
              <w:spacing w:before="0"/>
            </w:pPr>
            <w:r w:rsidRPr="00683FF0">
              <w:t>16.5. Retrofitting existing public spaces and infrastructure to prioritise the use of active and public transport and other low emissions choices. This recommendation should be considered alongside Recommendation 17 for transport and Recommendation 13 for behaviour change.</w:t>
            </w:r>
          </w:p>
        </w:tc>
        <w:tc>
          <w:tcPr>
            <w:tcW w:w="4508" w:type="dxa"/>
            <w:shd w:val="clear" w:color="auto" w:fill="FFFFFF" w:themeFill="background1"/>
          </w:tcPr>
          <w:p w14:paraId="3806E8E8" w14:textId="0D849433" w:rsidR="00363578" w:rsidRPr="00683FF0" w:rsidRDefault="008D6012" w:rsidP="005D20B5">
            <w:pPr>
              <w:pStyle w:val="TableText"/>
              <w:spacing w:before="0"/>
            </w:pPr>
            <w:r w:rsidRPr="00683FF0">
              <w:rPr>
                <w:rFonts w:cstheme="minorHAnsi"/>
                <w:b/>
                <w:bCs/>
              </w:rPr>
              <w:t xml:space="preserve">16.5. </w:t>
            </w:r>
            <w:r w:rsidR="00D22E2C" w:rsidRPr="00683FF0">
              <w:rPr>
                <w:rFonts w:cstheme="minorHAnsi"/>
                <w:b/>
                <w:bCs/>
              </w:rPr>
              <w:t>The Government agrees with this recommendation.</w:t>
            </w:r>
            <w:r w:rsidR="00436AC1" w:rsidRPr="00683FF0">
              <w:t xml:space="preserve"> </w:t>
            </w:r>
            <w:r w:rsidR="00363578" w:rsidRPr="00683FF0">
              <w:t xml:space="preserve">Recommendation 16.5 is consistent with the direction set out in the National Policy Statement </w:t>
            </w:r>
            <w:r w:rsidR="002F1522" w:rsidRPr="00683FF0">
              <w:t>on</w:t>
            </w:r>
            <w:r w:rsidR="00363578" w:rsidRPr="00683FF0">
              <w:t xml:space="preserve"> Urban Development and Government Policy Statement </w:t>
            </w:r>
            <w:r w:rsidR="00D77907" w:rsidRPr="00683FF0">
              <w:t>on</w:t>
            </w:r>
            <w:r w:rsidR="00363578" w:rsidRPr="00683FF0">
              <w:t xml:space="preserve"> Housing and Urban Development</w:t>
            </w:r>
            <w:r w:rsidR="00D77907" w:rsidRPr="00683FF0">
              <w:t>,</w:t>
            </w:r>
            <w:r w:rsidR="00363578" w:rsidRPr="00683FF0">
              <w:t xml:space="preserve"> which enables more urban development to occur in existing urban areas to strengthen the use of public and active transport. </w:t>
            </w:r>
          </w:p>
          <w:p w14:paraId="77C3FC75" w14:textId="323614A9" w:rsidR="00363578" w:rsidRPr="00683FF0" w:rsidRDefault="00363578" w:rsidP="001E2BCF">
            <w:pPr>
              <w:pStyle w:val="TableText"/>
            </w:pPr>
            <w:r w:rsidRPr="00683FF0">
              <w:t xml:space="preserve">The </w:t>
            </w:r>
            <w:r w:rsidR="00FD74DA" w:rsidRPr="00683FF0">
              <w:t>emissions reduction plan</w:t>
            </w:r>
            <w:r w:rsidRPr="00683FF0">
              <w:t xml:space="preserve"> includes actions to: </w:t>
            </w:r>
          </w:p>
          <w:p w14:paraId="2A0B899F" w14:textId="5FC370B5" w:rsidR="00363578" w:rsidRPr="00683FF0" w:rsidRDefault="00D77907" w:rsidP="001E2BCF">
            <w:pPr>
              <w:pStyle w:val="TableBullet"/>
            </w:pPr>
            <w:r w:rsidRPr="00683FF0">
              <w:t>i</w:t>
            </w:r>
            <w:r w:rsidR="00363578" w:rsidRPr="00683FF0">
              <w:t xml:space="preserve">ncentivise local government to quickly deliver bike/scooter networks, dedicated bus lanes, and walking improvements by reallocating street space (including during street renewals) </w:t>
            </w:r>
          </w:p>
          <w:p w14:paraId="54DD406C" w14:textId="77777777" w:rsidR="00363578" w:rsidRPr="00683FF0" w:rsidRDefault="00363578" w:rsidP="001E2BCF">
            <w:pPr>
              <w:pStyle w:val="TableBullet"/>
            </w:pPr>
            <w:r w:rsidRPr="00683FF0">
              <w:t xml:space="preserve">consider regulatory changes to make it simpler and quicker to make street changes </w:t>
            </w:r>
          </w:p>
          <w:p w14:paraId="28D65E16" w14:textId="4378FBA0" w:rsidR="00363578" w:rsidRPr="00683FF0" w:rsidRDefault="00363578" w:rsidP="001E2BCF">
            <w:pPr>
              <w:pStyle w:val="TableBullet"/>
              <w:rPr>
                <w:szCs w:val="18"/>
              </w:rPr>
            </w:pPr>
            <w:r w:rsidRPr="00683FF0">
              <w:t>scale up Waka Kotahi’s ‘Innovating Streets for People’ programme to rapidly trial street changes</w:t>
            </w:r>
            <w:r w:rsidR="00A7159B" w:rsidRPr="00683FF0">
              <w:t xml:space="preserve"> </w:t>
            </w:r>
            <w:r w:rsidRPr="00683FF0">
              <w:t>(</w:t>
            </w:r>
            <w:r w:rsidR="00A7159B" w:rsidRPr="00683FF0">
              <w:t>c</w:t>
            </w:r>
            <w:r w:rsidRPr="00683FF0">
              <w:t xml:space="preserve">hapter </w:t>
            </w:r>
            <w:r w:rsidR="00524783" w:rsidRPr="00683FF0">
              <w:t>7</w:t>
            </w:r>
            <w:r w:rsidR="00A7159B" w:rsidRPr="00683FF0">
              <w:t>:</w:t>
            </w:r>
            <w:r w:rsidRPr="00683FF0">
              <w:t xml:space="preserve"> Planning and infrastructure</w:t>
            </w:r>
            <w:r w:rsidR="00A7159B" w:rsidRPr="00683FF0">
              <w:t>,</w:t>
            </w:r>
            <w:r w:rsidRPr="00683FF0">
              <w:t xml:space="preserve"> </w:t>
            </w:r>
            <w:r w:rsidR="00A7159B" w:rsidRPr="00683FF0">
              <w:t>a</w:t>
            </w:r>
            <w:r w:rsidRPr="00683FF0">
              <w:t xml:space="preserve">ctions </w:t>
            </w:r>
            <w:r w:rsidR="00FF72C9" w:rsidRPr="00683FF0">
              <w:t>7.</w:t>
            </w:r>
            <w:r w:rsidRPr="00683FF0">
              <w:t>1</w:t>
            </w:r>
            <w:r w:rsidR="00A7159B" w:rsidRPr="00683FF0">
              <w:t>,</w:t>
            </w:r>
            <w:r w:rsidRPr="00683FF0">
              <w:t xml:space="preserve"> </w:t>
            </w:r>
            <w:r w:rsidR="00FF72C9" w:rsidRPr="00683FF0">
              <w:t>7.</w:t>
            </w:r>
            <w:r w:rsidRPr="00683FF0">
              <w:t>2</w:t>
            </w:r>
            <w:r w:rsidR="00A7159B" w:rsidRPr="00683FF0">
              <w:t>;</w:t>
            </w:r>
            <w:r w:rsidRPr="00683FF0">
              <w:t xml:space="preserve"> </w:t>
            </w:r>
            <w:r w:rsidR="00A7159B" w:rsidRPr="00683FF0">
              <w:t>c</w:t>
            </w:r>
            <w:r w:rsidRPr="00683FF0">
              <w:t>hapter 1</w:t>
            </w:r>
            <w:r w:rsidR="00524783" w:rsidRPr="00683FF0">
              <w:t>0</w:t>
            </w:r>
            <w:r w:rsidR="00A7159B" w:rsidRPr="00683FF0">
              <w:t>:</w:t>
            </w:r>
            <w:r w:rsidRPr="00683FF0">
              <w:t xml:space="preserve"> Transport</w:t>
            </w:r>
            <w:r w:rsidR="00A7159B" w:rsidRPr="00683FF0">
              <w:t>,</w:t>
            </w:r>
            <w:r w:rsidRPr="00683FF0">
              <w:t xml:space="preserve"> </w:t>
            </w:r>
            <w:r w:rsidR="00A7159B" w:rsidRPr="00683FF0">
              <w:t>a</w:t>
            </w:r>
            <w:r w:rsidRPr="00683FF0">
              <w:t xml:space="preserve">ction </w:t>
            </w:r>
            <w:r w:rsidR="00FF72C9" w:rsidRPr="00683FF0">
              <w:t>10.</w:t>
            </w:r>
            <w:r w:rsidRPr="00683FF0">
              <w:t>1.2A).</w:t>
            </w:r>
          </w:p>
        </w:tc>
      </w:tr>
      <w:tr w:rsidR="00363578" w:rsidRPr="00683FF0" w14:paraId="5836B74C" w14:textId="77777777" w:rsidTr="001E2BCF">
        <w:tc>
          <w:tcPr>
            <w:tcW w:w="4508" w:type="dxa"/>
            <w:shd w:val="clear" w:color="auto" w:fill="FFFFFF" w:themeFill="background1"/>
          </w:tcPr>
          <w:p w14:paraId="7D881602" w14:textId="18F32A13" w:rsidR="00363578" w:rsidRPr="00683FF0" w:rsidRDefault="00363578" w:rsidP="001E2BCF">
            <w:pPr>
              <w:pStyle w:val="TableText"/>
            </w:pPr>
            <w:r w:rsidRPr="00683FF0">
              <w:lastRenderedPageBreak/>
              <w:t>16.6. Ensuring regulatory settings allow for increased density and use of existing infrastructure, land and built form to reduce emissions.</w:t>
            </w:r>
          </w:p>
        </w:tc>
        <w:tc>
          <w:tcPr>
            <w:tcW w:w="4508" w:type="dxa"/>
            <w:shd w:val="clear" w:color="auto" w:fill="FFFFFF" w:themeFill="background1"/>
          </w:tcPr>
          <w:p w14:paraId="1C711192" w14:textId="3BAEBA50" w:rsidR="000B73A6" w:rsidRPr="00683FF0" w:rsidRDefault="008D6012" w:rsidP="001E2BCF">
            <w:pPr>
              <w:pStyle w:val="TableText"/>
            </w:pPr>
            <w:r w:rsidRPr="00683FF0">
              <w:rPr>
                <w:rFonts w:cstheme="minorHAnsi"/>
                <w:b/>
                <w:bCs/>
              </w:rPr>
              <w:t xml:space="preserve">16.6. </w:t>
            </w:r>
            <w:r w:rsidR="00D22E2C" w:rsidRPr="00683FF0">
              <w:rPr>
                <w:rFonts w:cstheme="minorHAnsi"/>
                <w:b/>
                <w:bCs/>
              </w:rPr>
              <w:t>The Government agrees with this recommendation.</w:t>
            </w:r>
            <w:r w:rsidR="00436AC1" w:rsidRPr="00683FF0">
              <w:t xml:space="preserve"> </w:t>
            </w:r>
            <w:r w:rsidR="00363578" w:rsidRPr="00683FF0">
              <w:t xml:space="preserve">Recommendation 16.6 is consistent with the direction set out in the National Policy Statement </w:t>
            </w:r>
            <w:r w:rsidR="00A7159B" w:rsidRPr="00683FF0">
              <w:t>on</w:t>
            </w:r>
            <w:r w:rsidR="00363578" w:rsidRPr="00683FF0">
              <w:t xml:space="preserve"> Urban Development and Government Policy Statement </w:t>
            </w:r>
            <w:r w:rsidR="00A7159B" w:rsidRPr="00683FF0">
              <w:t>on</w:t>
            </w:r>
            <w:r w:rsidR="00363578" w:rsidRPr="00683FF0">
              <w:t xml:space="preserve"> Housing and Urban Development. These national direction tools enable increased densification in existing urban areas, encourage more efficient use of existing infrastructure and support well-functioning, integrated urban form connected to active and public transport.</w:t>
            </w:r>
          </w:p>
          <w:p w14:paraId="06C2AD43" w14:textId="77777777" w:rsidR="000B73A6" w:rsidRPr="00683FF0" w:rsidRDefault="00363578" w:rsidP="001E2BCF">
            <w:pPr>
              <w:pStyle w:val="TableText"/>
            </w:pPr>
            <w:r w:rsidRPr="00683FF0">
              <w:t xml:space="preserve">Increased densification in existing urban areas has been brought forward and strengthened by the passing of Resource Management (Enabling Housing Supply and Other Matters) Amendment Act in 2021. </w:t>
            </w:r>
          </w:p>
          <w:p w14:paraId="68C13C64" w14:textId="012483F1" w:rsidR="000B73A6" w:rsidRPr="00683FF0" w:rsidRDefault="00363578" w:rsidP="005D20B5">
            <w:pPr>
              <w:pStyle w:val="TableText"/>
              <w:spacing w:after="0"/>
              <w:rPr>
                <w:szCs w:val="18"/>
              </w:rPr>
            </w:pPr>
            <w:r w:rsidRPr="00683FF0">
              <w:t xml:space="preserve">Resource </w:t>
            </w:r>
            <w:r w:rsidR="00A7159B" w:rsidRPr="00683FF0">
              <w:t>m</w:t>
            </w:r>
            <w:r w:rsidRPr="00683FF0">
              <w:t>anagement reform will also explore opportunities to better integrate infrastructure and land use decisions (see</w:t>
            </w:r>
            <w:r w:rsidR="00F9743F" w:rsidRPr="00683FF0">
              <w:t xml:space="preserve"> the response to</w:t>
            </w:r>
            <w:r w:rsidRPr="00683FF0">
              <w:t xml:space="preserve"> </w:t>
            </w:r>
            <w:r w:rsidR="00A7159B" w:rsidRPr="00683FF0">
              <w:t>r</w:t>
            </w:r>
            <w:r w:rsidRPr="00683FF0">
              <w:t>ecommendation 8.1)</w:t>
            </w:r>
            <w:r w:rsidR="00A7159B" w:rsidRPr="00683FF0">
              <w:t xml:space="preserve"> </w:t>
            </w:r>
            <w:r w:rsidR="000B73A6" w:rsidRPr="00683FF0">
              <w:t>(</w:t>
            </w:r>
            <w:r w:rsidR="00A7159B" w:rsidRPr="00683FF0">
              <w:t>c</w:t>
            </w:r>
            <w:r w:rsidR="000B73A6" w:rsidRPr="00683FF0">
              <w:t xml:space="preserve">hapter </w:t>
            </w:r>
            <w:r w:rsidR="00524783" w:rsidRPr="00683FF0">
              <w:t>7</w:t>
            </w:r>
            <w:r w:rsidR="00A7159B" w:rsidRPr="00683FF0">
              <w:t>:</w:t>
            </w:r>
            <w:r w:rsidR="000B73A6" w:rsidRPr="00683FF0">
              <w:t xml:space="preserve"> Planning and infrastructure</w:t>
            </w:r>
            <w:r w:rsidR="00A7159B" w:rsidRPr="00683FF0">
              <w:t>,</w:t>
            </w:r>
            <w:r w:rsidR="000B73A6" w:rsidRPr="00683FF0">
              <w:t xml:space="preserve"> </w:t>
            </w:r>
            <w:r w:rsidR="00A7159B" w:rsidRPr="00683FF0">
              <w:t>a</w:t>
            </w:r>
            <w:r w:rsidR="000B73A6" w:rsidRPr="00683FF0">
              <w:t xml:space="preserve">ctions </w:t>
            </w:r>
            <w:r w:rsidR="00FF72C9" w:rsidRPr="00683FF0">
              <w:t>7.</w:t>
            </w:r>
            <w:r w:rsidR="000B73A6" w:rsidRPr="00683FF0">
              <w:t xml:space="preserve">1 and </w:t>
            </w:r>
            <w:r w:rsidR="00FF72C9" w:rsidRPr="00683FF0">
              <w:t>7.</w:t>
            </w:r>
            <w:r w:rsidR="000B73A6" w:rsidRPr="00683FF0">
              <w:t>2).</w:t>
            </w:r>
          </w:p>
        </w:tc>
      </w:tr>
      <w:tr w:rsidR="00363578" w:rsidRPr="00683FF0" w14:paraId="0BE75E6F" w14:textId="77777777" w:rsidTr="001E2BCF">
        <w:tc>
          <w:tcPr>
            <w:tcW w:w="4508" w:type="dxa"/>
            <w:shd w:val="clear" w:color="auto" w:fill="auto"/>
          </w:tcPr>
          <w:p w14:paraId="0D7157A0" w14:textId="6BAF88BA" w:rsidR="00363578" w:rsidRPr="00683FF0" w:rsidRDefault="00363578" w:rsidP="005D20B5">
            <w:pPr>
              <w:pStyle w:val="TableTextbold"/>
              <w:spacing w:after="0"/>
            </w:pPr>
            <w:r w:rsidRPr="00683FF0">
              <w:t xml:space="preserve">For new urban areas: </w:t>
            </w:r>
          </w:p>
        </w:tc>
        <w:tc>
          <w:tcPr>
            <w:tcW w:w="4508" w:type="dxa"/>
            <w:shd w:val="clear" w:color="auto" w:fill="auto"/>
          </w:tcPr>
          <w:p w14:paraId="503B3EDC" w14:textId="77777777" w:rsidR="00363578" w:rsidRPr="00683FF0" w:rsidRDefault="00363578" w:rsidP="001E2BCF">
            <w:pPr>
              <w:pStyle w:val="TableText"/>
            </w:pPr>
          </w:p>
        </w:tc>
      </w:tr>
      <w:tr w:rsidR="00363578" w:rsidRPr="00683FF0" w14:paraId="1C12AB35" w14:textId="77777777" w:rsidTr="001E2BCF">
        <w:tc>
          <w:tcPr>
            <w:tcW w:w="4508" w:type="dxa"/>
            <w:shd w:val="clear" w:color="auto" w:fill="FFFFFF" w:themeFill="background1"/>
          </w:tcPr>
          <w:p w14:paraId="6D832C74" w14:textId="01EBB1F1" w:rsidR="00363578" w:rsidRPr="00683FF0" w:rsidRDefault="00363578" w:rsidP="005D20B5">
            <w:pPr>
              <w:pStyle w:val="TableText"/>
              <w:spacing w:before="0"/>
            </w:pPr>
            <w:r w:rsidRPr="00683FF0">
              <w:t>16.7. Enabling low emissions choices by ensuring services, amenities, facilities and infrastructure are accessible and interconnected. This includes providing safe cycle and walkways and connections to public transport.</w:t>
            </w:r>
          </w:p>
        </w:tc>
        <w:tc>
          <w:tcPr>
            <w:tcW w:w="4508" w:type="dxa"/>
            <w:shd w:val="clear" w:color="auto" w:fill="FFFFFF" w:themeFill="background1"/>
          </w:tcPr>
          <w:p w14:paraId="148DA36E" w14:textId="45C91163" w:rsidR="000B73A6" w:rsidRPr="00683FF0" w:rsidRDefault="00793A36" w:rsidP="005D20B5">
            <w:pPr>
              <w:pStyle w:val="TableText"/>
              <w:spacing w:before="0"/>
            </w:pPr>
            <w:r w:rsidRPr="00683FF0">
              <w:rPr>
                <w:b/>
              </w:rPr>
              <w:t xml:space="preserve">16.7. </w:t>
            </w:r>
            <w:r w:rsidR="00834D66" w:rsidRPr="00683FF0">
              <w:rPr>
                <w:b/>
              </w:rPr>
              <w:t>The Government agrees with this recommendation.</w:t>
            </w:r>
            <w:r w:rsidR="6B197143" w:rsidRPr="00683FF0">
              <w:t>\</w:t>
            </w:r>
            <w:r w:rsidR="00C1630D" w:rsidRPr="00683FF0">
              <w:t xml:space="preserve"> </w:t>
            </w:r>
            <w:r w:rsidR="008B204C" w:rsidRPr="00683FF0">
              <w:t xml:space="preserve">actions and direction set out in the Transport chapter of the Emissions Reduction Plan, </w:t>
            </w:r>
            <w:r w:rsidR="000B73A6" w:rsidRPr="00683FF0">
              <w:t>National Policy Statement</w:t>
            </w:r>
            <w:r w:rsidR="00A7159B" w:rsidRPr="00683FF0">
              <w:t xml:space="preserve"> on </w:t>
            </w:r>
            <w:r w:rsidR="000B73A6" w:rsidRPr="00683FF0">
              <w:t>Urban Development, Urban Growth Partnerships, and Government Policy Statement</w:t>
            </w:r>
            <w:r w:rsidR="004C095F" w:rsidRPr="00683FF0">
              <w:t xml:space="preserve"> on </w:t>
            </w:r>
            <w:r w:rsidR="000B73A6" w:rsidRPr="00683FF0">
              <w:t>Housing and Urban Development</w:t>
            </w:r>
            <w:r w:rsidRPr="00683FF0">
              <w:t>,</w:t>
            </w:r>
            <w:r w:rsidR="000B73A6" w:rsidRPr="00683FF0">
              <w:t xml:space="preserve"> provide frameworks for future decisions to better integrate infrastructure and land use decisions to enable better access to services, amenities and facilities, including via improved active and public transport.</w:t>
            </w:r>
          </w:p>
          <w:p w14:paraId="5C4D49BC" w14:textId="65FED8D0" w:rsidR="000B73A6" w:rsidRPr="00683FF0" w:rsidRDefault="000B73A6" w:rsidP="001E2BCF">
            <w:pPr>
              <w:pStyle w:val="TableText"/>
              <w:rPr>
                <w:szCs w:val="18"/>
              </w:rPr>
            </w:pPr>
            <w:r w:rsidRPr="00683FF0">
              <w:t xml:space="preserve">Resource </w:t>
            </w:r>
            <w:r w:rsidR="004C095F" w:rsidRPr="00683FF0">
              <w:t>m</w:t>
            </w:r>
            <w:r w:rsidRPr="00683FF0">
              <w:t>anagement reform</w:t>
            </w:r>
            <w:r w:rsidR="6B197143" w:rsidRPr="00683FF0">
              <w:t>, in particular the Strategic Planning Act,</w:t>
            </w:r>
            <w:r w:rsidRPr="00683FF0">
              <w:t xml:space="preserve"> will also explore opportunities to better integrate infrastructure and land use decisions</w:t>
            </w:r>
            <w:r w:rsidR="004C095F" w:rsidRPr="00683FF0">
              <w:t xml:space="preserve"> </w:t>
            </w:r>
            <w:r w:rsidRPr="00683FF0">
              <w:t>(</w:t>
            </w:r>
            <w:r w:rsidR="004C095F" w:rsidRPr="00683FF0">
              <w:t>c</w:t>
            </w:r>
            <w:r w:rsidRPr="00683FF0">
              <w:t xml:space="preserve">hapter </w:t>
            </w:r>
            <w:r w:rsidR="00524783" w:rsidRPr="00683FF0">
              <w:t>7</w:t>
            </w:r>
            <w:r w:rsidR="004C095F" w:rsidRPr="00683FF0">
              <w:t>:</w:t>
            </w:r>
            <w:r w:rsidRPr="00683FF0">
              <w:t xml:space="preserve"> Planning and infrastructure</w:t>
            </w:r>
            <w:r w:rsidR="004C095F" w:rsidRPr="00683FF0">
              <w:t>,</w:t>
            </w:r>
            <w:r w:rsidRPr="00683FF0">
              <w:t xml:space="preserve"> </w:t>
            </w:r>
            <w:r w:rsidR="004C095F" w:rsidRPr="00683FF0">
              <w:t>a</w:t>
            </w:r>
            <w:r w:rsidRPr="00683FF0">
              <w:t xml:space="preserve">ctions </w:t>
            </w:r>
            <w:r w:rsidR="00FF72C9" w:rsidRPr="00683FF0">
              <w:t>7.</w:t>
            </w:r>
            <w:r w:rsidRPr="00683FF0">
              <w:t>1</w:t>
            </w:r>
            <w:r w:rsidR="004C095F" w:rsidRPr="00683FF0">
              <w:t>,</w:t>
            </w:r>
            <w:r w:rsidRPr="00683FF0">
              <w:t xml:space="preserve"> </w:t>
            </w:r>
            <w:r w:rsidR="00FF72C9" w:rsidRPr="00683FF0">
              <w:t>7.</w:t>
            </w:r>
            <w:r w:rsidRPr="00683FF0">
              <w:t>2).</w:t>
            </w:r>
          </w:p>
        </w:tc>
      </w:tr>
      <w:tr w:rsidR="008A0473" w:rsidRPr="00683FF0" w14:paraId="132D41A0" w14:textId="77777777" w:rsidTr="001E2BCF">
        <w:trPr>
          <w:trHeight w:val="1443"/>
        </w:trPr>
        <w:tc>
          <w:tcPr>
            <w:tcW w:w="4508" w:type="dxa"/>
            <w:shd w:val="clear" w:color="auto" w:fill="FFFFFF" w:themeFill="background1"/>
          </w:tcPr>
          <w:p w14:paraId="4B0FD299" w14:textId="77777777" w:rsidR="008A0473" w:rsidRPr="00683FF0" w:rsidRDefault="008A0473" w:rsidP="00363578">
            <w:pPr>
              <w:spacing w:before="40" w:after="40"/>
              <w:rPr>
                <w:sz w:val="18"/>
                <w:szCs w:val="18"/>
              </w:rPr>
            </w:pPr>
          </w:p>
        </w:tc>
        <w:tc>
          <w:tcPr>
            <w:tcW w:w="4508" w:type="dxa"/>
            <w:shd w:val="clear" w:color="auto" w:fill="FFFFFF" w:themeFill="background1"/>
          </w:tcPr>
          <w:p w14:paraId="4A3B4249" w14:textId="43E10442" w:rsidR="008A0473" w:rsidRPr="00683FF0" w:rsidRDefault="008A0473" w:rsidP="001E2BCF">
            <w:pPr>
              <w:pStyle w:val="TableText"/>
            </w:pPr>
            <w:r w:rsidRPr="00683FF0">
              <w:rPr>
                <w:b/>
                <w:bCs/>
              </w:rPr>
              <w:t>Responsible agenc</w:t>
            </w:r>
            <w:r w:rsidR="005737C4" w:rsidRPr="00683FF0">
              <w:rPr>
                <w:b/>
                <w:bCs/>
              </w:rPr>
              <w:t>ies</w:t>
            </w:r>
            <w:r w:rsidRPr="00683FF0">
              <w:rPr>
                <w:b/>
                <w:bCs/>
              </w:rPr>
              <w:t>:</w:t>
            </w:r>
            <w:r w:rsidRPr="00683FF0">
              <w:t xml:space="preserve"> Ministr</w:t>
            </w:r>
            <w:r w:rsidR="004C095F" w:rsidRPr="00683FF0">
              <w:t>y</w:t>
            </w:r>
            <w:r w:rsidRPr="00683FF0">
              <w:t xml:space="preserve"> for the Environment, </w:t>
            </w:r>
            <w:r w:rsidR="004C095F" w:rsidRPr="00683FF0">
              <w:t xml:space="preserve">Ministry of </w:t>
            </w:r>
            <w:r w:rsidRPr="00683FF0">
              <w:t xml:space="preserve">Housing and </w:t>
            </w:r>
            <w:r w:rsidR="004C095F" w:rsidRPr="00683FF0">
              <w:t xml:space="preserve">Urban Development, Ministry of </w:t>
            </w:r>
            <w:r w:rsidRPr="00683FF0">
              <w:t>Transport</w:t>
            </w:r>
            <w:r w:rsidR="1C1240C0" w:rsidRPr="00683FF0">
              <w:t xml:space="preserve"> (Waka Kotahi, </w:t>
            </w:r>
            <w:r w:rsidR="30CE0D8B" w:rsidRPr="00683FF0">
              <w:t xml:space="preserve">Te Waihanga, </w:t>
            </w:r>
            <w:r w:rsidR="0B0D2C4B" w:rsidRPr="00683FF0">
              <w:t>Kāinga Ora)</w:t>
            </w:r>
          </w:p>
          <w:p w14:paraId="5E6AB5F9" w14:textId="3C1F7973" w:rsidR="008A0473" w:rsidRPr="00683FF0" w:rsidRDefault="2331911C" w:rsidP="005D20B5">
            <w:pPr>
              <w:pStyle w:val="TableText"/>
              <w:spacing w:before="0"/>
            </w:pPr>
            <w:r w:rsidRPr="00683FF0">
              <w:rPr>
                <w:b/>
                <w:bCs/>
              </w:rPr>
              <w:t>Responsible Minister</w:t>
            </w:r>
            <w:r w:rsidR="20BBE2E7" w:rsidRPr="00683FF0">
              <w:rPr>
                <w:b/>
                <w:bCs/>
              </w:rPr>
              <w:t>s</w:t>
            </w:r>
            <w:r w:rsidRPr="00683FF0">
              <w:rPr>
                <w:b/>
                <w:bCs/>
              </w:rPr>
              <w:t>:</w:t>
            </w:r>
            <w:r w:rsidRPr="00683FF0">
              <w:t xml:space="preserve"> Ministers of </w:t>
            </w:r>
            <w:r w:rsidR="178A0001" w:rsidRPr="00683FF0">
              <w:t>Environment</w:t>
            </w:r>
            <w:r w:rsidR="004C095F" w:rsidRPr="00683FF0">
              <w:t>,</w:t>
            </w:r>
            <w:r w:rsidRPr="00683FF0">
              <w:t xml:space="preserve"> Housing</w:t>
            </w:r>
            <w:r w:rsidR="009446D5" w:rsidRPr="00683FF0">
              <w:t>,</w:t>
            </w:r>
            <w:r w:rsidRPr="00683FF0">
              <w:t xml:space="preserve"> Transport</w:t>
            </w:r>
          </w:p>
          <w:p w14:paraId="390F188A" w14:textId="1E830167" w:rsidR="008A0473" w:rsidRPr="00683FF0" w:rsidRDefault="008A0473" w:rsidP="005D20B5">
            <w:pPr>
              <w:pStyle w:val="TableText"/>
              <w:spacing w:before="0"/>
            </w:pPr>
            <w:r w:rsidRPr="00683FF0">
              <w:rPr>
                <w:b/>
                <w:bCs/>
              </w:rPr>
              <w:t>Timeline</w:t>
            </w:r>
            <w:r w:rsidRPr="00683FF0">
              <w:t xml:space="preserve">: </w:t>
            </w:r>
            <w:r w:rsidRPr="00683FF0">
              <w:rPr>
                <w:rFonts w:eastAsia="Times New Roman" w:cstheme="minorHAnsi"/>
              </w:rPr>
              <w:t>2022</w:t>
            </w:r>
            <w:r w:rsidR="004C095F" w:rsidRPr="00683FF0">
              <w:rPr>
                <w:rFonts w:eastAsia="Times New Roman" w:cstheme="minorHAnsi"/>
              </w:rPr>
              <w:t>–</w:t>
            </w:r>
            <w:r w:rsidRPr="00683FF0">
              <w:rPr>
                <w:rFonts w:eastAsia="Times New Roman" w:cstheme="minorHAnsi"/>
              </w:rPr>
              <w:t>25 (EB1) and ongoing</w:t>
            </w:r>
          </w:p>
        </w:tc>
      </w:tr>
    </w:tbl>
    <w:p w14:paraId="3D3653E6" w14:textId="77777777" w:rsidR="00B64191" w:rsidRPr="00683FF0" w:rsidRDefault="00B64191" w:rsidP="001E2BCF">
      <w:pPr>
        <w:pStyle w:val="BodyText"/>
      </w:pPr>
    </w:p>
    <w:p w14:paraId="17F5FB3D" w14:textId="77777777" w:rsidR="00B64191" w:rsidRPr="00683FF0" w:rsidRDefault="00B64191" w:rsidP="001E2BCF">
      <w:pPr>
        <w:pStyle w:val="BodyText"/>
      </w:pPr>
      <w:r w:rsidRPr="00683FF0">
        <w:br w:type="page"/>
      </w:r>
    </w:p>
    <w:p w14:paraId="397FC79D" w14:textId="185BAB7A" w:rsidR="00C15414" w:rsidRPr="00683FF0" w:rsidRDefault="00B64191" w:rsidP="001E2BCF">
      <w:pPr>
        <w:pStyle w:val="Heading1"/>
      </w:pPr>
      <w:bookmarkStart w:id="35" w:name="_Toc103175833"/>
      <w:bookmarkStart w:id="36" w:name="_Toc103778796"/>
      <w:r w:rsidRPr="00683FF0">
        <w:lastRenderedPageBreak/>
        <w:t>Recommendations 17</w:t>
      </w:r>
      <w:r w:rsidR="009446D5" w:rsidRPr="00683FF0">
        <w:t>–</w:t>
      </w:r>
      <w:r w:rsidRPr="00683FF0">
        <w:t xml:space="preserve">19: </w:t>
      </w:r>
      <w:r w:rsidR="001E2BCF" w:rsidRPr="00683FF0">
        <w:br/>
      </w:r>
      <w:r w:rsidR="00AB6168" w:rsidRPr="00683FF0">
        <w:t>Policy direction for t</w:t>
      </w:r>
      <w:r w:rsidR="008D257E" w:rsidRPr="00683FF0">
        <w:t>ransport</w:t>
      </w:r>
      <w:bookmarkEnd w:id="35"/>
      <w:bookmarkEnd w:id="36"/>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111"/>
        <w:gridCol w:w="4394"/>
      </w:tblGrid>
      <w:tr w:rsidR="001E2BCF" w:rsidRPr="00683FF0" w14:paraId="5B40E879" w14:textId="77777777" w:rsidTr="006660A6">
        <w:trPr>
          <w:tblHeader/>
        </w:trPr>
        <w:tc>
          <w:tcPr>
            <w:tcW w:w="4111" w:type="dxa"/>
            <w:tcBorders>
              <w:top w:val="single" w:sz="4" w:space="0" w:color="1B556B" w:themeColor="text2"/>
              <w:bottom w:val="nil"/>
            </w:tcBorders>
            <w:shd w:val="clear" w:color="auto" w:fill="1B556B" w:themeFill="text2"/>
            <w:vAlign w:val="center"/>
          </w:tcPr>
          <w:p w14:paraId="7140A738" w14:textId="0F9BA861" w:rsidR="008D257E" w:rsidRPr="00683FF0" w:rsidRDefault="008D257E" w:rsidP="001E2BCF">
            <w:pPr>
              <w:pStyle w:val="TableTextbold"/>
              <w:rPr>
                <w:color w:val="FFFFFF" w:themeColor="background1"/>
              </w:rPr>
            </w:pPr>
            <w:r w:rsidRPr="00683FF0">
              <w:rPr>
                <w:color w:val="FFFFFF" w:themeColor="background1"/>
              </w:rPr>
              <w:t xml:space="preserve">Report </w:t>
            </w:r>
            <w:r w:rsidR="009446D5" w:rsidRPr="00683FF0">
              <w:rPr>
                <w:color w:val="FFFFFF" w:themeColor="background1"/>
              </w:rPr>
              <w:t>r</w:t>
            </w:r>
            <w:r w:rsidRPr="00683FF0">
              <w:rPr>
                <w:color w:val="FFFFFF" w:themeColor="background1"/>
              </w:rPr>
              <w:t>ecommendation</w:t>
            </w:r>
          </w:p>
        </w:tc>
        <w:tc>
          <w:tcPr>
            <w:tcW w:w="4394" w:type="dxa"/>
            <w:tcBorders>
              <w:top w:val="single" w:sz="4" w:space="0" w:color="1B556B" w:themeColor="text2"/>
              <w:bottom w:val="nil"/>
            </w:tcBorders>
            <w:shd w:val="clear" w:color="auto" w:fill="1B556B" w:themeFill="text2"/>
            <w:vAlign w:val="center"/>
          </w:tcPr>
          <w:p w14:paraId="585BF7DE" w14:textId="619757BE" w:rsidR="008D257E" w:rsidRPr="00683FF0" w:rsidRDefault="008D257E" w:rsidP="001E2BCF">
            <w:pPr>
              <w:pStyle w:val="TableTextbold"/>
              <w:rPr>
                <w:color w:val="FFFFFF" w:themeColor="background1"/>
              </w:rPr>
            </w:pPr>
            <w:r w:rsidRPr="00683FF0">
              <w:rPr>
                <w:color w:val="FFFFFF" w:themeColor="background1"/>
              </w:rPr>
              <w:t xml:space="preserve">Government </w:t>
            </w:r>
            <w:r w:rsidR="009446D5" w:rsidRPr="00683FF0">
              <w:rPr>
                <w:color w:val="FFFFFF" w:themeColor="background1"/>
              </w:rPr>
              <w:t>r</w:t>
            </w:r>
            <w:r w:rsidRPr="00683FF0">
              <w:rPr>
                <w:color w:val="FFFFFF" w:themeColor="background1"/>
              </w:rPr>
              <w:t>esponse</w:t>
            </w:r>
          </w:p>
        </w:tc>
      </w:tr>
      <w:tr w:rsidR="008D257E" w:rsidRPr="00683FF0" w14:paraId="0B8F6A8D" w14:textId="77777777" w:rsidTr="006660A6">
        <w:tc>
          <w:tcPr>
            <w:tcW w:w="4111" w:type="dxa"/>
            <w:tcBorders>
              <w:top w:val="nil"/>
            </w:tcBorders>
            <w:shd w:val="clear" w:color="auto" w:fill="auto"/>
          </w:tcPr>
          <w:p w14:paraId="64234837" w14:textId="77777777" w:rsidR="008D257E" w:rsidRPr="00683FF0" w:rsidRDefault="008D257E" w:rsidP="005D20B5">
            <w:pPr>
              <w:pStyle w:val="TableTextbold"/>
              <w:spacing w:after="0"/>
            </w:pPr>
            <w:r w:rsidRPr="00683FF0">
              <w:t>Recommendation 17 – Improve mobility options and reduce emissions </w:t>
            </w:r>
          </w:p>
          <w:p w14:paraId="38965327" w14:textId="77777777" w:rsidR="008D257E" w:rsidRPr="00683FF0" w:rsidRDefault="008D257E" w:rsidP="001E2BCF">
            <w:pPr>
              <w:pStyle w:val="TableText"/>
            </w:pPr>
            <w:r w:rsidRPr="00683FF0">
              <w:t>We recommend that, in the first emissions reduction plan, the Government commit to: Improving mobility options and reducing emissions by providing affordable, reliable, convenient and low-emissions alternatives to high-emissions vehicle use. This should include the Government working with local authorities in: </w:t>
            </w:r>
          </w:p>
        </w:tc>
        <w:tc>
          <w:tcPr>
            <w:tcW w:w="4394" w:type="dxa"/>
            <w:tcBorders>
              <w:top w:val="nil"/>
            </w:tcBorders>
            <w:shd w:val="clear" w:color="auto" w:fill="auto"/>
          </w:tcPr>
          <w:p w14:paraId="7A00CB97" w14:textId="77777777" w:rsidR="008D257E" w:rsidRPr="00683FF0" w:rsidRDefault="008D257E" w:rsidP="001E2BCF">
            <w:pPr>
              <w:pStyle w:val="TableText"/>
            </w:pPr>
          </w:p>
        </w:tc>
      </w:tr>
      <w:tr w:rsidR="008D257E" w:rsidRPr="00683FF0" w14:paraId="42371EB6" w14:textId="77777777" w:rsidTr="006660A6">
        <w:tc>
          <w:tcPr>
            <w:tcW w:w="4111" w:type="dxa"/>
          </w:tcPr>
          <w:p w14:paraId="17F75F18" w14:textId="77777777" w:rsidR="008D257E" w:rsidRPr="00683FF0" w:rsidRDefault="008D257E" w:rsidP="001E2BCF">
            <w:pPr>
              <w:pStyle w:val="TableText"/>
            </w:pPr>
            <w:r w:rsidRPr="00683FF0">
              <w:t>17.1 Setting targets and implementing plans to substantially increase walking, cycling, public transport and shared transport use to displace vehicle use. This should be delivered through:</w:t>
            </w:r>
          </w:p>
          <w:p w14:paraId="0807D438" w14:textId="77777777" w:rsidR="008D257E" w:rsidRPr="00683FF0" w:rsidRDefault="008D257E" w:rsidP="00D21268">
            <w:pPr>
              <w:pStyle w:val="TableText"/>
              <w:numPr>
                <w:ilvl w:val="0"/>
                <w:numId w:val="23"/>
              </w:numPr>
              <w:spacing w:before="0"/>
              <w:ind w:left="284" w:hanging="284"/>
            </w:pPr>
            <w:r w:rsidRPr="00683FF0">
              <w:t xml:space="preserve">Substantially increasing the share of central government funding dedicated to active and public transport infrastructure. Funding should be aligned with achieving a thriving, climate resilient and low-emissions Aotearoa. </w:t>
            </w:r>
          </w:p>
          <w:p w14:paraId="2F651A2C" w14:textId="77777777" w:rsidR="008D257E" w:rsidRPr="00683FF0" w:rsidRDefault="008D257E" w:rsidP="00D21268">
            <w:pPr>
              <w:pStyle w:val="TableText"/>
              <w:numPr>
                <w:ilvl w:val="0"/>
                <w:numId w:val="23"/>
              </w:numPr>
              <w:spacing w:before="0"/>
              <w:ind w:left="284" w:hanging="284"/>
            </w:pPr>
            <w:r w:rsidRPr="00683FF0">
              <w:t>Better connecting communities, cities and regions by improving the frequency, accessibility and integration of intermodal low-emissions transport services.</w:t>
            </w:r>
          </w:p>
          <w:p w14:paraId="54A9DBCE" w14:textId="77777777" w:rsidR="008D257E" w:rsidRPr="00683FF0" w:rsidRDefault="008D257E" w:rsidP="00D21268">
            <w:pPr>
              <w:pStyle w:val="TableText"/>
              <w:numPr>
                <w:ilvl w:val="0"/>
                <w:numId w:val="23"/>
              </w:numPr>
              <w:spacing w:before="0"/>
              <w:ind w:left="284" w:hanging="284"/>
            </w:pPr>
            <w:r w:rsidRPr="00683FF0">
              <w:t xml:space="preserve">Reducing public transport fares to encourage greater use of public transport. </w:t>
            </w:r>
          </w:p>
          <w:p w14:paraId="1362552A" w14:textId="77777777" w:rsidR="008D257E" w:rsidRPr="00683FF0" w:rsidRDefault="008D257E" w:rsidP="00D21268">
            <w:pPr>
              <w:pStyle w:val="TableText"/>
              <w:numPr>
                <w:ilvl w:val="0"/>
                <w:numId w:val="23"/>
              </w:numPr>
              <w:spacing w:before="0"/>
              <w:ind w:left="284" w:hanging="284"/>
            </w:pPr>
            <w:r w:rsidRPr="00683FF0">
              <w:t xml:space="preserve">Developing targets, plans and approaches: </w:t>
            </w:r>
          </w:p>
          <w:p w14:paraId="3E69F23E" w14:textId="77777777" w:rsidR="008D257E" w:rsidRPr="00683FF0" w:rsidRDefault="008D257E" w:rsidP="00D21268">
            <w:pPr>
              <w:pStyle w:val="TableText"/>
              <w:numPr>
                <w:ilvl w:val="0"/>
                <w:numId w:val="24"/>
              </w:numPr>
              <w:spacing w:before="0"/>
              <w:ind w:left="568" w:hanging="284"/>
            </w:pPr>
            <w:r w:rsidRPr="00683FF0">
              <w:t>In partnership with Iwi/Māori, giving effect to the principles of Te Tiriti o Waitangi/The Treaty of Waitangi, and aligning with the He Ara Waiora framework.</w:t>
            </w:r>
          </w:p>
          <w:p w14:paraId="017F0108" w14:textId="77777777" w:rsidR="008D257E" w:rsidRPr="00683FF0" w:rsidRDefault="008D257E" w:rsidP="00D21268">
            <w:pPr>
              <w:pStyle w:val="TableText"/>
              <w:numPr>
                <w:ilvl w:val="0"/>
                <w:numId w:val="24"/>
              </w:numPr>
              <w:spacing w:before="0"/>
              <w:ind w:left="568" w:hanging="284"/>
            </w:pPr>
            <w:r w:rsidRPr="00683FF0">
              <w:t>In collaboration with local authorities, consideration should be given to the different circumstances for rural communities, towns and cities.</w:t>
            </w:r>
          </w:p>
          <w:p w14:paraId="00572E7B" w14:textId="69466DBD" w:rsidR="008D257E" w:rsidRPr="00683FF0" w:rsidRDefault="008D257E" w:rsidP="00D21268">
            <w:pPr>
              <w:pStyle w:val="TableText"/>
              <w:numPr>
                <w:ilvl w:val="0"/>
                <w:numId w:val="24"/>
              </w:numPr>
              <w:spacing w:before="0"/>
              <w:ind w:left="568" w:hanging="284"/>
            </w:pPr>
            <w:r w:rsidRPr="00683FF0">
              <w:t>In collaboration with stakeholders in the community and business to ensure that outcomes are low emissions, affordable, and</w:t>
            </w:r>
            <w:r w:rsidR="005D20B5" w:rsidRPr="00683FF0">
              <w:t> </w:t>
            </w:r>
            <w:r w:rsidRPr="00683FF0">
              <w:t>support mobility options for diverse communities.</w:t>
            </w:r>
          </w:p>
        </w:tc>
        <w:tc>
          <w:tcPr>
            <w:tcW w:w="4394" w:type="dxa"/>
          </w:tcPr>
          <w:p w14:paraId="2B9EDC5C" w14:textId="29B8DC58" w:rsidR="008D257E" w:rsidRPr="00683FF0" w:rsidRDefault="00063914" w:rsidP="005159C8">
            <w:pPr>
              <w:pStyle w:val="TableText"/>
              <w:spacing w:before="40" w:after="40"/>
            </w:pPr>
            <w:r w:rsidRPr="00683FF0">
              <w:rPr>
                <w:b/>
                <w:bCs/>
              </w:rPr>
              <w:t xml:space="preserve">17.1. </w:t>
            </w:r>
            <w:r w:rsidR="008D257E" w:rsidRPr="00683FF0">
              <w:rPr>
                <w:b/>
                <w:bCs/>
              </w:rPr>
              <w:t xml:space="preserve">The Government agrees </w:t>
            </w:r>
            <w:r w:rsidR="00A73991" w:rsidRPr="00683FF0">
              <w:rPr>
                <w:b/>
                <w:bCs/>
              </w:rPr>
              <w:t>with</w:t>
            </w:r>
            <w:r w:rsidR="008D257E" w:rsidRPr="00683FF0">
              <w:rPr>
                <w:b/>
                <w:bCs/>
              </w:rPr>
              <w:t xml:space="preserve"> this recommendation.</w:t>
            </w:r>
            <w:r w:rsidR="008D257E" w:rsidRPr="00683FF0">
              <w:t xml:space="preserve"> The </w:t>
            </w:r>
            <w:r w:rsidR="00FD74DA" w:rsidRPr="00683FF0">
              <w:t xml:space="preserve">emissions reduction plan </w:t>
            </w:r>
            <w:r w:rsidR="008D257E" w:rsidRPr="00683FF0">
              <w:t xml:space="preserve">sets a national total </w:t>
            </w:r>
            <w:r w:rsidR="001A78D3" w:rsidRPr="00683FF0">
              <w:t>Vehicle Kilometres Travelled (</w:t>
            </w:r>
            <w:r w:rsidR="008D257E" w:rsidRPr="00683FF0">
              <w:t>VKT</w:t>
            </w:r>
            <w:r w:rsidR="001A78D3" w:rsidRPr="00683FF0">
              <w:t>)</w:t>
            </w:r>
            <w:r w:rsidR="008D257E" w:rsidRPr="00683FF0">
              <w:t xml:space="preserve"> reduction target for the light fleet that will be met through a range of measures, including through supporting people to walk, cycle and use public and shared transport </w:t>
            </w:r>
            <w:r w:rsidR="008D257E" w:rsidRPr="00683FF0">
              <w:rPr>
                <w:shd w:val="clear" w:color="auto" w:fill="FFFFFF" w:themeFill="background1"/>
              </w:rPr>
              <w:t>(</w:t>
            </w:r>
            <w:r w:rsidR="001A78D3" w:rsidRPr="00683FF0">
              <w:rPr>
                <w:shd w:val="clear" w:color="auto" w:fill="FFFFFF" w:themeFill="background1"/>
              </w:rPr>
              <w:t>c</w:t>
            </w:r>
            <w:r w:rsidR="008D257E" w:rsidRPr="00683FF0">
              <w:rPr>
                <w:shd w:val="clear" w:color="auto" w:fill="FFFFFF" w:themeFill="background1"/>
              </w:rPr>
              <w:t xml:space="preserve">hapter </w:t>
            </w:r>
            <w:r w:rsidR="06BACA6F" w:rsidRPr="00683FF0">
              <w:rPr>
                <w:shd w:val="clear" w:color="auto" w:fill="FFFFFF" w:themeFill="background1"/>
              </w:rPr>
              <w:t>10</w:t>
            </w:r>
            <w:r w:rsidR="001A78D3" w:rsidRPr="00683FF0">
              <w:rPr>
                <w:shd w:val="clear" w:color="auto" w:fill="FFFFFF" w:themeFill="background1"/>
              </w:rPr>
              <w:t>:</w:t>
            </w:r>
            <w:r w:rsidR="008D257E" w:rsidRPr="00683FF0">
              <w:rPr>
                <w:shd w:val="clear" w:color="auto" w:fill="FFFFFF" w:themeFill="background1"/>
              </w:rPr>
              <w:t xml:space="preserve"> Transport</w:t>
            </w:r>
            <w:r w:rsidR="55A92A20" w:rsidRPr="00683FF0">
              <w:rPr>
                <w:shd w:val="clear" w:color="auto" w:fill="FFFFFF" w:themeFill="background1"/>
              </w:rPr>
              <w:t>, focus area 1</w:t>
            </w:r>
            <w:r w:rsidR="008A0473" w:rsidRPr="00683FF0">
              <w:rPr>
                <w:shd w:val="clear" w:color="auto" w:fill="FFFFFF" w:themeFill="background1"/>
              </w:rPr>
              <w:t>)</w:t>
            </w:r>
            <w:r w:rsidR="008D257E" w:rsidRPr="00683FF0">
              <w:rPr>
                <w:shd w:val="clear" w:color="auto" w:fill="FFFFFF" w:themeFill="background1"/>
              </w:rPr>
              <w:t>.</w:t>
            </w:r>
            <w:r w:rsidR="008D257E" w:rsidRPr="00683FF0">
              <w:t xml:space="preserve"> </w:t>
            </w:r>
          </w:p>
          <w:p w14:paraId="087872D4" w14:textId="28CE5238" w:rsidR="008D257E" w:rsidRPr="00683FF0" w:rsidRDefault="0F3A3053" w:rsidP="005159C8">
            <w:pPr>
              <w:pStyle w:val="TableText"/>
              <w:spacing w:before="40" w:after="40"/>
            </w:pPr>
            <w:r w:rsidRPr="00683FF0">
              <w:t>It also commits to setting sub-national VKT reduction targets by the end of 2022 (</w:t>
            </w:r>
            <w:r w:rsidR="001A78D3" w:rsidRPr="00683FF0">
              <w:t>c</w:t>
            </w:r>
            <w:r w:rsidR="58F8035B" w:rsidRPr="00683FF0">
              <w:t>hapter 10</w:t>
            </w:r>
            <w:r w:rsidR="001A78D3" w:rsidRPr="00683FF0">
              <w:t>:</w:t>
            </w:r>
            <w:r w:rsidR="58F8035B" w:rsidRPr="00683FF0">
              <w:t xml:space="preserve"> Transport, </w:t>
            </w:r>
            <w:r w:rsidR="001A78D3" w:rsidRPr="00683FF0">
              <w:t>a</w:t>
            </w:r>
            <w:r w:rsidRPr="00683FF0">
              <w:t xml:space="preserve">ction </w:t>
            </w:r>
            <w:r w:rsidR="00FF72C9" w:rsidRPr="00683FF0">
              <w:t>10.</w:t>
            </w:r>
            <w:r w:rsidRPr="00683FF0">
              <w:t>1.2</w:t>
            </w:r>
            <w:r w:rsidR="008D257E" w:rsidRPr="00683FF0" w:rsidDel="0F3A3053">
              <w:t>A</w:t>
            </w:r>
            <w:r w:rsidRPr="00683FF0">
              <w:t>).</w:t>
            </w:r>
            <w:r w:rsidR="00C1630D" w:rsidRPr="00683FF0">
              <w:t xml:space="preserve"> </w:t>
            </w:r>
          </w:p>
          <w:p w14:paraId="0FD9DBFA" w14:textId="15BD93E5" w:rsidR="008D257E" w:rsidRPr="00683FF0" w:rsidRDefault="0F3A3053" w:rsidP="005159C8">
            <w:pPr>
              <w:pStyle w:val="TableText"/>
              <w:spacing w:before="40" w:after="40"/>
            </w:pPr>
            <w:r w:rsidRPr="00683FF0">
              <w:rPr>
                <w:b/>
                <w:bCs/>
              </w:rPr>
              <w:t xml:space="preserve">17.1a and b. </w:t>
            </w:r>
            <w:r w:rsidRPr="00683FF0">
              <w:t xml:space="preserve">The </w:t>
            </w:r>
            <w:r w:rsidR="00FD74DA" w:rsidRPr="00683FF0">
              <w:t>emissions reduction plan</w:t>
            </w:r>
            <w:r w:rsidRPr="00683FF0">
              <w:t xml:space="preserve"> commits to delivering major public transport service and infrastructure improvements (</w:t>
            </w:r>
            <w:r w:rsidR="00AC455C" w:rsidRPr="00683FF0">
              <w:t>c</w:t>
            </w:r>
            <w:r w:rsidRPr="00683FF0">
              <w:t>hapter 10</w:t>
            </w:r>
            <w:r w:rsidR="00AC455C" w:rsidRPr="00683FF0">
              <w:t>:</w:t>
            </w:r>
            <w:r w:rsidRPr="00683FF0">
              <w:t xml:space="preserve"> Transport, </w:t>
            </w:r>
            <w:r w:rsidR="00AC455C" w:rsidRPr="00683FF0">
              <w:t>a</w:t>
            </w:r>
            <w:r w:rsidRPr="00683FF0">
              <w:t xml:space="preserve">ction </w:t>
            </w:r>
            <w:r w:rsidR="00FF72C9" w:rsidRPr="00683FF0">
              <w:t>10.</w:t>
            </w:r>
            <w:r w:rsidRPr="00683FF0">
              <w:t>1.2</w:t>
            </w:r>
            <w:r w:rsidR="008D257E" w:rsidRPr="00683FF0" w:rsidDel="0F3A3053">
              <w:t>B</w:t>
            </w:r>
            <w:r w:rsidRPr="00683FF0">
              <w:t>) and to substantially improving infrastructure for walking and cycling (</w:t>
            </w:r>
            <w:r w:rsidR="00AC455C" w:rsidRPr="00683FF0">
              <w:t>c</w:t>
            </w:r>
            <w:r w:rsidR="56B80645" w:rsidRPr="00683FF0">
              <w:t>hapter 10</w:t>
            </w:r>
            <w:r w:rsidR="00AC455C" w:rsidRPr="00683FF0">
              <w:t>:</w:t>
            </w:r>
            <w:r w:rsidR="56B80645" w:rsidRPr="00683FF0">
              <w:t xml:space="preserve"> Transport, </w:t>
            </w:r>
            <w:r w:rsidR="00AC455C" w:rsidRPr="00683FF0">
              <w:t>a</w:t>
            </w:r>
            <w:r w:rsidRPr="00683FF0">
              <w:t xml:space="preserve">ction </w:t>
            </w:r>
            <w:r w:rsidR="00FF72C9" w:rsidRPr="00683FF0">
              <w:t>10.</w:t>
            </w:r>
            <w:r w:rsidRPr="00683FF0">
              <w:t>1.2</w:t>
            </w:r>
            <w:r w:rsidR="008D257E" w:rsidRPr="00683FF0" w:rsidDel="0F3A3053">
              <w:t>C</w:t>
            </w:r>
            <w:r w:rsidRPr="00683FF0">
              <w:t xml:space="preserve">). </w:t>
            </w:r>
          </w:p>
          <w:p w14:paraId="33D8B8B3" w14:textId="4B99D647" w:rsidR="008D257E" w:rsidRPr="00683FF0" w:rsidRDefault="0F3A3053" w:rsidP="005159C8">
            <w:pPr>
              <w:pStyle w:val="TableText"/>
              <w:spacing w:before="40" w:after="40"/>
            </w:pPr>
            <w:r w:rsidRPr="00683FF0">
              <w:rPr>
                <w:b/>
                <w:bCs/>
              </w:rPr>
              <w:t xml:space="preserve">17.1c. </w:t>
            </w:r>
            <w:r w:rsidRPr="00683FF0">
              <w:t xml:space="preserve">The </w:t>
            </w:r>
            <w:r w:rsidR="00FD74DA" w:rsidRPr="00683FF0">
              <w:t>emissions reduction plan</w:t>
            </w:r>
            <w:r w:rsidRPr="00683FF0">
              <w:t xml:space="preserve"> commits to </w:t>
            </w:r>
            <w:r w:rsidR="47F30BF3" w:rsidRPr="00683FF0">
              <w:t>working with local authorities to make public transport more affordable, with a particular focus on low-income users</w:t>
            </w:r>
            <w:r w:rsidRPr="00683FF0">
              <w:t xml:space="preserve"> (</w:t>
            </w:r>
            <w:r w:rsidR="00541F4F" w:rsidRPr="00683FF0">
              <w:t>c</w:t>
            </w:r>
            <w:r w:rsidR="56B80645" w:rsidRPr="00683FF0">
              <w:t>hapter 10</w:t>
            </w:r>
            <w:r w:rsidR="00541F4F" w:rsidRPr="00683FF0">
              <w:t>:</w:t>
            </w:r>
            <w:r w:rsidR="56B80645" w:rsidRPr="00683FF0">
              <w:t xml:space="preserve"> Transport, </w:t>
            </w:r>
            <w:r w:rsidR="00541F4F" w:rsidRPr="00683FF0">
              <w:t>a</w:t>
            </w:r>
            <w:r w:rsidRPr="00683FF0">
              <w:t xml:space="preserve">ction </w:t>
            </w:r>
            <w:r w:rsidR="00FF72C9" w:rsidRPr="00683FF0">
              <w:t>10.</w:t>
            </w:r>
            <w:r w:rsidRPr="00683FF0">
              <w:t>1.2</w:t>
            </w:r>
            <w:r w:rsidR="008D257E" w:rsidRPr="00683FF0" w:rsidDel="0F3A3053">
              <w:t>F</w:t>
            </w:r>
            <w:r w:rsidRPr="00683FF0">
              <w:t xml:space="preserve">). </w:t>
            </w:r>
          </w:p>
          <w:p w14:paraId="75686D54" w14:textId="22121590" w:rsidR="008D257E" w:rsidRPr="00683FF0" w:rsidRDefault="0F3A3053" w:rsidP="001E2BCF">
            <w:pPr>
              <w:pStyle w:val="TableText"/>
            </w:pPr>
            <w:r w:rsidRPr="00683FF0">
              <w:rPr>
                <w:b/>
                <w:bCs/>
              </w:rPr>
              <w:t xml:space="preserve">17.1d. </w:t>
            </w:r>
            <w:r w:rsidRPr="00683FF0">
              <w:t xml:space="preserve">The </w:t>
            </w:r>
            <w:r w:rsidR="00FD74DA" w:rsidRPr="00683FF0">
              <w:t>emissions reduction plan</w:t>
            </w:r>
            <w:r w:rsidRPr="00683FF0">
              <w:t xml:space="preserve"> commits to partnering with </w:t>
            </w:r>
            <w:r w:rsidR="5E04503A" w:rsidRPr="00683FF0">
              <w:t>Māori</w:t>
            </w:r>
            <w:r w:rsidRPr="00683FF0">
              <w:t>, local government and community representatives to develop new VKT reduction programmes, aligned with sub-national VKT reduction targets (</w:t>
            </w:r>
            <w:r w:rsidR="00190D93" w:rsidRPr="00683FF0">
              <w:t>c</w:t>
            </w:r>
            <w:r w:rsidR="56B80645" w:rsidRPr="00683FF0">
              <w:t>hapter 10</w:t>
            </w:r>
            <w:r w:rsidR="00190D93" w:rsidRPr="00683FF0">
              <w:t>:</w:t>
            </w:r>
            <w:r w:rsidR="56B80645" w:rsidRPr="00683FF0">
              <w:t xml:space="preserve"> Transport, </w:t>
            </w:r>
            <w:r w:rsidR="00190D93" w:rsidRPr="00683FF0">
              <w:t>a</w:t>
            </w:r>
            <w:r w:rsidRPr="00683FF0">
              <w:t xml:space="preserve">ction </w:t>
            </w:r>
            <w:r w:rsidR="00FF72C9" w:rsidRPr="00683FF0">
              <w:t>10.</w:t>
            </w:r>
            <w:r w:rsidRPr="00683FF0">
              <w:t>1.2</w:t>
            </w:r>
            <w:r w:rsidR="008D257E" w:rsidRPr="00683FF0" w:rsidDel="0F3A3053">
              <w:t>A</w:t>
            </w:r>
            <w:r w:rsidRPr="00683FF0">
              <w:t>).</w:t>
            </w:r>
            <w:r w:rsidR="00C1630D" w:rsidRPr="00683FF0">
              <w:t xml:space="preserve"> </w:t>
            </w:r>
          </w:p>
        </w:tc>
      </w:tr>
      <w:tr w:rsidR="008D257E" w:rsidRPr="00683FF0" w14:paraId="4685CC2A" w14:textId="77777777" w:rsidTr="006660A6">
        <w:tc>
          <w:tcPr>
            <w:tcW w:w="4111" w:type="dxa"/>
          </w:tcPr>
          <w:p w14:paraId="57A1F4DF" w14:textId="3D8C353A" w:rsidR="008D257E" w:rsidRPr="00683FF0" w:rsidRDefault="008D257E" w:rsidP="005159C8">
            <w:pPr>
              <w:pStyle w:val="TableText"/>
              <w:spacing w:before="40" w:after="40"/>
            </w:pPr>
            <w:r w:rsidRPr="00683FF0">
              <w:t>17.2. Encouraging higher rates of working from home and flexible work arrangements to reduce travel demand and associated emissions (see also Recommendation 24 (2c) in Chapter 17: Policy direction for agriculture).</w:t>
            </w:r>
          </w:p>
        </w:tc>
        <w:tc>
          <w:tcPr>
            <w:tcW w:w="4394" w:type="dxa"/>
          </w:tcPr>
          <w:p w14:paraId="7B3BF729" w14:textId="096BBD1A" w:rsidR="000B73A6" w:rsidRPr="00683FF0" w:rsidRDefault="00F3532A" w:rsidP="005159C8">
            <w:pPr>
              <w:pStyle w:val="TableText"/>
              <w:spacing w:before="40" w:after="40"/>
            </w:pPr>
            <w:r w:rsidRPr="00683FF0">
              <w:rPr>
                <w:b/>
              </w:rPr>
              <w:t xml:space="preserve">17.2. </w:t>
            </w:r>
            <w:r w:rsidR="005737C4" w:rsidRPr="00683FF0">
              <w:rPr>
                <w:b/>
              </w:rPr>
              <w:t xml:space="preserve">The Government agrees in part </w:t>
            </w:r>
            <w:r w:rsidR="00A73991" w:rsidRPr="00683FF0">
              <w:rPr>
                <w:b/>
              </w:rPr>
              <w:t>with</w:t>
            </w:r>
            <w:r w:rsidR="005737C4" w:rsidRPr="00683FF0">
              <w:rPr>
                <w:b/>
              </w:rPr>
              <w:t xml:space="preserve"> this recommendation. </w:t>
            </w:r>
            <w:r w:rsidR="000B73A6" w:rsidRPr="00683FF0">
              <w:t>The costs and benefits of working from home should be explored to understand if agencies</w:t>
            </w:r>
            <w:r w:rsidR="005D20B5" w:rsidRPr="00683FF0">
              <w:t> </w:t>
            </w:r>
            <w:r w:rsidR="000B73A6" w:rsidRPr="00683FF0">
              <w:t>should develop a tool to inform individuals and</w:t>
            </w:r>
            <w:r w:rsidR="005D20B5" w:rsidRPr="00683FF0">
              <w:t> </w:t>
            </w:r>
            <w:r w:rsidR="000B73A6" w:rsidRPr="00683FF0">
              <w:t>businesses of the financial and emissions benefits of</w:t>
            </w:r>
            <w:r w:rsidR="005D20B5" w:rsidRPr="00683FF0">
              <w:t> </w:t>
            </w:r>
            <w:r w:rsidR="000B73A6" w:rsidRPr="00683FF0">
              <w:t>working from home.</w:t>
            </w:r>
            <w:r w:rsidR="00960861" w:rsidRPr="00683FF0">
              <w:t xml:space="preserve"> </w:t>
            </w:r>
          </w:p>
        </w:tc>
      </w:tr>
      <w:tr w:rsidR="008D257E" w:rsidRPr="00683FF0" w14:paraId="7D5E5910" w14:textId="77777777" w:rsidTr="006660A6">
        <w:tc>
          <w:tcPr>
            <w:tcW w:w="4111" w:type="dxa"/>
          </w:tcPr>
          <w:p w14:paraId="15F6533B" w14:textId="77777777" w:rsidR="008D257E" w:rsidRPr="00683FF0" w:rsidRDefault="008D257E" w:rsidP="005159C8">
            <w:pPr>
              <w:pStyle w:val="TableText"/>
              <w:spacing w:before="40" w:after="40"/>
            </w:pPr>
            <w:r w:rsidRPr="00683FF0">
              <w:t xml:space="preserve">17.3. Ensuring regulatory settings provide local authorities with the tools needed to deliver a low emissions and climate-resilient transport system at pace. This should include evaluating the role of pricing incentives beyond the NZ ETS. For example, </w:t>
            </w:r>
            <w:r w:rsidRPr="00683FF0">
              <w:lastRenderedPageBreak/>
              <w:t xml:space="preserve">congestion charges or where public transport fare reduction would have the greatest impact on behaviour change. </w:t>
            </w:r>
          </w:p>
        </w:tc>
        <w:tc>
          <w:tcPr>
            <w:tcW w:w="4394" w:type="dxa"/>
          </w:tcPr>
          <w:p w14:paraId="12CDD483" w14:textId="5A3568EA" w:rsidR="008D257E" w:rsidRPr="00683FF0" w:rsidRDefault="00F3532A" w:rsidP="005159C8">
            <w:pPr>
              <w:pStyle w:val="TableText"/>
              <w:spacing w:before="40" w:after="40"/>
            </w:pPr>
            <w:r w:rsidRPr="00683FF0">
              <w:rPr>
                <w:b/>
                <w:bCs/>
              </w:rPr>
              <w:lastRenderedPageBreak/>
              <w:t xml:space="preserve">17.3. </w:t>
            </w:r>
            <w:r w:rsidR="008D257E" w:rsidRPr="00683FF0">
              <w:rPr>
                <w:b/>
                <w:bCs/>
              </w:rPr>
              <w:t xml:space="preserve">The Government agrees </w:t>
            </w:r>
            <w:r w:rsidR="00A73991" w:rsidRPr="00683FF0">
              <w:rPr>
                <w:b/>
                <w:bCs/>
              </w:rPr>
              <w:t>with</w:t>
            </w:r>
            <w:r w:rsidR="008D257E" w:rsidRPr="00683FF0">
              <w:rPr>
                <w:b/>
                <w:bCs/>
              </w:rPr>
              <w:t xml:space="preserve"> this recommendation. </w:t>
            </w:r>
            <w:r w:rsidR="000B73A6" w:rsidRPr="00683FF0">
              <w:t xml:space="preserve">The </w:t>
            </w:r>
            <w:r w:rsidR="00FD74DA" w:rsidRPr="00683FF0">
              <w:t>emissions reduction plan</w:t>
            </w:r>
            <w:r w:rsidR="000B73A6" w:rsidRPr="00683FF0">
              <w:t xml:space="preserve"> commits to considering enabling congestion charging, as</w:t>
            </w:r>
            <w:r w:rsidR="005D20B5" w:rsidRPr="00683FF0">
              <w:t> </w:t>
            </w:r>
            <w:r w:rsidR="000B73A6" w:rsidRPr="00683FF0">
              <w:t xml:space="preserve">well as determining the most effective combination of additional pricing tools to reduce emissions from land </w:t>
            </w:r>
            <w:r w:rsidR="000B73A6" w:rsidRPr="00683FF0">
              <w:lastRenderedPageBreak/>
              <w:t>transport, including parking pricing, VKT pricing and low</w:t>
            </w:r>
            <w:r w:rsidR="007F2F1E" w:rsidRPr="00683FF0">
              <w:t>-</w:t>
            </w:r>
            <w:r w:rsidR="000B73A6" w:rsidRPr="00683FF0">
              <w:t xml:space="preserve">emissions zones. It also commits to considering changes to legislative settings to enable their use and investigate the equity impact of different tools </w:t>
            </w:r>
            <w:r w:rsidR="008D257E" w:rsidRPr="00683FF0">
              <w:t>(</w:t>
            </w:r>
            <w:r w:rsidR="00B42220" w:rsidRPr="00683FF0">
              <w:t>c</w:t>
            </w:r>
            <w:r w:rsidR="00960861" w:rsidRPr="00683FF0">
              <w:t>hapter 10</w:t>
            </w:r>
            <w:r w:rsidR="00B42220" w:rsidRPr="00683FF0">
              <w:t>:</w:t>
            </w:r>
            <w:r w:rsidR="00960861" w:rsidRPr="00683FF0">
              <w:t xml:space="preserve"> Transport</w:t>
            </w:r>
            <w:r w:rsidR="00B42220" w:rsidRPr="00683FF0">
              <w:t>,</w:t>
            </w:r>
            <w:r w:rsidR="00960861" w:rsidRPr="00683FF0">
              <w:t xml:space="preserve"> </w:t>
            </w:r>
            <w:r w:rsidR="00B42220" w:rsidRPr="00683FF0">
              <w:t>a</w:t>
            </w:r>
            <w:r w:rsidR="008D257E" w:rsidRPr="00683FF0">
              <w:t xml:space="preserve">ction </w:t>
            </w:r>
            <w:r w:rsidR="00FF72C9" w:rsidRPr="00683FF0">
              <w:t>10.</w:t>
            </w:r>
            <w:r w:rsidR="008D257E" w:rsidRPr="00683FF0">
              <w:t>1.3).</w:t>
            </w:r>
          </w:p>
        </w:tc>
      </w:tr>
      <w:tr w:rsidR="005737C4" w:rsidRPr="00683FF0" w14:paraId="7F4A4DD4" w14:textId="77777777" w:rsidTr="006660A6">
        <w:tc>
          <w:tcPr>
            <w:tcW w:w="4111" w:type="dxa"/>
            <w:shd w:val="clear" w:color="auto" w:fill="auto"/>
          </w:tcPr>
          <w:p w14:paraId="4007F979" w14:textId="77777777" w:rsidR="005737C4" w:rsidRPr="00683FF0" w:rsidRDefault="005737C4" w:rsidP="006660A6">
            <w:pPr>
              <w:pStyle w:val="TableText"/>
            </w:pPr>
          </w:p>
        </w:tc>
        <w:tc>
          <w:tcPr>
            <w:tcW w:w="4394" w:type="dxa"/>
            <w:shd w:val="clear" w:color="auto" w:fill="auto"/>
          </w:tcPr>
          <w:p w14:paraId="2B2EF94C" w14:textId="77777777" w:rsidR="005737C4" w:rsidRPr="00683FF0" w:rsidRDefault="005737C4" w:rsidP="005159C8">
            <w:pPr>
              <w:pStyle w:val="TableTextbold"/>
              <w:spacing w:after="40"/>
            </w:pPr>
            <w:r w:rsidRPr="00683FF0">
              <w:t>Responsible agencies:</w:t>
            </w:r>
          </w:p>
          <w:p w14:paraId="18B966A6" w14:textId="00D49DA6" w:rsidR="005737C4" w:rsidRPr="00683FF0" w:rsidRDefault="005737C4" w:rsidP="005159C8">
            <w:pPr>
              <w:pStyle w:val="TableBullet"/>
              <w:spacing w:after="40"/>
            </w:pPr>
            <w:r w:rsidRPr="00683FF0">
              <w:t>17.1 and 17.3. Ministry of Transport</w:t>
            </w:r>
          </w:p>
          <w:p w14:paraId="68297EA1" w14:textId="77B0A65E" w:rsidR="005737C4" w:rsidRPr="00683FF0" w:rsidRDefault="005737C4" w:rsidP="00FE202D">
            <w:pPr>
              <w:pStyle w:val="TableBullet"/>
            </w:pPr>
            <w:r w:rsidRPr="00683FF0">
              <w:t xml:space="preserve">17.2. Ministry for the Environment </w:t>
            </w:r>
          </w:p>
          <w:p w14:paraId="20EF0369" w14:textId="77777777" w:rsidR="005737C4" w:rsidRPr="00683FF0" w:rsidRDefault="005737C4" w:rsidP="005159C8">
            <w:pPr>
              <w:pStyle w:val="TableTextbold"/>
              <w:spacing w:after="40"/>
            </w:pPr>
            <w:r w:rsidRPr="00683FF0">
              <w:t xml:space="preserve">Responsible Ministers: </w:t>
            </w:r>
          </w:p>
          <w:p w14:paraId="1BA3AD8C" w14:textId="4EEB65C6" w:rsidR="005737C4" w:rsidRPr="00683FF0" w:rsidRDefault="005737C4" w:rsidP="00FE202D">
            <w:pPr>
              <w:pStyle w:val="TableBullet"/>
              <w:rPr>
                <w:b/>
                <w:bCs/>
              </w:rPr>
            </w:pPr>
            <w:r w:rsidRPr="00683FF0">
              <w:t>17.1 and 17.3. Minister of Transport</w:t>
            </w:r>
          </w:p>
          <w:p w14:paraId="1DC3B37E" w14:textId="77777777" w:rsidR="005737C4" w:rsidRPr="00683FF0" w:rsidRDefault="005737C4" w:rsidP="00C3296E">
            <w:pPr>
              <w:pStyle w:val="TableTextbold"/>
              <w:spacing w:after="40"/>
            </w:pPr>
            <w:r w:rsidRPr="00683FF0">
              <w:t xml:space="preserve">Timeline: </w:t>
            </w:r>
          </w:p>
          <w:p w14:paraId="0CFA743F" w14:textId="47B488FE" w:rsidR="005737C4" w:rsidRPr="00683FF0" w:rsidRDefault="005737C4" w:rsidP="00FE202D">
            <w:pPr>
              <w:pStyle w:val="TableBullet"/>
              <w:rPr>
                <w:szCs w:val="18"/>
              </w:rPr>
            </w:pPr>
            <w:r w:rsidRPr="00683FF0">
              <w:t xml:space="preserve">17.1 and </w:t>
            </w:r>
            <w:r w:rsidR="00B42220" w:rsidRPr="00683FF0">
              <w:t>17.</w:t>
            </w:r>
            <w:r w:rsidRPr="00683FF0">
              <w:t>3. 2022</w:t>
            </w:r>
            <w:r w:rsidR="00B42220" w:rsidRPr="00683FF0">
              <w:t>–</w:t>
            </w:r>
            <w:r w:rsidRPr="00683FF0">
              <w:t xml:space="preserve">25 (EB1) and ongoing </w:t>
            </w:r>
          </w:p>
        </w:tc>
      </w:tr>
      <w:tr w:rsidR="008D257E" w:rsidRPr="00683FF0" w14:paraId="18438627" w14:textId="77777777" w:rsidTr="006660A6">
        <w:tc>
          <w:tcPr>
            <w:tcW w:w="4111" w:type="dxa"/>
            <w:shd w:val="clear" w:color="auto" w:fill="auto"/>
          </w:tcPr>
          <w:p w14:paraId="278BB2D9" w14:textId="0A4CBD5A" w:rsidR="008D257E" w:rsidRPr="00683FF0" w:rsidRDefault="008D257E" w:rsidP="00C3296E">
            <w:pPr>
              <w:pStyle w:val="TableTextbold"/>
              <w:spacing w:before="40" w:after="0"/>
            </w:pPr>
            <w:r w:rsidRPr="00683FF0">
              <w:t xml:space="preserve">Recommendation 18 </w:t>
            </w:r>
            <w:r w:rsidR="00DD3ED3" w:rsidRPr="00683FF0">
              <w:t>–</w:t>
            </w:r>
            <w:r w:rsidRPr="00683FF0">
              <w:t xml:space="preserve"> Accelerate emissions reductions from the light vehicle fleet</w:t>
            </w:r>
          </w:p>
          <w:p w14:paraId="33A300AD" w14:textId="220ABF9D" w:rsidR="008D257E" w:rsidRPr="00683FF0" w:rsidRDefault="008D257E" w:rsidP="00C3296E">
            <w:pPr>
              <w:pStyle w:val="TableText"/>
              <w:spacing w:before="40" w:after="40"/>
            </w:pPr>
            <w:r w:rsidRPr="00683FF0">
              <w:t>We recommend that, in the first emissions reduction plan, the Government commit to: Accelerating emissions reductions from the light vehicle fleet. This should include the Government:</w:t>
            </w:r>
          </w:p>
        </w:tc>
        <w:tc>
          <w:tcPr>
            <w:tcW w:w="4394" w:type="dxa"/>
            <w:shd w:val="clear" w:color="auto" w:fill="auto"/>
          </w:tcPr>
          <w:p w14:paraId="0F5DB05D" w14:textId="77777777" w:rsidR="008D257E" w:rsidRPr="00683FF0" w:rsidRDefault="008D257E" w:rsidP="00FE202D">
            <w:pPr>
              <w:pStyle w:val="TableText"/>
            </w:pPr>
          </w:p>
        </w:tc>
      </w:tr>
      <w:tr w:rsidR="008D257E" w:rsidRPr="00683FF0" w14:paraId="4A96BD81" w14:textId="77777777" w:rsidTr="006660A6">
        <w:tc>
          <w:tcPr>
            <w:tcW w:w="4111" w:type="dxa"/>
          </w:tcPr>
          <w:p w14:paraId="5D99A093" w14:textId="4F8E707F" w:rsidR="008D257E" w:rsidRPr="00683FF0" w:rsidRDefault="008D257E" w:rsidP="00C3296E">
            <w:pPr>
              <w:pStyle w:val="TableText"/>
              <w:spacing w:before="40"/>
            </w:pPr>
            <w:r w:rsidRPr="00683FF0">
              <w:t>18.1. Setting a time-limit on light vehicles with internal combustion engines entering, being manufactured, or assembled in Aotearoa. The time limit should be no later than 2035 and, if possible, as early as 2030.</w:t>
            </w:r>
          </w:p>
        </w:tc>
        <w:tc>
          <w:tcPr>
            <w:tcW w:w="4394" w:type="dxa"/>
          </w:tcPr>
          <w:p w14:paraId="6D6158C0" w14:textId="51976228" w:rsidR="008D257E" w:rsidRPr="00683FF0" w:rsidRDefault="00F3532A" w:rsidP="00C3296E">
            <w:pPr>
              <w:pStyle w:val="TableText"/>
              <w:spacing w:before="40" w:after="40"/>
              <w:rPr>
                <w:szCs w:val="18"/>
              </w:rPr>
            </w:pPr>
            <w:r w:rsidRPr="00683FF0">
              <w:rPr>
                <w:b/>
                <w:bCs/>
              </w:rPr>
              <w:t xml:space="preserve">18.1. </w:t>
            </w:r>
            <w:r w:rsidR="0F3A3053" w:rsidRPr="00683FF0">
              <w:rPr>
                <w:b/>
                <w:bCs/>
              </w:rPr>
              <w:t xml:space="preserve">The Government agrees in part </w:t>
            </w:r>
            <w:r w:rsidR="7B69EC0A" w:rsidRPr="00683FF0">
              <w:rPr>
                <w:b/>
                <w:bCs/>
              </w:rPr>
              <w:t>with</w:t>
            </w:r>
            <w:r w:rsidR="0F3A3053" w:rsidRPr="00683FF0">
              <w:rPr>
                <w:b/>
                <w:bCs/>
              </w:rPr>
              <w:t xml:space="preserve"> this recommendation.</w:t>
            </w:r>
            <w:r w:rsidR="60B84A29" w:rsidRPr="00683FF0">
              <w:t xml:space="preserve"> The Government wants to consider more broadly what is required to support the transition to low-emission</w:t>
            </w:r>
            <w:r w:rsidR="007A10DB" w:rsidRPr="00683FF0">
              <w:t>s</w:t>
            </w:r>
            <w:r w:rsidR="60B84A29" w:rsidRPr="00683FF0">
              <w:t xml:space="preserve"> vehicles. This includes considering what further measures are required from 2027 to increase the fuel efficiency of the imported fleet and </w:t>
            </w:r>
            <w:r w:rsidR="007A10DB" w:rsidRPr="00683FF0">
              <w:t xml:space="preserve">prevent </w:t>
            </w:r>
            <w:r w:rsidR="60B84A29" w:rsidRPr="00683FF0">
              <w:t>high</w:t>
            </w:r>
            <w:r w:rsidR="007A10DB" w:rsidRPr="00683FF0">
              <w:t>-</w:t>
            </w:r>
            <w:r w:rsidR="60B84A29" w:rsidRPr="00683FF0">
              <w:t>emitting vehicles</w:t>
            </w:r>
            <w:r w:rsidR="007A10DB" w:rsidRPr="00683FF0">
              <w:t xml:space="preserve"> from</w:t>
            </w:r>
            <w:r w:rsidR="60B84A29" w:rsidRPr="00683FF0">
              <w:t xml:space="preserve"> being dumped into </w:t>
            </w:r>
            <w:r w:rsidR="007A10DB" w:rsidRPr="00683FF0">
              <w:t>Aotearoa</w:t>
            </w:r>
            <w:r w:rsidR="60B84A29" w:rsidRPr="00683FF0">
              <w:t xml:space="preserve"> </w:t>
            </w:r>
            <w:r w:rsidR="0F3A3053" w:rsidRPr="00683FF0">
              <w:t>(</w:t>
            </w:r>
            <w:r w:rsidR="007A10DB" w:rsidRPr="00683FF0">
              <w:t>c</w:t>
            </w:r>
            <w:r w:rsidR="60B84A29" w:rsidRPr="00683FF0">
              <w:t>hapter 10</w:t>
            </w:r>
            <w:r w:rsidR="007A10DB" w:rsidRPr="00683FF0">
              <w:t>:</w:t>
            </w:r>
            <w:r w:rsidR="60B84A29" w:rsidRPr="00683FF0">
              <w:t xml:space="preserve"> Transport</w:t>
            </w:r>
            <w:r w:rsidR="007A10DB" w:rsidRPr="00683FF0">
              <w:t>,</w:t>
            </w:r>
            <w:r w:rsidR="60B84A29" w:rsidRPr="00683FF0">
              <w:t xml:space="preserve"> </w:t>
            </w:r>
            <w:r w:rsidR="007A10DB" w:rsidRPr="00683FF0">
              <w:t>a</w:t>
            </w:r>
            <w:r w:rsidR="0F3A3053" w:rsidRPr="00683FF0">
              <w:t xml:space="preserve">ction </w:t>
            </w:r>
            <w:r w:rsidR="00FF72C9" w:rsidRPr="00683FF0">
              <w:t>10.</w:t>
            </w:r>
            <w:r w:rsidR="0F3A3053" w:rsidRPr="00683FF0">
              <w:t>2.1).</w:t>
            </w:r>
            <w:r w:rsidR="00C1630D" w:rsidRPr="00683FF0">
              <w:t xml:space="preserve"> </w:t>
            </w:r>
          </w:p>
        </w:tc>
      </w:tr>
      <w:tr w:rsidR="008D257E" w:rsidRPr="00683FF0" w14:paraId="43A2C10A" w14:textId="77777777" w:rsidTr="006660A6">
        <w:tc>
          <w:tcPr>
            <w:tcW w:w="4111" w:type="dxa"/>
          </w:tcPr>
          <w:p w14:paraId="13F0CC2B" w14:textId="77777777" w:rsidR="008D257E" w:rsidRPr="00683FF0" w:rsidRDefault="008D257E" w:rsidP="00FE202D">
            <w:pPr>
              <w:pStyle w:val="TableText"/>
            </w:pPr>
            <w:r w:rsidRPr="00683FF0">
              <w:t>18.2. Setting an emissions efficiency standard for light vehicle imports and steadily strengthening this to improve overall efficiency of the light vehicle fleet.</w:t>
            </w:r>
          </w:p>
        </w:tc>
        <w:tc>
          <w:tcPr>
            <w:tcW w:w="4394" w:type="dxa"/>
          </w:tcPr>
          <w:p w14:paraId="748F970D" w14:textId="7B6BDED5" w:rsidR="008D257E" w:rsidRPr="00683FF0" w:rsidRDefault="00F3532A" w:rsidP="00C3296E">
            <w:pPr>
              <w:pStyle w:val="TableText"/>
              <w:spacing w:before="40" w:after="40"/>
              <w:rPr>
                <w:szCs w:val="18"/>
              </w:rPr>
            </w:pPr>
            <w:r w:rsidRPr="00683FF0">
              <w:rPr>
                <w:b/>
                <w:bCs/>
              </w:rPr>
              <w:t xml:space="preserve">18.2. </w:t>
            </w:r>
            <w:r w:rsidR="008D257E" w:rsidRPr="00683FF0">
              <w:rPr>
                <w:b/>
                <w:bCs/>
              </w:rPr>
              <w:t xml:space="preserve">The Government agrees </w:t>
            </w:r>
            <w:r w:rsidR="00A73991" w:rsidRPr="00683FF0">
              <w:rPr>
                <w:b/>
                <w:bCs/>
              </w:rPr>
              <w:t>with</w:t>
            </w:r>
            <w:r w:rsidR="008D257E" w:rsidRPr="00683FF0">
              <w:rPr>
                <w:b/>
                <w:bCs/>
              </w:rPr>
              <w:t xml:space="preserve"> this recommendation. </w:t>
            </w:r>
            <w:r w:rsidR="00960861" w:rsidRPr="00683FF0">
              <w:t>The Government has passed the Clean Vehicles Act 2022, which sets a</w:t>
            </w:r>
            <w:r w:rsidR="00BE6D02" w:rsidRPr="00683FF0">
              <w:t>n</w:t>
            </w:r>
            <w:r w:rsidR="00960861" w:rsidRPr="00683FF0">
              <w:t xml:space="preserve"> entry into force date</w:t>
            </w:r>
            <w:r w:rsidR="00BE6D02" w:rsidRPr="00683FF0">
              <w:t xml:space="preserve"> of 1 January 2023</w:t>
            </w:r>
            <w:r w:rsidR="00960861" w:rsidRPr="00683FF0">
              <w:t xml:space="preserve"> for the Clean Vehicle Standard. The Land Transport (Clean Vehicles Standard) Regulations to support this are being developed over 2022. The Clean Vehicle Standard is an emissions efficiency standard for light vehicle imports and will steadily strengthen over</w:t>
            </w:r>
            <w:r w:rsidR="00B81837" w:rsidRPr="00683FF0">
              <w:t xml:space="preserve"> </w:t>
            </w:r>
            <w:r w:rsidR="00960861" w:rsidRPr="00683FF0">
              <w:t xml:space="preserve">time to improve </w:t>
            </w:r>
            <w:r w:rsidR="006B1758" w:rsidRPr="00683FF0">
              <w:t xml:space="preserve">the </w:t>
            </w:r>
            <w:r w:rsidR="00960861" w:rsidRPr="00683FF0">
              <w:t>overall efficiency of the light vehicle fleet (</w:t>
            </w:r>
            <w:r w:rsidR="00B81837" w:rsidRPr="00683FF0">
              <w:t>c</w:t>
            </w:r>
            <w:r w:rsidR="00960861" w:rsidRPr="00683FF0">
              <w:t>hapter 10</w:t>
            </w:r>
            <w:r w:rsidR="00B81837" w:rsidRPr="00683FF0">
              <w:t>:</w:t>
            </w:r>
            <w:r w:rsidR="00960861" w:rsidRPr="00683FF0">
              <w:t xml:space="preserve"> Transport</w:t>
            </w:r>
            <w:r w:rsidR="00B81837" w:rsidRPr="00683FF0">
              <w:t>,</w:t>
            </w:r>
            <w:r w:rsidR="00960861" w:rsidRPr="00683FF0">
              <w:t xml:space="preserve"> </w:t>
            </w:r>
            <w:r w:rsidR="00B81837" w:rsidRPr="00683FF0">
              <w:t>a</w:t>
            </w:r>
            <w:r w:rsidR="00960861" w:rsidRPr="00683FF0">
              <w:t xml:space="preserve">ction </w:t>
            </w:r>
            <w:r w:rsidR="00FF72C9" w:rsidRPr="00683FF0">
              <w:t>10.</w:t>
            </w:r>
            <w:r w:rsidR="00960861" w:rsidRPr="00683FF0">
              <w:t>2.1).</w:t>
            </w:r>
            <w:r w:rsidR="00C1630D" w:rsidRPr="00683FF0">
              <w:t xml:space="preserve"> </w:t>
            </w:r>
          </w:p>
        </w:tc>
      </w:tr>
      <w:tr w:rsidR="008D257E" w:rsidRPr="00683FF0" w14:paraId="61267602" w14:textId="77777777" w:rsidTr="006660A6">
        <w:tc>
          <w:tcPr>
            <w:tcW w:w="4111" w:type="dxa"/>
          </w:tcPr>
          <w:p w14:paraId="55D47C04" w14:textId="0AFF5B36" w:rsidR="008D257E" w:rsidRPr="00683FF0" w:rsidRDefault="008D257E" w:rsidP="00FE202D">
            <w:pPr>
              <w:pStyle w:val="TableText"/>
            </w:pPr>
            <w:r w:rsidRPr="00683FF0">
              <w:t>18.3. Accelerating the uptake of electric vehicles (E</w:t>
            </w:r>
            <w:r w:rsidR="009E230B" w:rsidRPr="00683FF0">
              <w:t>V</w:t>
            </w:r>
            <w:r w:rsidRPr="00683FF0">
              <w:t xml:space="preserve">s) by introducing a range of measures, including: </w:t>
            </w:r>
          </w:p>
          <w:p w14:paraId="53A6880F" w14:textId="015ADB72" w:rsidR="008D257E" w:rsidRPr="00683FF0" w:rsidRDefault="008D257E" w:rsidP="00D21268">
            <w:pPr>
              <w:pStyle w:val="TableText"/>
              <w:numPr>
                <w:ilvl w:val="0"/>
                <w:numId w:val="25"/>
              </w:numPr>
              <w:spacing w:before="0"/>
            </w:pPr>
            <w:r w:rsidRPr="00683FF0">
              <w:t>A policy to reduce the relative upfront cost of E</w:t>
            </w:r>
            <w:r w:rsidR="009E230B" w:rsidRPr="00683FF0">
              <w:t>V</w:t>
            </w:r>
            <w:r w:rsidRPr="00683FF0">
              <w:t xml:space="preserve">s until they reach price parity with internal combustion engine (ICE) vehicles. </w:t>
            </w:r>
          </w:p>
          <w:p w14:paraId="7C91F7C9" w14:textId="37F2398D" w:rsidR="008D257E" w:rsidRPr="00683FF0" w:rsidRDefault="008D257E" w:rsidP="00D21268">
            <w:pPr>
              <w:pStyle w:val="TableText"/>
              <w:numPr>
                <w:ilvl w:val="0"/>
                <w:numId w:val="25"/>
              </w:numPr>
              <w:spacing w:before="0"/>
            </w:pPr>
            <w:r w:rsidRPr="00683FF0">
              <w:t xml:space="preserve">Supporting EV leasing, purchasing and sharing schemes to improve equitable access. Regard needs to be given to ensuring that Iwi/Māori, and those in low income and vulnerable groups have the opportunity to access electric mobility. </w:t>
            </w:r>
          </w:p>
          <w:p w14:paraId="3AB1757E" w14:textId="40338935" w:rsidR="008D257E" w:rsidRPr="00683FF0" w:rsidRDefault="008D257E" w:rsidP="00D21268">
            <w:pPr>
              <w:pStyle w:val="TableText"/>
              <w:numPr>
                <w:ilvl w:val="0"/>
                <w:numId w:val="25"/>
              </w:numPr>
              <w:spacing w:before="0"/>
            </w:pPr>
            <w:r w:rsidRPr="00683FF0">
              <w:t xml:space="preserve">Enabling ways to bulk procure electric vehicle fleets, working with the private sector and public sector procurement to do so. </w:t>
            </w:r>
          </w:p>
          <w:p w14:paraId="7DB020EF" w14:textId="7E4C707A" w:rsidR="008D257E" w:rsidRPr="00683FF0" w:rsidRDefault="008D257E" w:rsidP="00D21268">
            <w:pPr>
              <w:pStyle w:val="TableText"/>
              <w:numPr>
                <w:ilvl w:val="0"/>
                <w:numId w:val="25"/>
              </w:numPr>
              <w:spacing w:before="0"/>
            </w:pPr>
            <w:r w:rsidRPr="00683FF0">
              <w:t xml:space="preserve">Encouraging battery refurbishment, repurposing, and recycling systems, working with the private sector to do so. (See also Recommendation 13 in Chapter 13: Policy direction that </w:t>
            </w:r>
            <w:r w:rsidR="381DCCB7" w:rsidRPr="00683FF0">
              <w:t xml:space="preserve">cuts across </w:t>
            </w:r>
            <w:r w:rsidR="381DCCB7" w:rsidRPr="00683FF0">
              <w:lastRenderedPageBreak/>
              <w:t xml:space="preserve">sectors and Recommendation 22 in Chapter 16: Policy direction for waste.) </w:t>
            </w:r>
          </w:p>
          <w:p w14:paraId="68EC77EB" w14:textId="302C6319" w:rsidR="008D257E" w:rsidRPr="00683FF0" w:rsidRDefault="008D257E" w:rsidP="00D21268">
            <w:pPr>
              <w:pStyle w:val="TableText"/>
              <w:numPr>
                <w:ilvl w:val="0"/>
                <w:numId w:val="25"/>
              </w:numPr>
              <w:spacing w:before="0"/>
            </w:pPr>
            <w:r w:rsidRPr="00683FF0">
              <w:t>Enhancing the roll out of EV charging infrastructure to ensure greater coverage, including at marae, multiple points of access, mandatory smart charging, and fast charging. (See also Recommendation 19, and Recommendation 20 in Chapter 15: Policy direction for energy, industry and buildings</w:t>
            </w:r>
            <w:r w:rsidR="00E47905" w:rsidRPr="00683FF0">
              <w:t>.</w:t>
            </w:r>
            <w:r w:rsidRPr="00683FF0">
              <w:t>)</w:t>
            </w:r>
          </w:p>
        </w:tc>
        <w:tc>
          <w:tcPr>
            <w:tcW w:w="4394" w:type="dxa"/>
          </w:tcPr>
          <w:p w14:paraId="52C15F64" w14:textId="3C965732" w:rsidR="008D257E" w:rsidRPr="00683FF0" w:rsidRDefault="00F3532A" w:rsidP="00C3296E">
            <w:pPr>
              <w:pStyle w:val="TableText"/>
              <w:spacing w:before="40" w:after="40"/>
            </w:pPr>
            <w:r w:rsidRPr="00683FF0">
              <w:rPr>
                <w:b/>
                <w:bCs/>
              </w:rPr>
              <w:lastRenderedPageBreak/>
              <w:t xml:space="preserve">18.3. </w:t>
            </w:r>
            <w:r w:rsidR="008D257E" w:rsidRPr="00683FF0">
              <w:rPr>
                <w:b/>
                <w:bCs/>
              </w:rPr>
              <w:t xml:space="preserve">The Government agrees </w:t>
            </w:r>
            <w:r w:rsidR="00A73991" w:rsidRPr="00683FF0">
              <w:rPr>
                <w:b/>
                <w:bCs/>
              </w:rPr>
              <w:t>with</w:t>
            </w:r>
            <w:r w:rsidR="008D257E" w:rsidRPr="00683FF0">
              <w:rPr>
                <w:b/>
                <w:bCs/>
              </w:rPr>
              <w:t xml:space="preserve"> this recommendation. </w:t>
            </w:r>
            <w:r w:rsidR="008D257E" w:rsidRPr="00683FF0">
              <w:t>The Government has already taken significant steps to accelerate the uptake of E</w:t>
            </w:r>
            <w:r w:rsidR="00DD0F6E" w:rsidRPr="00683FF0">
              <w:t>V</w:t>
            </w:r>
            <w:r w:rsidR="006B1758" w:rsidRPr="00683FF0">
              <w:t>s</w:t>
            </w:r>
            <w:r w:rsidR="008D257E" w:rsidRPr="00683FF0">
              <w:t xml:space="preserve"> through introducing the Clean Vehicles </w:t>
            </w:r>
            <w:r w:rsidR="003D7916" w:rsidRPr="00683FF0">
              <w:t>p</w:t>
            </w:r>
            <w:r w:rsidR="008D257E" w:rsidRPr="00683FF0">
              <w:t xml:space="preserve">ackage. </w:t>
            </w:r>
          </w:p>
          <w:p w14:paraId="1C501C91" w14:textId="1BEAE674" w:rsidR="008D257E" w:rsidRPr="00683FF0" w:rsidRDefault="008D257E" w:rsidP="00C3296E">
            <w:pPr>
              <w:pStyle w:val="TableText"/>
              <w:spacing w:before="40" w:after="40"/>
              <w:rPr>
                <w:szCs w:val="18"/>
              </w:rPr>
            </w:pPr>
            <w:r w:rsidRPr="00683FF0">
              <w:rPr>
                <w:b/>
                <w:bCs/>
              </w:rPr>
              <w:t xml:space="preserve">18.3a. </w:t>
            </w:r>
            <w:r w:rsidRPr="00683FF0">
              <w:t>The Government has introduced the Clean Vehicle Discount, which reduces the upfront cost of E</w:t>
            </w:r>
            <w:r w:rsidR="00FC73A3" w:rsidRPr="00683FF0">
              <w:t>V</w:t>
            </w:r>
            <w:r w:rsidRPr="00683FF0">
              <w:t>s</w:t>
            </w:r>
            <w:r w:rsidR="005159C8" w:rsidRPr="00683FF0">
              <w:t> </w:t>
            </w:r>
            <w:r w:rsidR="00960861" w:rsidRPr="00683FF0">
              <w:t>(</w:t>
            </w:r>
            <w:r w:rsidR="003D7916" w:rsidRPr="00683FF0">
              <w:t>c</w:t>
            </w:r>
            <w:r w:rsidR="00960861" w:rsidRPr="00683FF0">
              <w:t>hapter</w:t>
            </w:r>
            <w:r w:rsidR="00FC73A3" w:rsidRPr="00683FF0">
              <w:t> </w:t>
            </w:r>
            <w:r w:rsidR="00960861" w:rsidRPr="00683FF0">
              <w:t>10</w:t>
            </w:r>
            <w:r w:rsidR="003D7916" w:rsidRPr="00683FF0">
              <w:t>:</w:t>
            </w:r>
            <w:r w:rsidR="00960861" w:rsidRPr="00683FF0">
              <w:t xml:space="preserve"> Transport</w:t>
            </w:r>
            <w:r w:rsidR="003D7916" w:rsidRPr="00683FF0">
              <w:t>,</w:t>
            </w:r>
            <w:r w:rsidR="00960861" w:rsidRPr="00683FF0">
              <w:t xml:space="preserve"> </w:t>
            </w:r>
            <w:r w:rsidR="003D7916" w:rsidRPr="00683FF0">
              <w:t>a</w:t>
            </w:r>
            <w:r w:rsidR="00960861" w:rsidRPr="00683FF0">
              <w:t xml:space="preserve">ction </w:t>
            </w:r>
            <w:r w:rsidR="00FF72C9" w:rsidRPr="00683FF0">
              <w:t>10.</w:t>
            </w:r>
            <w:r w:rsidR="00960861" w:rsidRPr="00683FF0">
              <w:t>2.1).</w:t>
            </w:r>
          </w:p>
          <w:p w14:paraId="573E130B" w14:textId="61048CAF" w:rsidR="008D257E" w:rsidRPr="00683FF0" w:rsidRDefault="0F3A3053" w:rsidP="00C3296E">
            <w:pPr>
              <w:pStyle w:val="TableText"/>
              <w:spacing w:before="40" w:after="40"/>
              <w:rPr>
                <w:szCs w:val="18"/>
              </w:rPr>
            </w:pPr>
            <w:r w:rsidRPr="00683FF0">
              <w:rPr>
                <w:b/>
                <w:bCs/>
              </w:rPr>
              <w:t xml:space="preserve">18.3b. </w:t>
            </w:r>
            <w:r w:rsidR="60B84A29" w:rsidRPr="00683FF0">
              <w:t xml:space="preserve">The </w:t>
            </w:r>
            <w:r w:rsidR="00FD74DA" w:rsidRPr="00683FF0">
              <w:t>emissions reduction plan</w:t>
            </w:r>
            <w:r w:rsidR="60B84A29" w:rsidRPr="00683FF0">
              <w:t xml:space="preserve"> commits to supporting social leasing schemes to make access to</w:t>
            </w:r>
            <w:r w:rsidR="005D20B5" w:rsidRPr="00683FF0">
              <w:t> </w:t>
            </w:r>
            <w:r w:rsidR="60B84A29" w:rsidRPr="00683FF0">
              <w:t xml:space="preserve">cleaner vehicles affordable for low-income households. This will have regard to the needs of </w:t>
            </w:r>
            <w:r w:rsidR="00E47905" w:rsidRPr="00683FF0">
              <w:t>i</w:t>
            </w:r>
            <w:r w:rsidR="60B84A29" w:rsidRPr="00683FF0">
              <w:t>wi/hapū, vulnerable groups and those on a low income</w:t>
            </w:r>
            <w:r w:rsidR="005159C8" w:rsidRPr="00683FF0">
              <w:t> </w:t>
            </w:r>
            <w:r w:rsidRPr="00683FF0">
              <w:t>(</w:t>
            </w:r>
            <w:r w:rsidR="00F874C6" w:rsidRPr="00683FF0">
              <w:t>c</w:t>
            </w:r>
            <w:r w:rsidR="60B84A29" w:rsidRPr="00683FF0">
              <w:t>hapter 10</w:t>
            </w:r>
            <w:r w:rsidR="00F874C6" w:rsidRPr="00683FF0">
              <w:t>:</w:t>
            </w:r>
            <w:r w:rsidR="60B84A29" w:rsidRPr="00683FF0">
              <w:t xml:space="preserve"> Transport</w:t>
            </w:r>
            <w:r w:rsidR="00F874C6" w:rsidRPr="00683FF0">
              <w:t>,</w:t>
            </w:r>
            <w:r w:rsidR="60B84A29" w:rsidRPr="00683FF0">
              <w:t xml:space="preserve"> </w:t>
            </w:r>
            <w:r w:rsidR="00F874C6" w:rsidRPr="00683FF0">
              <w:t>a</w:t>
            </w:r>
            <w:r w:rsidRPr="00683FF0">
              <w:t xml:space="preserve">ction </w:t>
            </w:r>
            <w:r w:rsidR="00FF72C9" w:rsidRPr="00683FF0">
              <w:t>10.</w:t>
            </w:r>
            <w:r w:rsidRPr="00683FF0">
              <w:t xml:space="preserve">2.2). </w:t>
            </w:r>
          </w:p>
          <w:p w14:paraId="036D8110" w14:textId="5AAAD334" w:rsidR="008D257E" w:rsidRPr="00683FF0" w:rsidRDefault="008D257E" w:rsidP="00C3296E">
            <w:pPr>
              <w:pStyle w:val="TableText"/>
              <w:spacing w:before="40" w:after="40"/>
            </w:pPr>
            <w:r w:rsidRPr="00683FF0">
              <w:rPr>
                <w:b/>
                <w:bCs/>
              </w:rPr>
              <w:t xml:space="preserve">18.3c. </w:t>
            </w:r>
            <w:r w:rsidRPr="00683FF0">
              <w:t>The Government has set up an EV leadership group that</w:t>
            </w:r>
            <w:r w:rsidR="00F874C6" w:rsidRPr="00683FF0">
              <w:t>,</w:t>
            </w:r>
            <w:r w:rsidRPr="00683FF0">
              <w:t xml:space="preserve"> as part of its remit</w:t>
            </w:r>
            <w:r w:rsidR="00F874C6" w:rsidRPr="00683FF0">
              <w:t>,</w:t>
            </w:r>
            <w:r w:rsidRPr="00683FF0">
              <w:t xml:space="preserve"> will look at ways to enable bulk procurement of </w:t>
            </w:r>
            <w:r w:rsidR="00F874C6" w:rsidRPr="00683FF0">
              <w:t>EV</w:t>
            </w:r>
            <w:r w:rsidRPr="00683FF0">
              <w:t xml:space="preserve"> fleets. </w:t>
            </w:r>
          </w:p>
          <w:p w14:paraId="77950EA0" w14:textId="0DEA6753" w:rsidR="008D257E" w:rsidRPr="00683FF0" w:rsidRDefault="3A5EAB52" w:rsidP="00C3296E">
            <w:pPr>
              <w:pStyle w:val="TableText"/>
              <w:spacing w:before="40" w:after="40"/>
              <w:rPr>
                <w:b/>
                <w:bCs/>
              </w:rPr>
            </w:pPr>
            <w:r w:rsidRPr="00683FF0">
              <w:rPr>
                <w:b/>
                <w:bCs/>
              </w:rPr>
              <w:lastRenderedPageBreak/>
              <w:t xml:space="preserve">18.3d. </w:t>
            </w:r>
            <w:r w:rsidR="3EB58E10" w:rsidRPr="00683FF0">
              <w:rPr>
                <w:rFonts w:eastAsia="Times New Roman"/>
              </w:rPr>
              <w:t xml:space="preserve">A </w:t>
            </w:r>
            <w:r w:rsidR="0047446B" w:rsidRPr="00683FF0">
              <w:rPr>
                <w:rFonts w:eastAsia="Times New Roman"/>
              </w:rPr>
              <w:t>p</w:t>
            </w:r>
            <w:r w:rsidR="3EB58E10" w:rsidRPr="00683FF0">
              <w:rPr>
                <w:rFonts w:eastAsia="Times New Roman"/>
              </w:rPr>
              <w:t xml:space="preserve">roduct </w:t>
            </w:r>
            <w:r w:rsidR="0047446B" w:rsidRPr="00683FF0">
              <w:rPr>
                <w:rFonts w:eastAsia="Times New Roman"/>
              </w:rPr>
              <w:t>s</w:t>
            </w:r>
            <w:r w:rsidR="3EB58E10" w:rsidRPr="00683FF0">
              <w:rPr>
                <w:rFonts w:eastAsia="Times New Roman"/>
              </w:rPr>
              <w:t>tewardship scheme for large batteries is currently being developed. A separate consultation was undertaken in late 2021 on proposed regulations for large batteries (</w:t>
            </w:r>
            <w:r w:rsidR="0047446B" w:rsidRPr="00683FF0">
              <w:rPr>
                <w:rFonts w:eastAsia="Times New Roman"/>
              </w:rPr>
              <w:t xml:space="preserve">which </w:t>
            </w:r>
            <w:r w:rsidR="3EB58E10" w:rsidRPr="00683FF0">
              <w:rPr>
                <w:rFonts w:eastAsia="Times New Roman"/>
              </w:rPr>
              <w:t xml:space="preserve">includes </w:t>
            </w:r>
            <w:r w:rsidR="0047446B" w:rsidRPr="00683FF0">
              <w:rPr>
                <w:rFonts w:eastAsia="Times New Roman"/>
              </w:rPr>
              <w:t xml:space="preserve">a system for </w:t>
            </w:r>
            <w:r w:rsidR="3EB58E10" w:rsidRPr="00683FF0">
              <w:rPr>
                <w:rFonts w:eastAsia="Times New Roman"/>
              </w:rPr>
              <w:t xml:space="preserve">EV battery refurbishment, repurposing and recycling). </w:t>
            </w:r>
            <w:r w:rsidR="00AA5F2C" w:rsidRPr="00683FF0">
              <w:rPr>
                <w:rFonts w:eastAsia="Times New Roman"/>
              </w:rPr>
              <w:t>It l</w:t>
            </w:r>
            <w:r w:rsidR="3EB58E10" w:rsidRPr="00683FF0">
              <w:rPr>
                <w:rFonts w:eastAsia="Times New Roman"/>
              </w:rPr>
              <w:t xml:space="preserve">inks to </w:t>
            </w:r>
            <w:r w:rsidR="00AA5F2C" w:rsidRPr="00683FF0">
              <w:rPr>
                <w:rFonts w:eastAsia="Times New Roman"/>
              </w:rPr>
              <w:t xml:space="preserve">a </w:t>
            </w:r>
            <w:r w:rsidR="3EB58E10" w:rsidRPr="00683FF0">
              <w:rPr>
                <w:rFonts w:eastAsia="Times New Roman"/>
              </w:rPr>
              <w:t xml:space="preserve">wider waste reduction work programme and </w:t>
            </w:r>
            <w:r w:rsidR="00DA35B1" w:rsidRPr="00683FF0">
              <w:rPr>
                <w:rFonts w:eastAsia="Times New Roman"/>
              </w:rPr>
              <w:t>r</w:t>
            </w:r>
            <w:r w:rsidR="3EB58E10" w:rsidRPr="00683FF0">
              <w:rPr>
                <w:rFonts w:eastAsia="Times New Roman"/>
              </w:rPr>
              <w:t xml:space="preserve">egulated </w:t>
            </w:r>
            <w:r w:rsidR="00DA35B1" w:rsidRPr="00683FF0">
              <w:rPr>
                <w:rFonts w:eastAsia="Times New Roman"/>
              </w:rPr>
              <w:t>p</w:t>
            </w:r>
            <w:r w:rsidR="3EB58E10" w:rsidRPr="00683FF0">
              <w:rPr>
                <w:rFonts w:eastAsia="Times New Roman"/>
              </w:rPr>
              <w:t xml:space="preserve">roduct </w:t>
            </w:r>
            <w:r w:rsidR="00DA35B1" w:rsidRPr="00683FF0">
              <w:rPr>
                <w:rFonts w:eastAsia="Times New Roman"/>
              </w:rPr>
              <w:t>s</w:t>
            </w:r>
            <w:r w:rsidR="3EB58E10" w:rsidRPr="00683FF0">
              <w:rPr>
                <w:rFonts w:eastAsia="Times New Roman"/>
              </w:rPr>
              <w:t>tewardship scheme</w:t>
            </w:r>
            <w:r w:rsidR="00DA35B1" w:rsidRPr="00683FF0">
              <w:rPr>
                <w:rFonts w:eastAsia="Times New Roman"/>
              </w:rPr>
              <w:t>s</w:t>
            </w:r>
            <w:r w:rsidR="3EB58E10" w:rsidRPr="00683FF0">
              <w:rPr>
                <w:rFonts w:eastAsia="Times New Roman"/>
              </w:rPr>
              <w:t xml:space="preserve"> currently under development.</w:t>
            </w:r>
          </w:p>
          <w:p w14:paraId="41C5ED1E" w14:textId="55424DA8" w:rsidR="008D257E" w:rsidRPr="00683FF0" w:rsidRDefault="008D257E" w:rsidP="00C3296E">
            <w:pPr>
              <w:pStyle w:val="TableText"/>
              <w:spacing w:before="40" w:after="40"/>
            </w:pPr>
            <w:r w:rsidRPr="00683FF0">
              <w:rPr>
                <w:b/>
                <w:bCs/>
              </w:rPr>
              <w:t xml:space="preserve">18.3e. </w:t>
            </w:r>
            <w:r w:rsidRPr="00683FF0">
              <w:t xml:space="preserve">The </w:t>
            </w:r>
            <w:r w:rsidR="00FD74DA" w:rsidRPr="00683FF0">
              <w:t>emissions reduction plan</w:t>
            </w:r>
            <w:r w:rsidRPr="00683FF0">
              <w:t xml:space="preserve"> commits to supporting the rollout of EV charging infrastructure through developing an EV charging infrastructure work programme, completing a national EV charging infrastructure strategy and reviewing </w:t>
            </w:r>
            <w:r w:rsidR="002F4276" w:rsidRPr="00683FF0">
              <w:t xml:space="preserve">the </w:t>
            </w:r>
            <w:r w:rsidRPr="00683FF0">
              <w:t>Electricity (Safety) Regulations</w:t>
            </w:r>
            <w:r w:rsidR="002F4276" w:rsidRPr="00683FF0">
              <w:t xml:space="preserve"> 2010</w:t>
            </w:r>
            <w:r w:rsidRPr="00683FF0">
              <w:t xml:space="preserve"> to cover the safety needs associated with charging E</w:t>
            </w:r>
            <w:r w:rsidR="00FC73A3" w:rsidRPr="00683FF0">
              <w:t>V</w:t>
            </w:r>
            <w:r w:rsidRPr="00683FF0">
              <w:t>s (</w:t>
            </w:r>
            <w:r w:rsidR="00DA35B1" w:rsidRPr="00683FF0">
              <w:t>c</w:t>
            </w:r>
            <w:r w:rsidR="00ED7920" w:rsidRPr="00683FF0">
              <w:t>hapter 10</w:t>
            </w:r>
            <w:r w:rsidR="00DA35B1" w:rsidRPr="00683FF0">
              <w:t>:</w:t>
            </w:r>
            <w:r w:rsidR="00ED7920" w:rsidRPr="00683FF0">
              <w:t xml:space="preserve"> Transport</w:t>
            </w:r>
            <w:r w:rsidR="00DA35B1" w:rsidRPr="00683FF0">
              <w:t>,</w:t>
            </w:r>
            <w:r w:rsidR="00ED7920" w:rsidRPr="00683FF0">
              <w:t xml:space="preserve"> </w:t>
            </w:r>
            <w:r w:rsidR="00DA35B1" w:rsidRPr="00683FF0">
              <w:t>a</w:t>
            </w:r>
            <w:r w:rsidRPr="00683FF0">
              <w:t xml:space="preserve">ction </w:t>
            </w:r>
            <w:r w:rsidR="00FF72C9" w:rsidRPr="00683FF0">
              <w:t>10.</w:t>
            </w:r>
            <w:r w:rsidRPr="00683FF0">
              <w:t xml:space="preserve">2.3). </w:t>
            </w:r>
          </w:p>
        </w:tc>
      </w:tr>
      <w:tr w:rsidR="008D257E" w:rsidRPr="00683FF0" w14:paraId="05E43402" w14:textId="77777777" w:rsidTr="006660A6">
        <w:tc>
          <w:tcPr>
            <w:tcW w:w="4111" w:type="dxa"/>
          </w:tcPr>
          <w:p w14:paraId="1B8DF7DA" w14:textId="3DFBE096" w:rsidR="008D257E" w:rsidRPr="00683FF0" w:rsidRDefault="008D257E" w:rsidP="00FE202D">
            <w:pPr>
              <w:pStyle w:val="TableText"/>
            </w:pPr>
            <w:r w:rsidRPr="00683FF0">
              <w:lastRenderedPageBreak/>
              <w:t>8.4. Determining how the tax system could be used to discourage the purchase of ICE vehicles and support the adoption of low-emissions vehicles. Note: Recommendation 19, part 2 would also deliver emissions reductions from the light vehicle fleet.</w:t>
            </w:r>
          </w:p>
        </w:tc>
        <w:tc>
          <w:tcPr>
            <w:tcW w:w="4394" w:type="dxa"/>
          </w:tcPr>
          <w:p w14:paraId="0FCB50B7" w14:textId="631821EB" w:rsidR="00ED7920" w:rsidRPr="00683FF0" w:rsidRDefault="009E230B" w:rsidP="006660A6">
            <w:pPr>
              <w:pStyle w:val="TableText"/>
              <w:rPr>
                <w:b/>
                <w:bCs/>
                <w:szCs w:val="18"/>
              </w:rPr>
            </w:pPr>
            <w:r w:rsidRPr="00683FF0">
              <w:rPr>
                <w:b/>
                <w:bCs/>
              </w:rPr>
              <w:t xml:space="preserve">18.4. </w:t>
            </w:r>
            <w:r w:rsidR="008D257E" w:rsidRPr="00683FF0">
              <w:rPr>
                <w:b/>
                <w:bCs/>
              </w:rPr>
              <w:t xml:space="preserve">The Government agrees in part </w:t>
            </w:r>
            <w:r w:rsidR="00A73991" w:rsidRPr="00683FF0">
              <w:rPr>
                <w:b/>
                <w:bCs/>
              </w:rPr>
              <w:t>with</w:t>
            </w:r>
            <w:r w:rsidR="008D257E" w:rsidRPr="00683FF0">
              <w:rPr>
                <w:b/>
                <w:bCs/>
              </w:rPr>
              <w:t xml:space="preserve"> this recommendation.</w:t>
            </w:r>
            <w:r w:rsidR="00436AC1" w:rsidRPr="00683FF0">
              <w:t xml:space="preserve"> </w:t>
            </w:r>
            <w:r w:rsidR="008D257E" w:rsidRPr="00683FF0">
              <w:t xml:space="preserve">The </w:t>
            </w:r>
            <w:r w:rsidR="00FD74DA" w:rsidRPr="00683FF0">
              <w:t>emissions reduction plan</w:t>
            </w:r>
            <w:r w:rsidR="008D257E" w:rsidRPr="00683FF0">
              <w:t xml:space="preserve"> commits to investigating how the tax system could support clean transport options to ensure low-emissions transport options are not disadvantaged. </w:t>
            </w:r>
            <w:r w:rsidR="00F04A8A" w:rsidRPr="00683FF0">
              <w:t>Part of this investigation is to</w:t>
            </w:r>
            <w:r w:rsidR="008D257E" w:rsidRPr="00683FF0">
              <w:t xml:space="preserve"> review aspects of the tax system to ensure low-emissions transport options are not disadvantaged. This includes whether employer-provided public transport should be exempt from fringe benefit tax (FBT) and FBT treatment of work-related vehicles (</w:t>
            </w:r>
            <w:r w:rsidR="008A4F28" w:rsidRPr="00683FF0">
              <w:t>c</w:t>
            </w:r>
            <w:r w:rsidR="008D257E" w:rsidRPr="00683FF0">
              <w:t>hapter 10</w:t>
            </w:r>
            <w:r w:rsidR="008A4F28" w:rsidRPr="00683FF0">
              <w:t>:</w:t>
            </w:r>
            <w:r w:rsidR="008D257E" w:rsidRPr="00683FF0">
              <w:t xml:space="preserve"> Transport</w:t>
            </w:r>
            <w:r w:rsidR="008A4F28" w:rsidRPr="00683FF0">
              <w:t>,</w:t>
            </w:r>
            <w:r w:rsidR="008D257E" w:rsidRPr="00683FF0">
              <w:t xml:space="preserve"> </w:t>
            </w:r>
            <w:r w:rsidR="008A4F28" w:rsidRPr="00683FF0">
              <w:t>a</w:t>
            </w:r>
            <w:r w:rsidR="008D257E" w:rsidRPr="00683FF0">
              <w:t xml:space="preserve">ction </w:t>
            </w:r>
            <w:r w:rsidR="00FF72C9" w:rsidRPr="00683FF0">
              <w:t>10.</w:t>
            </w:r>
            <w:r w:rsidR="008D257E" w:rsidRPr="00683FF0">
              <w:t>2.1). This</w:t>
            </w:r>
            <w:r w:rsidR="008A4F28" w:rsidRPr="00683FF0">
              <w:t xml:space="preserve"> is</w:t>
            </w:r>
            <w:r w:rsidR="008D257E" w:rsidRPr="00683FF0">
              <w:t xml:space="preserve"> a narrower scope th</w:t>
            </w:r>
            <w:r w:rsidR="008A4F28" w:rsidRPr="00683FF0">
              <w:t>a</w:t>
            </w:r>
            <w:r w:rsidR="008D257E" w:rsidRPr="00683FF0">
              <w:t xml:space="preserve">n proposed in the recommendation </w:t>
            </w:r>
            <w:r w:rsidR="008A4F28" w:rsidRPr="00683FF0">
              <w:t xml:space="preserve">so that it can </w:t>
            </w:r>
            <w:r w:rsidR="008D257E" w:rsidRPr="00683FF0">
              <w:t>enable a review to be completed in 2022 on key aspects of the tax system.</w:t>
            </w:r>
          </w:p>
        </w:tc>
      </w:tr>
      <w:tr w:rsidR="005737C4" w:rsidRPr="00683FF0" w14:paraId="6DF23B68" w14:textId="77777777" w:rsidTr="006660A6">
        <w:tc>
          <w:tcPr>
            <w:tcW w:w="4111" w:type="dxa"/>
          </w:tcPr>
          <w:p w14:paraId="3A1034A7" w14:textId="77777777" w:rsidR="005737C4" w:rsidRPr="00683FF0" w:rsidRDefault="005737C4" w:rsidP="00AC3040">
            <w:pPr>
              <w:rPr>
                <w:sz w:val="18"/>
                <w:szCs w:val="18"/>
              </w:rPr>
            </w:pPr>
          </w:p>
        </w:tc>
        <w:tc>
          <w:tcPr>
            <w:tcW w:w="4394" w:type="dxa"/>
          </w:tcPr>
          <w:p w14:paraId="0947E41B" w14:textId="6776031A" w:rsidR="001E6B6D" w:rsidRPr="00683FF0" w:rsidRDefault="001E6B6D" w:rsidP="006660A6">
            <w:pPr>
              <w:pStyle w:val="TableTextbold"/>
            </w:pPr>
            <w:r w:rsidRPr="00683FF0">
              <w:t xml:space="preserve">Responsible agencies: </w:t>
            </w:r>
          </w:p>
          <w:p w14:paraId="3561E4AC" w14:textId="74102724" w:rsidR="001E6B6D" w:rsidRPr="00683FF0" w:rsidRDefault="001E6B6D" w:rsidP="006660A6">
            <w:pPr>
              <w:pStyle w:val="TableBullet"/>
            </w:pPr>
            <w:r w:rsidRPr="00683FF0">
              <w:t>18.1.</w:t>
            </w:r>
            <w:r w:rsidR="00E6624D" w:rsidRPr="00683FF0">
              <w:t xml:space="preserve"> </w:t>
            </w:r>
            <w:r w:rsidRPr="00683FF0">
              <w:t>Ministry of Transport</w:t>
            </w:r>
          </w:p>
          <w:p w14:paraId="51C890CB" w14:textId="2ABA886A" w:rsidR="001E6B6D" w:rsidRPr="00683FF0" w:rsidRDefault="001E6B6D" w:rsidP="006660A6">
            <w:pPr>
              <w:pStyle w:val="TableBullet"/>
            </w:pPr>
            <w:r w:rsidRPr="00683FF0">
              <w:t>18.2. Ministry of Transport and Waka Kotahi</w:t>
            </w:r>
          </w:p>
          <w:p w14:paraId="738F53B9" w14:textId="5110198E" w:rsidR="00E6624D" w:rsidRPr="00683FF0" w:rsidRDefault="00E6624D" w:rsidP="006660A6">
            <w:pPr>
              <w:pStyle w:val="TableBullet"/>
            </w:pPr>
            <w:r w:rsidRPr="00683FF0">
              <w:t>18.3. Ministry of Transport and Ministry for Environment</w:t>
            </w:r>
          </w:p>
          <w:p w14:paraId="039ED895" w14:textId="71B14EA0" w:rsidR="001E6B6D" w:rsidRPr="00683FF0" w:rsidRDefault="001E6B6D" w:rsidP="006660A6">
            <w:pPr>
              <w:pStyle w:val="TableBullet"/>
            </w:pPr>
            <w:r w:rsidRPr="00683FF0">
              <w:t xml:space="preserve">18.4. Inland Revenue </w:t>
            </w:r>
          </w:p>
          <w:p w14:paraId="2606A412" w14:textId="2ADCD68C" w:rsidR="001E6B6D" w:rsidRPr="00683FF0" w:rsidRDefault="001E6B6D" w:rsidP="006660A6">
            <w:pPr>
              <w:pStyle w:val="TableTextbold"/>
            </w:pPr>
            <w:r w:rsidRPr="00683FF0">
              <w:t xml:space="preserve">Responsible Ministers: </w:t>
            </w:r>
          </w:p>
          <w:p w14:paraId="751F7EEA" w14:textId="7E2EB245" w:rsidR="001E6B6D" w:rsidRPr="00683FF0" w:rsidRDefault="001E6B6D" w:rsidP="006660A6">
            <w:pPr>
              <w:pStyle w:val="TableBullet"/>
            </w:pPr>
            <w:r w:rsidRPr="00683FF0">
              <w:t>18.1</w:t>
            </w:r>
            <w:r w:rsidR="008A4F28" w:rsidRPr="00683FF0">
              <w:t>–</w:t>
            </w:r>
            <w:r w:rsidR="00E6624D" w:rsidRPr="00683FF0">
              <w:t>3 (excluding 3d)</w:t>
            </w:r>
            <w:r w:rsidR="005139F7" w:rsidRPr="00683FF0">
              <w:t>.</w:t>
            </w:r>
            <w:r w:rsidR="00E6624D" w:rsidRPr="00683FF0">
              <w:t xml:space="preserve"> </w:t>
            </w:r>
            <w:r w:rsidRPr="00683FF0">
              <w:t xml:space="preserve">Minister of Transport </w:t>
            </w:r>
          </w:p>
          <w:p w14:paraId="46AF6FDC" w14:textId="4E515C37" w:rsidR="00E6624D" w:rsidRPr="00683FF0" w:rsidRDefault="00E6624D" w:rsidP="006660A6">
            <w:pPr>
              <w:pStyle w:val="TableBullet"/>
            </w:pPr>
            <w:r w:rsidRPr="00683FF0">
              <w:t xml:space="preserve">18.3d. Minister of Environment </w:t>
            </w:r>
          </w:p>
          <w:p w14:paraId="7C807B00" w14:textId="224B8518" w:rsidR="001E6B6D" w:rsidRPr="00683FF0" w:rsidRDefault="001E6B6D" w:rsidP="006660A6">
            <w:pPr>
              <w:pStyle w:val="TableBullet"/>
            </w:pPr>
            <w:r w:rsidRPr="00683FF0">
              <w:t xml:space="preserve">18.4. Minister of Revenue </w:t>
            </w:r>
          </w:p>
          <w:p w14:paraId="67D10C38" w14:textId="71010F77" w:rsidR="001E6B6D" w:rsidRPr="00683FF0" w:rsidRDefault="001E6B6D" w:rsidP="006660A6">
            <w:pPr>
              <w:pStyle w:val="TableTextbold"/>
            </w:pPr>
            <w:r w:rsidRPr="00683FF0">
              <w:t xml:space="preserve">Timeline: </w:t>
            </w:r>
          </w:p>
          <w:p w14:paraId="75FBFA8D" w14:textId="6079F820" w:rsidR="001E6B6D" w:rsidRPr="00683FF0" w:rsidRDefault="0264D0E8" w:rsidP="006660A6">
            <w:pPr>
              <w:pStyle w:val="TableBullet"/>
            </w:pPr>
            <w:r w:rsidRPr="00683FF0">
              <w:t>18.1. Late 2022</w:t>
            </w:r>
          </w:p>
          <w:p w14:paraId="6282A8C4" w14:textId="4230D597" w:rsidR="001E6B6D" w:rsidRPr="00683FF0" w:rsidRDefault="001E6B6D" w:rsidP="006660A6">
            <w:pPr>
              <w:pStyle w:val="TableBullet"/>
            </w:pPr>
            <w:r w:rsidRPr="00683FF0">
              <w:t>18.2. The Clean Vehicle Standard will come into force in 2023</w:t>
            </w:r>
          </w:p>
          <w:p w14:paraId="2B02A95E" w14:textId="2D545B1A" w:rsidR="001E6B6D" w:rsidRPr="00683FF0" w:rsidRDefault="001E6B6D" w:rsidP="006660A6">
            <w:pPr>
              <w:pStyle w:val="TableBullet"/>
            </w:pPr>
            <w:r w:rsidRPr="00683FF0">
              <w:rPr>
                <w:rFonts w:cstheme="minorHAnsi"/>
              </w:rPr>
              <w:t>18.3. The Clean Vehicle Discount was introduced in 2021</w:t>
            </w:r>
            <w:r w:rsidR="00E6624D" w:rsidRPr="00683FF0">
              <w:rPr>
                <w:rFonts w:cstheme="minorHAnsi"/>
              </w:rPr>
              <w:t xml:space="preserve">; </w:t>
            </w:r>
            <w:r w:rsidR="0091711E" w:rsidRPr="00683FF0">
              <w:rPr>
                <w:rFonts w:cstheme="minorHAnsi"/>
              </w:rPr>
              <w:t>o</w:t>
            </w:r>
            <w:r w:rsidR="00E6624D" w:rsidRPr="00683FF0">
              <w:rPr>
                <w:rFonts w:cstheme="minorHAnsi"/>
              </w:rPr>
              <w:t>ther initiatives 2022</w:t>
            </w:r>
            <w:r w:rsidR="0091711E" w:rsidRPr="00683FF0">
              <w:rPr>
                <w:rFonts w:cstheme="minorHAnsi"/>
              </w:rPr>
              <w:t>–</w:t>
            </w:r>
            <w:r w:rsidR="00E6624D" w:rsidRPr="00683FF0">
              <w:rPr>
                <w:rFonts w:cstheme="minorHAnsi"/>
              </w:rPr>
              <w:t>25 (EB1)</w:t>
            </w:r>
          </w:p>
          <w:p w14:paraId="1AC0B526" w14:textId="51CB6E28" w:rsidR="005737C4" w:rsidRPr="00683FF0" w:rsidRDefault="00E6624D" w:rsidP="006660A6">
            <w:pPr>
              <w:pStyle w:val="TableBullet"/>
              <w:rPr>
                <w:b/>
                <w:bCs/>
                <w:szCs w:val="18"/>
              </w:rPr>
            </w:pPr>
            <w:r w:rsidRPr="00683FF0">
              <w:t>18.4. Review to be completed in 2022</w:t>
            </w:r>
          </w:p>
        </w:tc>
      </w:tr>
      <w:tr w:rsidR="008D257E" w:rsidRPr="00683FF0" w14:paraId="15F876A5" w14:textId="77777777" w:rsidTr="006660A6">
        <w:tc>
          <w:tcPr>
            <w:tcW w:w="4111" w:type="dxa"/>
            <w:shd w:val="clear" w:color="auto" w:fill="auto"/>
          </w:tcPr>
          <w:p w14:paraId="1EABD4B2" w14:textId="1837C838" w:rsidR="008D257E" w:rsidRPr="00683FF0" w:rsidRDefault="008D257E" w:rsidP="00B47942">
            <w:pPr>
              <w:pStyle w:val="TableTextbold"/>
              <w:keepNext/>
              <w:spacing w:after="0"/>
            </w:pPr>
            <w:bookmarkStart w:id="37" w:name="_Hlk99463771"/>
            <w:r w:rsidRPr="00683FF0">
              <w:lastRenderedPageBreak/>
              <w:t xml:space="preserve">Recommendation 19 </w:t>
            </w:r>
            <w:r w:rsidR="00920B35" w:rsidRPr="00683FF0">
              <w:t>–</w:t>
            </w:r>
            <w:r w:rsidRPr="00683FF0">
              <w:t xml:space="preserve"> Create options to decarbonise heavy transport and freight by 2050</w:t>
            </w:r>
          </w:p>
          <w:p w14:paraId="410B6B55" w14:textId="77777777" w:rsidR="008D257E" w:rsidRPr="00683FF0" w:rsidRDefault="008D257E" w:rsidP="006660A6">
            <w:pPr>
              <w:pStyle w:val="TableText"/>
            </w:pPr>
            <w:r w:rsidRPr="00683FF0">
              <w:t>We recommend that, in the first emissions reduction plan, the Government commit to: Creating options to decarbonise heavy transport and freight by 2050. This should include:</w:t>
            </w:r>
          </w:p>
        </w:tc>
        <w:tc>
          <w:tcPr>
            <w:tcW w:w="4394" w:type="dxa"/>
            <w:shd w:val="clear" w:color="auto" w:fill="auto"/>
          </w:tcPr>
          <w:p w14:paraId="6E217E55" w14:textId="77777777" w:rsidR="008D257E" w:rsidRPr="00683FF0" w:rsidRDefault="008D257E" w:rsidP="006660A6">
            <w:pPr>
              <w:pStyle w:val="TableText"/>
            </w:pPr>
          </w:p>
        </w:tc>
      </w:tr>
      <w:tr w:rsidR="008D257E" w:rsidRPr="00683FF0" w14:paraId="705D3DDA" w14:textId="77777777" w:rsidTr="006660A6">
        <w:tc>
          <w:tcPr>
            <w:tcW w:w="4111" w:type="dxa"/>
          </w:tcPr>
          <w:p w14:paraId="77EC63D7" w14:textId="77777777" w:rsidR="008D257E" w:rsidRPr="00683FF0" w:rsidRDefault="008D257E" w:rsidP="006660A6">
            <w:pPr>
              <w:pStyle w:val="TableText"/>
            </w:pPr>
            <w:r w:rsidRPr="00683FF0">
              <w:t xml:space="preserve">19.1. Developing a national low-emissions freight strategy that establishes the investment settings and infrastructure required to deliver a low-emissions freight system. The strategy should: </w:t>
            </w:r>
          </w:p>
          <w:p w14:paraId="42BF2F62" w14:textId="77777777" w:rsidR="008D257E" w:rsidRPr="00683FF0" w:rsidRDefault="008D257E" w:rsidP="00D21268">
            <w:pPr>
              <w:pStyle w:val="TableText"/>
              <w:numPr>
                <w:ilvl w:val="0"/>
                <w:numId w:val="26"/>
              </w:numPr>
              <w:spacing w:before="0"/>
            </w:pPr>
            <w:r w:rsidRPr="00683FF0">
              <w:t xml:space="preserve">Be developed in partnership with Iwi/Māori, give effect to the principles of Te Tiriti o Waitangi/The Treaty of Waitangi, and align with the He Ara Waiora framework. </w:t>
            </w:r>
          </w:p>
          <w:p w14:paraId="3B899B3E" w14:textId="77777777" w:rsidR="008D257E" w:rsidRPr="00683FF0" w:rsidRDefault="008D257E" w:rsidP="00D21268">
            <w:pPr>
              <w:pStyle w:val="TableText"/>
              <w:numPr>
                <w:ilvl w:val="0"/>
                <w:numId w:val="26"/>
              </w:numPr>
              <w:spacing w:before="0"/>
            </w:pPr>
            <w:r w:rsidRPr="00683FF0">
              <w:t xml:space="preserve">Be developed in collaboration with freight stakeholders, to leverage private-sector action and finance. </w:t>
            </w:r>
          </w:p>
          <w:p w14:paraId="29156ECB" w14:textId="77777777" w:rsidR="008D257E" w:rsidRPr="00683FF0" w:rsidRDefault="008D257E" w:rsidP="00D21268">
            <w:pPr>
              <w:pStyle w:val="TableText"/>
              <w:numPr>
                <w:ilvl w:val="0"/>
                <w:numId w:val="26"/>
              </w:numPr>
              <w:spacing w:before="0"/>
            </w:pPr>
            <w:r w:rsidRPr="00683FF0">
              <w:t>Enable opportunities to improve emissions efficiency and freight optimisation.</w:t>
            </w:r>
          </w:p>
          <w:p w14:paraId="36483059" w14:textId="77777777" w:rsidR="008D257E" w:rsidRPr="00683FF0" w:rsidRDefault="008D257E" w:rsidP="00D21268">
            <w:pPr>
              <w:pStyle w:val="TableText"/>
              <w:numPr>
                <w:ilvl w:val="0"/>
                <w:numId w:val="26"/>
              </w:numPr>
              <w:spacing w:before="0"/>
            </w:pPr>
            <w:r w:rsidRPr="00683FF0">
              <w:t>Set clear targets to increase the share of rail and coastal shipping.</w:t>
            </w:r>
          </w:p>
          <w:p w14:paraId="0A738E91" w14:textId="77777777" w:rsidR="008D257E" w:rsidRPr="00683FF0" w:rsidRDefault="008D257E" w:rsidP="00D21268">
            <w:pPr>
              <w:pStyle w:val="TableText"/>
              <w:numPr>
                <w:ilvl w:val="0"/>
                <w:numId w:val="26"/>
              </w:numPr>
              <w:spacing w:before="0"/>
              <w:rPr>
                <w:szCs w:val="18"/>
              </w:rPr>
            </w:pPr>
            <w:r w:rsidRPr="00683FF0">
              <w:t>Encourage fuel switching opportunities where appropriate. This should be aligned with Recommendation 19.2 below.</w:t>
            </w:r>
          </w:p>
        </w:tc>
        <w:tc>
          <w:tcPr>
            <w:tcW w:w="4394" w:type="dxa"/>
          </w:tcPr>
          <w:p w14:paraId="0A0E971E" w14:textId="4771AB9F" w:rsidR="008D257E" w:rsidRPr="00683FF0" w:rsidRDefault="009E230B" w:rsidP="006660A6">
            <w:pPr>
              <w:pStyle w:val="TableText"/>
              <w:rPr>
                <w:szCs w:val="18"/>
              </w:rPr>
            </w:pPr>
            <w:r w:rsidRPr="00683FF0">
              <w:rPr>
                <w:b/>
                <w:bCs/>
              </w:rPr>
              <w:t xml:space="preserve">19.1. </w:t>
            </w:r>
            <w:r w:rsidR="008D257E" w:rsidRPr="00683FF0">
              <w:rPr>
                <w:b/>
                <w:bCs/>
              </w:rPr>
              <w:t xml:space="preserve">The Government agrees in part </w:t>
            </w:r>
            <w:r w:rsidR="00A73991" w:rsidRPr="00683FF0">
              <w:rPr>
                <w:b/>
                <w:bCs/>
              </w:rPr>
              <w:t>with</w:t>
            </w:r>
            <w:r w:rsidR="008D257E" w:rsidRPr="00683FF0">
              <w:rPr>
                <w:b/>
                <w:bCs/>
              </w:rPr>
              <w:t xml:space="preserve"> this recommendation. </w:t>
            </w:r>
            <w:r w:rsidR="008D257E" w:rsidRPr="00683FF0">
              <w:t xml:space="preserve">The Government has agreed to develop a national Freight and Supply Chain </w:t>
            </w:r>
            <w:r w:rsidR="00920B35" w:rsidRPr="00683FF0">
              <w:t>s</w:t>
            </w:r>
            <w:r w:rsidR="008D257E" w:rsidRPr="00683FF0">
              <w:t>trategy. This strategy will set the direction for the national freight and supply chain for the next 30 years.</w:t>
            </w:r>
            <w:r w:rsidR="00ED7920" w:rsidRPr="00683FF0">
              <w:t xml:space="preserve"> </w:t>
            </w:r>
            <w:r w:rsidR="00ED7920" w:rsidRPr="00683FF0">
              <w:rPr>
                <w:rFonts w:eastAsia="Times New Roman"/>
              </w:rPr>
              <w:t>It will set out detailed recommendations for action across the areas of decarbonisation, resilience, productivity and innovation and wellbeing (</w:t>
            </w:r>
            <w:r w:rsidR="00920B35" w:rsidRPr="00683FF0">
              <w:rPr>
                <w:rFonts w:eastAsia="Times New Roman"/>
              </w:rPr>
              <w:t>c</w:t>
            </w:r>
            <w:r w:rsidR="00ED7920" w:rsidRPr="00683FF0">
              <w:rPr>
                <w:rFonts w:eastAsia="Times New Roman"/>
              </w:rPr>
              <w:t>hapter 10</w:t>
            </w:r>
            <w:r w:rsidR="00920B35" w:rsidRPr="00683FF0">
              <w:rPr>
                <w:rFonts w:eastAsia="Times New Roman"/>
              </w:rPr>
              <w:t>:</w:t>
            </w:r>
            <w:r w:rsidR="00ED7920" w:rsidRPr="00683FF0">
              <w:rPr>
                <w:rFonts w:eastAsia="Times New Roman"/>
              </w:rPr>
              <w:t xml:space="preserve"> Transport</w:t>
            </w:r>
            <w:r w:rsidR="00920B35" w:rsidRPr="00683FF0">
              <w:rPr>
                <w:rFonts w:eastAsia="Times New Roman"/>
              </w:rPr>
              <w:t>,</w:t>
            </w:r>
            <w:r w:rsidR="00ED7920" w:rsidRPr="00683FF0">
              <w:rPr>
                <w:rFonts w:eastAsia="Times New Roman"/>
              </w:rPr>
              <w:t xml:space="preserve"> </w:t>
            </w:r>
            <w:r w:rsidR="00920B35" w:rsidRPr="00683FF0">
              <w:rPr>
                <w:rFonts w:eastAsia="Times New Roman"/>
              </w:rPr>
              <w:t>a</w:t>
            </w:r>
            <w:r w:rsidR="00ED7920" w:rsidRPr="00683FF0">
              <w:rPr>
                <w:rFonts w:eastAsia="Times New Roman"/>
              </w:rPr>
              <w:t xml:space="preserve">ction </w:t>
            </w:r>
            <w:r w:rsidR="00FF72C9" w:rsidRPr="00683FF0">
              <w:rPr>
                <w:rFonts w:eastAsia="Times New Roman"/>
              </w:rPr>
              <w:t>10</w:t>
            </w:r>
            <w:r w:rsidR="00FA4F93" w:rsidRPr="00683FF0">
              <w:rPr>
                <w:rFonts w:eastAsia="Times New Roman"/>
              </w:rPr>
              <w:t>.</w:t>
            </w:r>
            <w:r w:rsidR="00ED7920" w:rsidRPr="00683FF0">
              <w:rPr>
                <w:rFonts w:eastAsia="Times New Roman"/>
              </w:rPr>
              <w:t>3.1).</w:t>
            </w:r>
          </w:p>
          <w:p w14:paraId="6CC81CCF" w14:textId="5FEB5057" w:rsidR="008D257E" w:rsidRPr="00683FF0" w:rsidRDefault="008D257E" w:rsidP="006660A6">
            <w:pPr>
              <w:pStyle w:val="TableText"/>
            </w:pPr>
            <w:r w:rsidRPr="00683FF0">
              <w:rPr>
                <w:b/>
                <w:bCs/>
              </w:rPr>
              <w:t>19.1a. and b.</w:t>
            </w:r>
            <w:r w:rsidRPr="00683FF0">
              <w:t xml:space="preserve"> </w:t>
            </w:r>
            <w:r w:rsidR="00ED7920" w:rsidRPr="00683FF0">
              <w:t xml:space="preserve">The strategy will be developed collaboratively with </w:t>
            </w:r>
            <w:r w:rsidR="295E621D" w:rsidRPr="00683FF0">
              <w:t>Māori</w:t>
            </w:r>
            <w:r w:rsidR="00ED7920" w:rsidRPr="00683FF0">
              <w:t>, local government and industry (</w:t>
            </w:r>
            <w:r w:rsidR="00920B35" w:rsidRPr="00683FF0">
              <w:t>c</w:t>
            </w:r>
            <w:r w:rsidR="00ED7920" w:rsidRPr="00683FF0">
              <w:t>hapter 10</w:t>
            </w:r>
            <w:r w:rsidR="00920B35" w:rsidRPr="00683FF0">
              <w:t>:</w:t>
            </w:r>
            <w:r w:rsidR="00ED7920" w:rsidRPr="00683FF0">
              <w:t xml:space="preserve"> Transport</w:t>
            </w:r>
            <w:r w:rsidR="00920B35" w:rsidRPr="00683FF0">
              <w:t>,</w:t>
            </w:r>
            <w:r w:rsidR="00ED7920" w:rsidRPr="00683FF0">
              <w:t xml:space="preserve"> </w:t>
            </w:r>
            <w:r w:rsidR="00920B35" w:rsidRPr="00683FF0">
              <w:t>a</w:t>
            </w:r>
            <w:r w:rsidR="00ED7920" w:rsidRPr="00683FF0">
              <w:t xml:space="preserve">ction </w:t>
            </w:r>
            <w:r w:rsidR="00FA4F93" w:rsidRPr="00683FF0">
              <w:t>10.</w:t>
            </w:r>
            <w:r w:rsidR="00ED7920" w:rsidRPr="00683FF0">
              <w:t>3.1).</w:t>
            </w:r>
          </w:p>
          <w:p w14:paraId="551E14B2" w14:textId="0E60C642" w:rsidR="00ED7920" w:rsidRPr="00683FF0" w:rsidRDefault="008D257E" w:rsidP="006660A6">
            <w:pPr>
              <w:pStyle w:val="TableText"/>
            </w:pPr>
            <w:r w:rsidRPr="00683FF0">
              <w:rPr>
                <w:b/>
                <w:bCs/>
              </w:rPr>
              <w:t xml:space="preserve">19.1c. </w:t>
            </w:r>
            <w:r w:rsidR="00ED7920" w:rsidRPr="00683FF0">
              <w:t>The strategy will explore opportunities to improve efficiency and competitiveness of the freight system (</w:t>
            </w:r>
            <w:r w:rsidR="00DA6160" w:rsidRPr="00683FF0">
              <w:t>c</w:t>
            </w:r>
            <w:r w:rsidR="00ED7920" w:rsidRPr="00683FF0">
              <w:t>hapter 10</w:t>
            </w:r>
            <w:r w:rsidR="00DA6160" w:rsidRPr="00683FF0">
              <w:t>:</w:t>
            </w:r>
            <w:r w:rsidR="00ED7920" w:rsidRPr="00683FF0">
              <w:t xml:space="preserve"> Transport</w:t>
            </w:r>
            <w:r w:rsidR="00DA6160" w:rsidRPr="00683FF0">
              <w:t>,</w:t>
            </w:r>
            <w:r w:rsidR="00ED7920" w:rsidRPr="00683FF0">
              <w:t xml:space="preserve"> </w:t>
            </w:r>
            <w:r w:rsidR="00DA6160" w:rsidRPr="00683FF0">
              <w:t>a</w:t>
            </w:r>
            <w:r w:rsidR="00ED7920" w:rsidRPr="00683FF0">
              <w:t xml:space="preserve">ction </w:t>
            </w:r>
            <w:r w:rsidR="00FA4F93" w:rsidRPr="00683FF0">
              <w:t>10.</w:t>
            </w:r>
            <w:r w:rsidR="00ED7920" w:rsidRPr="00683FF0">
              <w:t>3.1).</w:t>
            </w:r>
          </w:p>
          <w:p w14:paraId="081022BB" w14:textId="43B6EAF5" w:rsidR="008D257E" w:rsidRPr="00683FF0" w:rsidRDefault="00ED7920" w:rsidP="006660A6">
            <w:pPr>
              <w:pStyle w:val="TableText"/>
            </w:pPr>
            <w:r w:rsidRPr="00683FF0">
              <w:rPr>
                <w:b/>
                <w:bCs/>
              </w:rPr>
              <w:t>19.1</w:t>
            </w:r>
            <w:r w:rsidR="008D257E" w:rsidRPr="00683FF0">
              <w:rPr>
                <w:b/>
                <w:bCs/>
              </w:rPr>
              <w:t xml:space="preserve">d. </w:t>
            </w:r>
            <w:r w:rsidR="008D257E" w:rsidRPr="00683FF0">
              <w:t>The strategy will explore options for decarbonising freight modes and opportunities to encourage greater mode</w:t>
            </w:r>
            <w:r w:rsidR="003F12EF" w:rsidRPr="00683FF0">
              <w:t xml:space="preserve"> </w:t>
            </w:r>
            <w:r w:rsidR="008D257E" w:rsidRPr="00683FF0">
              <w:t>shift to rail and coastal shipping. Instead of setting specific targets for mode shift, we have set an overall target for reducing emissions across the freight system. This allows for achieving reductions through the most appropriate mechanisms</w:t>
            </w:r>
            <w:r w:rsidRPr="00683FF0">
              <w:t xml:space="preserve"> (</w:t>
            </w:r>
            <w:r w:rsidR="003F12EF" w:rsidRPr="00683FF0">
              <w:t>c</w:t>
            </w:r>
            <w:r w:rsidRPr="00683FF0">
              <w:t>hapter 10</w:t>
            </w:r>
            <w:r w:rsidR="003F12EF" w:rsidRPr="00683FF0">
              <w:t>:</w:t>
            </w:r>
            <w:r w:rsidRPr="00683FF0">
              <w:t xml:space="preserve"> Transport</w:t>
            </w:r>
            <w:r w:rsidR="003F12EF" w:rsidRPr="00683FF0">
              <w:t>,</w:t>
            </w:r>
            <w:r w:rsidRPr="00683FF0">
              <w:t xml:space="preserve"> </w:t>
            </w:r>
            <w:r w:rsidR="003F12EF" w:rsidRPr="00683FF0">
              <w:t>a</w:t>
            </w:r>
            <w:r w:rsidRPr="00683FF0">
              <w:t xml:space="preserve">ction </w:t>
            </w:r>
            <w:r w:rsidR="00FA4F93" w:rsidRPr="00683FF0">
              <w:t>10.</w:t>
            </w:r>
            <w:r w:rsidRPr="00683FF0">
              <w:t>3.1).</w:t>
            </w:r>
          </w:p>
          <w:p w14:paraId="0791685C" w14:textId="27CE562D" w:rsidR="00D648FB" w:rsidRPr="00683FF0" w:rsidRDefault="0F3A3053" w:rsidP="006660A6">
            <w:pPr>
              <w:pStyle w:val="TableText"/>
              <w:rPr>
                <w:szCs w:val="18"/>
              </w:rPr>
            </w:pPr>
            <w:r w:rsidRPr="00683FF0">
              <w:rPr>
                <w:b/>
                <w:bCs/>
              </w:rPr>
              <w:t xml:space="preserve">19.1e. </w:t>
            </w:r>
            <w:r w:rsidRPr="00683FF0">
              <w:t xml:space="preserve">The strategy will signal a long-term investment pathway for infrastructure that supports freight decarbonisation (including fuels where appropriate). Also see response to 19.2a below </w:t>
            </w:r>
            <w:r w:rsidR="0BDBB571" w:rsidRPr="00683FF0">
              <w:t>(</w:t>
            </w:r>
            <w:r w:rsidR="00D372D4" w:rsidRPr="00683FF0">
              <w:t>c</w:t>
            </w:r>
            <w:r w:rsidR="0BDBB571" w:rsidRPr="00683FF0">
              <w:t>hapter 10</w:t>
            </w:r>
            <w:r w:rsidR="00D372D4" w:rsidRPr="00683FF0">
              <w:t>:</w:t>
            </w:r>
            <w:r w:rsidR="0BDBB571" w:rsidRPr="00683FF0">
              <w:t xml:space="preserve"> Transport</w:t>
            </w:r>
            <w:r w:rsidR="00D372D4" w:rsidRPr="00683FF0">
              <w:t>,</w:t>
            </w:r>
            <w:r w:rsidR="0BDBB571" w:rsidRPr="00683FF0">
              <w:t xml:space="preserve"> </w:t>
            </w:r>
            <w:r w:rsidR="00D372D4" w:rsidRPr="00683FF0">
              <w:t>a</w:t>
            </w:r>
            <w:r w:rsidR="0BDBB571" w:rsidRPr="00683FF0">
              <w:t xml:space="preserve">ction </w:t>
            </w:r>
            <w:r w:rsidR="00FA4F93" w:rsidRPr="00683FF0">
              <w:t>10.</w:t>
            </w:r>
            <w:r w:rsidR="0BDBB571" w:rsidRPr="00683FF0">
              <w:t>3.5).</w:t>
            </w:r>
            <w:r w:rsidRPr="00683FF0">
              <w:t xml:space="preserve"> </w:t>
            </w:r>
          </w:p>
        </w:tc>
      </w:tr>
      <w:bookmarkEnd w:id="37"/>
      <w:tr w:rsidR="008D257E" w:rsidRPr="00683FF0" w14:paraId="7BE4A8DD" w14:textId="77777777" w:rsidTr="006660A6">
        <w:tc>
          <w:tcPr>
            <w:tcW w:w="4111" w:type="dxa"/>
          </w:tcPr>
          <w:p w14:paraId="441AC962" w14:textId="77777777" w:rsidR="008D257E" w:rsidRPr="00683FF0" w:rsidRDefault="008D257E" w:rsidP="00AC3040">
            <w:pPr>
              <w:spacing w:before="40" w:after="40"/>
              <w:rPr>
                <w:sz w:val="18"/>
                <w:szCs w:val="18"/>
              </w:rPr>
            </w:pPr>
            <w:r w:rsidRPr="00683FF0">
              <w:rPr>
                <w:sz w:val="18"/>
                <w:szCs w:val="18"/>
              </w:rPr>
              <w:t xml:space="preserve">19.2. Developing low-carbon fuel markets through measures that include: </w:t>
            </w:r>
          </w:p>
          <w:p w14:paraId="52AC91BD" w14:textId="77777777" w:rsidR="008D257E" w:rsidRPr="00683FF0" w:rsidRDefault="008D257E" w:rsidP="00D21268">
            <w:pPr>
              <w:pStyle w:val="TableText"/>
              <w:numPr>
                <w:ilvl w:val="0"/>
                <w:numId w:val="27"/>
              </w:numPr>
              <w:spacing w:before="0"/>
            </w:pPr>
            <w:r w:rsidRPr="00683FF0">
              <w:t xml:space="preserve">A low-carbon fuel standard or mandate to increase demand for low-carbon fuels. </w:t>
            </w:r>
          </w:p>
          <w:p w14:paraId="415FD108" w14:textId="77777777" w:rsidR="008D257E" w:rsidRPr="00683FF0" w:rsidRDefault="008D257E" w:rsidP="00D21268">
            <w:pPr>
              <w:pStyle w:val="TableText"/>
              <w:numPr>
                <w:ilvl w:val="0"/>
                <w:numId w:val="27"/>
              </w:numPr>
              <w:spacing w:before="0"/>
            </w:pPr>
            <w:r w:rsidRPr="00683FF0">
              <w:t xml:space="preserve">Supporting demonstration and pilot projects for low-carbon heavy vehicles. </w:t>
            </w:r>
          </w:p>
          <w:p w14:paraId="13E303CA" w14:textId="383F7B13" w:rsidR="008D257E" w:rsidRPr="00683FF0" w:rsidRDefault="008D257E" w:rsidP="00D21268">
            <w:pPr>
              <w:pStyle w:val="TableText"/>
              <w:numPr>
                <w:ilvl w:val="0"/>
                <w:numId w:val="27"/>
              </w:numPr>
              <w:spacing w:before="0"/>
              <w:rPr>
                <w:szCs w:val="18"/>
              </w:rPr>
            </w:pPr>
            <w:r w:rsidRPr="00683FF0">
              <w:t>Offering targeted support for the uptake of low-carbon heavy vehicles. This could include broadening the exemption battery E</w:t>
            </w:r>
            <w:r w:rsidR="00FC73A3" w:rsidRPr="00683FF0">
              <w:t>V</w:t>
            </w:r>
            <w:r w:rsidRPr="00683FF0">
              <w:t>s have from paying road user charges to include other low-carbon technologies</w:t>
            </w:r>
          </w:p>
        </w:tc>
        <w:tc>
          <w:tcPr>
            <w:tcW w:w="4394" w:type="dxa"/>
          </w:tcPr>
          <w:p w14:paraId="071514BC" w14:textId="3F57C2D1" w:rsidR="008D257E" w:rsidRPr="00683FF0" w:rsidRDefault="0F3A3053" w:rsidP="006660A6">
            <w:pPr>
              <w:pStyle w:val="TableText"/>
            </w:pPr>
            <w:r w:rsidRPr="00683FF0">
              <w:rPr>
                <w:b/>
                <w:bCs/>
              </w:rPr>
              <w:t xml:space="preserve">The Government agrees </w:t>
            </w:r>
            <w:r w:rsidR="7B69EC0A" w:rsidRPr="00683FF0">
              <w:rPr>
                <w:b/>
                <w:bCs/>
              </w:rPr>
              <w:t>with</w:t>
            </w:r>
            <w:r w:rsidRPr="00683FF0">
              <w:rPr>
                <w:b/>
                <w:bCs/>
              </w:rPr>
              <w:t xml:space="preserve"> this recommendation. </w:t>
            </w:r>
            <w:r w:rsidRPr="00683FF0">
              <w:t xml:space="preserve">The Government is already progressing work to support a low-carbon fuel market, including by agreeing to a Sustainable Biofuels Obligation. </w:t>
            </w:r>
          </w:p>
          <w:p w14:paraId="26AEC814" w14:textId="7239596E" w:rsidR="008D257E" w:rsidRPr="00683FF0" w:rsidRDefault="008D257E" w:rsidP="006660A6">
            <w:pPr>
              <w:pStyle w:val="TableText"/>
              <w:rPr>
                <w:b/>
                <w:bCs/>
                <w:szCs w:val="18"/>
              </w:rPr>
            </w:pPr>
            <w:r w:rsidRPr="00683FF0">
              <w:rPr>
                <w:b/>
                <w:bCs/>
              </w:rPr>
              <w:t xml:space="preserve">19.2a. </w:t>
            </w:r>
            <w:r w:rsidRPr="00683FF0">
              <w:t>The Government has agreed to introduce a Sustainable Biofuels Obligation to help overcome the cost and risk barriers facing biofuels uptake</w:t>
            </w:r>
            <w:r w:rsidR="613950D2" w:rsidRPr="00683FF0">
              <w:t xml:space="preserve"> (</w:t>
            </w:r>
            <w:r w:rsidR="00D372D4" w:rsidRPr="00683FF0">
              <w:t>c</w:t>
            </w:r>
            <w:r w:rsidR="613950D2" w:rsidRPr="00683FF0">
              <w:t>hapter 10</w:t>
            </w:r>
            <w:r w:rsidR="00D372D4" w:rsidRPr="00683FF0">
              <w:t>:</w:t>
            </w:r>
            <w:r w:rsidR="613950D2" w:rsidRPr="00683FF0">
              <w:t xml:space="preserve"> Transport</w:t>
            </w:r>
            <w:r w:rsidR="00D372D4" w:rsidRPr="00683FF0">
              <w:t>,</w:t>
            </w:r>
            <w:r w:rsidR="613950D2" w:rsidRPr="00683FF0">
              <w:t xml:space="preserve"> </w:t>
            </w:r>
            <w:r w:rsidR="00D372D4" w:rsidRPr="00683FF0">
              <w:t>a</w:t>
            </w:r>
            <w:r w:rsidR="613950D2" w:rsidRPr="00683FF0">
              <w:t xml:space="preserve">ction </w:t>
            </w:r>
            <w:r w:rsidR="00FA4F93" w:rsidRPr="00683FF0">
              <w:t>10.</w:t>
            </w:r>
            <w:r w:rsidR="613950D2" w:rsidRPr="00683FF0">
              <w:t>3.5).</w:t>
            </w:r>
          </w:p>
          <w:p w14:paraId="07F277A5" w14:textId="4E5544F9" w:rsidR="008D257E" w:rsidRPr="00683FF0" w:rsidRDefault="0F3A3053" w:rsidP="006660A6">
            <w:pPr>
              <w:pStyle w:val="TableText"/>
              <w:rPr>
                <w:szCs w:val="18"/>
              </w:rPr>
            </w:pPr>
            <w:r w:rsidRPr="00683FF0">
              <w:rPr>
                <w:b/>
                <w:bCs/>
              </w:rPr>
              <w:t xml:space="preserve">19.2b and c. </w:t>
            </w:r>
            <w:r w:rsidRPr="00683FF0">
              <w:t xml:space="preserve">The </w:t>
            </w:r>
            <w:r w:rsidR="00FD74DA" w:rsidRPr="00683FF0">
              <w:t>emissions reduction plan</w:t>
            </w:r>
            <w:r w:rsidRPr="00683FF0">
              <w:t xml:space="preserve"> commits to</w:t>
            </w:r>
            <w:r w:rsidR="00B47942" w:rsidRPr="00683FF0">
              <w:t> </w:t>
            </w:r>
            <w:r w:rsidR="0BDBB571" w:rsidRPr="00683FF0">
              <w:t xml:space="preserve">provide funding to </w:t>
            </w:r>
            <w:r w:rsidRPr="00683FF0">
              <w:t>suppor</w:t>
            </w:r>
            <w:r w:rsidR="0BDBB571" w:rsidRPr="00683FF0">
              <w:t>t</w:t>
            </w:r>
            <w:r w:rsidRPr="00683FF0">
              <w:t xml:space="preserve"> the freight sector to purchase zero</w:t>
            </w:r>
            <w:r w:rsidR="00A61616" w:rsidRPr="00683FF0">
              <w:t>-</w:t>
            </w:r>
            <w:r w:rsidRPr="00683FF0">
              <w:t xml:space="preserve"> and low-emissions trucks. It also commits to evaluating options for RUC to support emissions reductions, including whether to extend the heavy EV exemption from </w:t>
            </w:r>
            <w:r w:rsidR="00A61616" w:rsidRPr="00683FF0">
              <w:t>road user charges (</w:t>
            </w:r>
            <w:r w:rsidRPr="00683FF0">
              <w:t>RUC</w:t>
            </w:r>
            <w:r w:rsidR="00A61616" w:rsidRPr="00683FF0">
              <w:t>s)</w:t>
            </w:r>
            <w:r w:rsidRPr="00683FF0">
              <w:t xml:space="preserve"> and set RUC rates differently by fuel type/emissions (</w:t>
            </w:r>
            <w:r w:rsidR="001E6EAE" w:rsidRPr="00683FF0">
              <w:t>c</w:t>
            </w:r>
            <w:r w:rsidR="0BDBB571" w:rsidRPr="00683FF0">
              <w:t xml:space="preserve">hapter </w:t>
            </w:r>
            <w:r w:rsidR="3E1CCEE9" w:rsidRPr="00683FF0">
              <w:t>10</w:t>
            </w:r>
            <w:r w:rsidR="001E6EAE" w:rsidRPr="00683FF0">
              <w:t>:</w:t>
            </w:r>
            <w:r w:rsidR="0BDBB571" w:rsidRPr="00683FF0">
              <w:t xml:space="preserve"> Transport</w:t>
            </w:r>
            <w:r w:rsidR="001E6EAE" w:rsidRPr="00683FF0">
              <w:t>,</w:t>
            </w:r>
            <w:r w:rsidR="0BDBB571" w:rsidRPr="00683FF0">
              <w:t xml:space="preserve"> </w:t>
            </w:r>
            <w:r w:rsidR="001E6EAE" w:rsidRPr="00683FF0">
              <w:t>a</w:t>
            </w:r>
            <w:r w:rsidRPr="00683FF0">
              <w:t xml:space="preserve">ction </w:t>
            </w:r>
            <w:r w:rsidR="00FA4F93" w:rsidRPr="00683FF0">
              <w:t>10.</w:t>
            </w:r>
            <w:r w:rsidRPr="00683FF0">
              <w:t xml:space="preserve">3.1). </w:t>
            </w:r>
          </w:p>
        </w:tc>
      </w:tr>
      <w:tr w:rsidR="008D257E" w:rsidRPr="00683FF0" w14:paraId="210605C3" w14:textId="77777777" w:rsidTr="006660A6">
        <w:tc>
          <w:tcPr>
            <w:tcW w:w="4111" w:type="dxa"/>
          </w:tcPr>
          <w:p w14:paraId="412F433B" w14:textId="2B8C97C4" w:rsidR="008D257E" w:rsidRPr="00683FF0" w:rsidRDefault="008D257E" w:rsidP="006660A6">
            <w:pPr>
              <w:pStyle w:val="TableText"/>
            </w:pPr>
            <w:r w:rsidRPr="00683FF0">
              <w:t xml:space="preserve">19.3. Undertaking a detailed study into the use of low-carbon fuels for aviation and shipping in Aotearoa. This should identity options for Aotearoa, their barriers to uptake and actions to address them. </w:t>
            </w:r>
          </w:p>
        </w:tc>
        <w:tc>
          <w:tcPr>
            <w:tcW w:w="4394" w:type="dxa"/>
          </w:tcPr>
          <w:p w14:paraId="27C3E3C7" w14:textId="625A8A42" w:rsidR="00D648FB" w:rsidRPr="00683FF0" w:rsidRDefault="0F3A3053" w:rsidP="006660A6">
            <w:pPr>
              <w:pStyle w:val="TableText"/>
              <w:rPr>
                <w:szCs w:val="18"/>
              </w:rPr>
            </w:pPr>
            <w:r w:rsidRPr="00683FF0">
              <w:rPr>
                <w:b/>
                <w:bCs/>
              </w:rPr>
              <w:t xml:space="preserve">The Government agrees </w:t>
            </w:r>
            <w:r w:rsidR="008C61E0" w:rsidRPr="00683FF0">
              <w:rPr>
                <w:b/>
                <w:bCs/>
              </w:rPr>
              <w:t xml:space="preserve">with </w:t>
            </w:r>
            <w:r w:rsidRPr="00683FF0">
              <w:rPr>
                <w:b/>
                <w:bCs/>
              </w:rPr>
              <w:t xml:space="preserve">this recommendation. </w:t>
            </w:r>
            <w:r w:rsidRPr="00683FF0">
              <w:t>Air New Zealand is undertaking a Sustainable Aviation Fuel (SAF) feasibility study. Once findings from this study are available, the Government will develop settings for a SAF-specific mandate (</w:t>
            </w:r>
            <w:r w:rsidR="008C61E0" w:rsidRPr="00683FF0">
              <w:t>c</w:t>
            </w:r>
            <w:r w:rsidR="0BDBB571" w:rsidRPr="00683FF0">
              <w:t xml:space="preserve">hapter </w:t>
            </w:r>
            <w:r w:rsidR="3E1CCEE9" w:rsidRPr="00683FF0">
              <w:t>10</w:t>
            </w:r>
            <w:r w:rsidR="008C61E0" w:rsidRPr="00683FF0">
              <w:t>:</w:t>
            </w:r>
            <w:r w:rsidR="0BDBB571" w:rsidRPr="00683FF0">
              <w:t xml:space="preserve"> Transport</w:t>
            </w:r>
            <w:r w:rsidR="008C61E0" w:rsidRPr="00683FF0">
              <w:t>,</w:t>
            </w:r>
            <w:r w:rsidR="0BDBB571" w:rsidRPr="00683FF0">
              <w:t xml:space="preserve"> </w:t>
            </w:r>
            <w:r w:rsidR="008C61E0" w:rsidRPr="00683FF0">
              <w:t>a</w:t>
            </w:r>
            <w:r w:rsidRPr="00683FF0">
              <w:t xml:space="preserve">ction </w:t>
            </w:r>
            <w:r w:rsidR="00FA4F93" w:rsidRPr="00683FF0">
              <w:lastRenderedPageBreak/>
              <w:t>10.</w:t>
            </w:r>
            <w:r w:rsidRPr="00683FF0">
              <w:t xml:space="preserve">3.3). The </w:t>
            </w:r>
            <w:r w:rsidR="00FD74DA" w:rsidRPr="00683FF0">
              <w:t>emissions reduction plan</w:t>
            </w:r>
            <w:r w:rsidRPr="00683FF0">
              <w:t xml:space="preserve"> also commits to undertake research to advance the development and uptake of alternative low-</w:t>
            </w:r>
            <w:r w:rsidR="003F7C65" w:rsidRPr="00683FF0">
              <w:t xml:space="preserve"> </w:t>
            </w:r>
            <w:r w:rsidRPr="00683FF0">
              <w:t>and zero-carbon fuels for shipping (</w:t>
            </w:r>
            <w:r w:rsidR="003F7C65" w:rsidRPr="00683FF0">
              <w:t>c</w:t>
            </w:r>
            <w:r w:rsidR="0BDBB571" w:rsidRPr="00683FF0">
              <w:t xml:space="preserve">hapter </w:t>
            </w:r>
            <w:r w:rsidR="3E1CCEE9" w:rsidRPr="00683FF0">
              <w:t>10</w:t>
            </w:r>
            <w:r w:rsidR="003F7C65" w:rsidRPr="00683FF0">
              <w:t>:</w:t>
            </w:r>
            <w:r w:rsidR="0BDBB571" w:rsidRPr="00683FF0">
              <w:t xml:space="preserve"> Transport</w:t>
            </w:r>
            <w:r w:rsidR="003F7C65" w:rsidRPr="00683FF0">
              <w:t>,</w:t>
            </w:r>
            <w:r w:rsidR="0BDBB571" w:rsidRPr="00683FF0">
              <w:t xml:space="preserve"> </w:t>
            </w:r>
            <w:r w:rsidR="003F7C65" w:rsidRPr="00683FF0">
              <w:t>a</w:t>
            </w:r>
            <w:r w:rsidRPr="00683FF0">
              <w:t xml:space="preserve">ction </w:t>
            </w:r>
            <w:r w:rsidR="00FA4F93" w:rsidRPr="00683FF0">
              <w:t>10.</w:t>
            </w:r>
            <w:r w:rsidRPr="00683FF0">
              <w:t>3.4).</w:t>
            </w:r>
            <w:r w:rsidR="00C1630D" w:rsidRPr="00683FF0">
              <w:t xml:space="preserve"> </w:t>
            </w:r>
          </w:p>
        </w:tc>
      </w:tr>
      <w:tr w:rsidR="00047F92" w:rsidRPr="00683FF0" w14:paraId="2D7017F2" w14:textId="77777777" w:rsidTr="006660A6">
        <w:tc>
          <w:tcPr>
            <w:tcW w:w="4111" w:type="dxa"/>
          </w:tcPr>
          <w:p w14:paraId="5CF169D5" w14:textId="77777777" w:rsidR="00047F92" w:rsidRPr="00683FF0" w:rsidRDefault="00047F92" w:rsidP="006660A6">
            <w:pPr>
              <w:pStyle w:val="TableText"/>
            </w:pPr>
          </w:p>
        </w:tc>
        <w:tc>
          <w:tcPr>
            <w:tcW w:w="4394" w:type="dxa"/>
          </w:tcPr>
          <w:p w14:paraId="44B1A854" w14:textId="77777777" w:rsidR="00047F92" w:rsidRPr="00683FF0" w:rsidRDefault="00047F92" w:rsidP="006660A6">
            <w:pPr>
              <w:pStyle w:val="TableText"/>
              <w:rPr>
                <w:b/>
                <w:bCs/>
              </w:rPr>
            </w:pPr>
            <w:r w:rsidRPr="00683FF0">
              <w:rPr>
                <w:b/>
                <w:bCs/>
              </w:rPr>
              <w:t xml:space="preserve">Responsible agency: </w:t>
            </w:r>
            <w:r w:rsidRPr="00683FF0">
              <w:t xml:space="preserve">Ministry of Transport </w:t>
            </w:r>
          </w:p>
          <w:p w14:paraId="6E936C10" w14:textId="77777777" w:rsidR="00047F92" w:rsidRPr="00683FF0" w:rsidRDefault="00047F92" w:rsidP="00B47942">
            <w:pPr>
              <w:pStyle w:val="TableText"/>
              <w:spacing w:before="0"/>
            </w:pPr>
            <w:r w:rsidRPr="00683FF0">
              <w:rPr>
                <w:b/>
                <w:bCs/>
              </w:rPr>
              <w:t>Responsible Minister:</w:t>
            </w:r>
            <w:r w:rsidRPr="00683FF0">
              <w:t xml:space="preserve"> Minister of Transport </w:t>
            </w:r>
          </w:p>
          <w:p w14:paraId="0F390BDE" w14:textId="77777777" w:rsidR="00047F92" w:rsidRPr="00683FF0" w:rsidRDefault="00047F92" w:rsidP="00B47942">
            <w:pPr>
              <w:pStyle w:val="TableTextbold"/>
              <w:spacing w:before="0"/>
            </w:pPr>
            <w:r w:rsidRPr="00683FF0">
              <w:t xml:space="preserve">Timeline: </w:t>
            </w:r>
          </w:p>
          <w:p w14:paraId="2B21DE09" w14:textId="6E6864D6" w:rsidR="00047F92" w:rsidRPr="00683FF0" w:rsidRDefault="22EAC332" w:rsidP="006660A6">
            <w:pPr>
              <w:pStyle w:val="TableBullet"/>
              <w:rPr>
                <w:b/>
                <w:bCs/>
              </w:rPr>
            </w:pPr>
            <w:r w:rsidRPr="00683FF0">
              <w:t>19.1. The strategy will be completed in 2023</w:t>
            </w:r>
          </w:p>
          <w:p w14:paraId="1B542846" w14:textId="04F2B3EE" w:rsidR="00047F92" w:rsidRPr="00683FF0" w:rsidRDefault="22EAC332" w:rsidP="006660A6">
            <w:pPr>
              <w:pStyle w:val="TableBullet"/>
              <w:rPr>
                <w:b/>
                <w:bCs/>
              </w:rPr>
            </w:pPr>
            <w:r w:rsidRPr="00683FF0">
              <w:t>19.2. Legislation and regulations for the Sustainable Biofuels Obligation will be enacted in 2023; RUC evaluation will be completed in 2023</w:t>
            </w:r>
            <w:r w:rsidR="003F7C65" w:rsidRPr="00683FF0">
              <w:t>–</w:t>
            </w:r>
            <w:r w:rsidRPr="00683FF0">
              <w:t>24. Other initiatives 2022</w:t>
            </w:r>
            <w:r w:rsidR="003F7C65" w:rsidRPr="00683FF0">
              <w:t>–</w:t>
            </w:r>
            <w:r w:rsidRPr="00683FF0">
              <w:t>25 (EB 1)</w:t>
            </w:r>
          </w:p>
          <w:p w14:paraId="3475FCCD" w14:textId="45F00C40" w:rsidR="00047F92" w:rsidRPr="00683FF0" w:rsidRDefault="22EAC332" w:rsidP="005B5BBB">
            <w:pPr>
              <w:pStyle w:val="TableBullet"/>
              <w:rPr>
                <w:b/>
                <w:bCs/>
              </w:rPr>
            </w:pPr>
            <w:r w:rsidRPr="00683FF0">
              <w:t>19.3.</w:t>
            </w:r>
            <w:r w:rsidRPr="00683FF0">
              <w:rPr>
                <w:b/>
                <w:bCs/>
              </w:rPr>
              <w:t xml:space="preserve"> </w:t>
            </w:r>
            <w:r w:rsidRPr="00683FF0">
              <w:t>Proposed SAF-specific mandate settings to be developed by December 2022. Other initiatives 2022</w:t>
            </w:r>
            <w:r w:rsidR="003F7C65" w:rsidRPr="00683FF0">
              <w:t>–</w:t>
            </w:r>
            <w:r w:rsidRPr="00683FF0">
              <w:t>25 (EB1)</w:t>
            </w:r>
          </w:p>
        </w:tc>
      </w:tr>
    </w:tbl>
    <w:p w14:paraId="2FBBF95A" w14:textId="77777777" w:rsidR="00641AE0" w:rsidRPr="00683FF0" w:rsidRDefault="00641AE0" w:rsidP="006660A6">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4C02DA" w:rsidRPr="00683FF0" w14:paraId="49192D94" w14:textId="77777777" w:rsidTr="0082007A">
        <w:trPr>
          <w:trHeight w:val="340"/>
        </w:trPr>
        <w:tc>
          <w:tcPr>
            <w:tcW w:w="4508" w:type="dxa"/>
            <w:tcBorders>
              <w:top w:val="single" w:sz="4" w:space="0" w:color="1B556B" w:themeColor="text2"/>
              <w:bottom w:val="nil"/>
            </w:tcBorders>
            <w:shd w:val="clear" w:color="auto" w:fill="1B556B" w:themeFill="text2"/>
            <w:vAlign w:val="center"/>
          </w:tcPr>
          <w:p w14:paraId="0484AD81" w14:textId="2512C466" w:rsidR="004C02DA" w:rsidRPr="00683FF0" w:rsidRDefault="004C02DA" w:rsidP="00AC3040">
            <w:pPr>
              <w:jc w:val="center"/>
              <w:rPr>
                <w:b/>
                <w:bCs/>
                <w:color w:val="FFFFFF" w:themeColor="background1"/>
              </w:rPr>
            </w:pPr>
            <w:r w:rsidRPr="00683FF0">
              <w:rPr>
                <w:b/>
                <w:bCs/>
                <w:color w:val="FFFFFF" w:themeColor="background1"/>
              </w:rPr>
              <w:t xml:space="preserve">Report </w:t>
            </w:r>
            <w:r w:rsidR="003F7C65" w:rsidRPr="00683FF0">
              <w:rPr>
                <w:b/>
                <w:bCs/>
                <w:color w:val="FFFFFF" w:themeColor="background1"/>
              </w:rPr>
              <w:t>r</w:t>
            </w:r>
            <w:r w:rsidRPr="00683FF0">
              <w:rPr>
                <w:b/>
                <w:bCs/>
                <w:color w:val="FFFFFF" w:themeColor="background1"/>
              </w:rPr>
              <w:t>ecommendation</w:t>
            </w:r>
          </w:p>
        </w:tc>
        <w:tc>
          <w:tcPr>
            <w:tcW w:w="4508" w:type="dxa"/>
            <w:tcBorders>
              <w:top w:val="single" w:sz="4" w:space="0" w:color="1B556B" w:themeColor="text2"/>
              <w:bottom w:val="nil"/>
            </w:tcBorders>
            <w:shd w:val="clear" w:color="auto" w:fill="1B556B" w:themeFill="text2"/>
            <w:vAlign w:val="center"/>
          </w:tcPr>
          <w:p w14:paraId="7100DC87" w14:textId="5C054C07" w:rsidR="004C02DA" w:rsidRPr="00683FF0" w:rsidRDefault="004C02DA" w:rsidP="00AC3040">
            <w:pPr>
              <w:jc w:val="center"/>
              <w:rPr>
                <w:b/>
                <w:bCs/>
                <w:color w:val="FFFFFF" w:themeColor="background1"/>
              </w:rPr>
            </w:pPr>
            <w:r w:rsidRPr="00683FF0">
              <w:rPr>
                <w:b/>
                <w:bCs/>
                <w:color w:val="FFFFFF" w:themeColor="background1"/>
              </w:rPr>
              <w:t xml:space="preserve">Government </w:t>
            </w:r>
            <w:r w:rsidR="003F7C65" w:rsidRPr="00683FF0">
              <w:rPr>
                <w:b/>
                <w:bCs/>
                <w:color w:val="FFFFFF" w:themeColor="background1"/>
              </w:rPr>
              <w:t>r</w:t>
            </w:r>
            <w:r w:rsidRPr="00683FF0">
              <w:rPr>
                <w:b/>
                <w:bCs/>
                <w:color w:val="FFFFFF" w:themeColor="background1"/>
              </w:rPr>
              <w:t>esponse</w:t>
            </w:r>
          </w:p>
        </w:tc>
      </w:tr>
      <w:tr w:rsidR="004C02DA" w:rsidRPr="00683FF0" w14:paraId="4DC4F0EA" w14:textId="77777777" w:rsidTr="0082007A">
        <w:tc>
          <w:tcPr>
            <w:tcW w:w="4508" w:type="dxa"/>
            <w:tcBorders>
              <w:top w:val="nil"/>
              <w:bottom w:val="nil"/>
            </w:tcBorders>
            <w:shd w:val="clear" w:color="auto" w:fill="D2DDE1" w:themeFill="background2"/>
          </w:tcPr>
          <w:p w14:paraId="35CE4409" w14:textId="32723EBF" w:rsidR="004C02DA" w:rsidRPr="00683FF0" w:rsidRDefault="004C02DA" w:rsidP="0082007A">
            <w:pPr>
              <w:pStyle w:val="TableTextbold"/>
            </w:pPr>
            <w:r w:rsidRPr="00683FF0">
              <w:t>Recommendation 17 – Provisional</w:t>
            </w:r>
            <w:r w:rsidR="00DF16AA" w:rsidRPr="00683FF0">
              <w:t xml:space="preserve"> progress</w:t>
            </w:r>
            <w:r w:rsidRPr="00683FF0">
              <w:t xml:space="preserve"> indicators </w:t>
            </w:r>
          </w:p>
        </w:tc>
        <w:tc>
          <w:tcPr>
            <w:tcW w:w="4508" w:type="dxa"/>
            <w:tcBorders>
              <w:top w:val="nil"/>
              <w:bottom w:val="nil"/>
            </w:tcBorders>
            <w:shd w:val="clear" w:color="auto" w:fill="D2DDE1" w:themeFill="background2"/>
          </w:tcPr>
          <w:p w14:paraId="4514E5E9" w14:textId="77777777" w:rsidR="004C02DA" w:rsidRPr="00683FF0" w:rsidRDefault="004C02DA" w:rsidP="0082007A">
            <w:pPr>
              <w:pStyle w:val="TableText"/>
            </w:pPr>
          </w:p>
        </w:tc>
      </w:tr>
      <w:tr w:rsidR="004C02DA" w:rsidRPr="00683FF0" w14:paraId="16D3CAA8" w14:textId="77777777" w:rsidTr="0082007A">
        <w:tc>
          <w:tcPr>
            <w:tcW w:w="4508" w:type="dxa"/>
            <w:tcBorders>
              <w:top w:val="nil"/>
            </w:tcBorders>
          </w:tcPr>
          <w:p w14:paraId="175B0F9C" w14:textId="0193A3D4" w:rsidR="004C02DA" w:rsidRPr="00683FF0" w:rsidRDefault="00DF16AA" w:rsidP="0082007A">
            <w:pPr>
              <w:pStyle w:val="TableText"/>
            </w:pPr>
            <w:r w:rsidRPr="00683FF0">
              <w:t>17.</w:t>
            </w:r>
            <w:r w:rsidR="00A73991" w:rsidRPr="00683FF0">
              <w:t xml:space="preserve">1. </w:t>
            </w:r>
            <w:r w:rsidR="009972CB" w:rsidRPr="00683FF0">
              <w:t>Government to have, by 31 December 2022, set targets and implemented a plan, including substantially increasing the share of central government funding, to increase walking, cycling, public transport and shared transport to displace vehicle use.</w:t>
            </w:r>
          </w:p>
        </w:tc>
        <w:tc>
          <w:tcPr>
            <w:tcW w:w="4508" w:type="dxa"/>
            <w:tcBorders>
              <w:top w:val="nil"/>
            </w:tcBorders>
          </w:tcPr>
          <w:p w14:paraId="1B729BE8" w14:textId="4AB068AC" w:rsidR="00960861" w:rsidRPr="00683FF0" w:rsidRDefault="00DF16AA" w:rsidP="0082007A">
            <w:pPr>
              <w:pStyle w:val="TableText"/>
              <w:rPr>
                <w:rFonts w:eastAsia="Times New Roman"/>
              </w:rPr>
            </w:pPr>
            <w:r w:rsidRPr="00683FF0">
              <w:rPr>
                <w:b/>
                <w:bCs/>
              </w:rPr>
              <w:t xml:space="preserve">17.1. </w:t>
            </w:r>
            <w:r w:rsidR="00834D66" w:rsidRPr="00683FF0">
              <w:rPr>
                <w:b/>
                <w:bCs/>
              </w:rPr>
              <w:t xml:space="preserve">The Government agrees in principle </w:t>
            </w:r>
            <w:r w:rsidR="00104165" w:rsidRPr="00683FF0">
              <w:rPr>
                <w:b/>
                <w:bCs/>
              </w:rPr>
              <w:t xml:space="preserve">with </w:t>
            </w:r>
            <w:r w:rsidR="00834D66" w:rsidRPr="00683FF0">
              <w:rPr>
                <w:b/>
                <w:bCs/>
              </w:rPr>
              <w:t xml:space="preserve">this provisional </w:t>
            </w:r>
            <w:r w:rsidRPr="00683FF0">
              <w:rPr>
                <w:b/>
                <w:bCs/>
              </w:rPr>
              <w:t xml:space="preserve">progress </w:t>
            </w:r>
            <w:r w:rsidR="00834D66" w:rsidRPr="00683FF0">
              <w:rPr>
                <w:b/>
                <w:bCs/>
              </w:rPr>
              <w:t>indicator.</w:t>
            </w:r>
            <w:r w:rsidR="00A73991" w:rsidRPr="00683FF0">
              <w:rPr>
                <w:b/>
                <w:bCs/>
              </w:rPr>
              <w:t xml:space="preserve"> </w:t>
            </w:r>
            <w:r w:rsidR="00960861" w:rsidRPr="00683FF0">
              <w:rPr>
                <w:rFonts w:eastAsia="Times New Roman"/>
              </w:rPr>
              <w:t xml:space="preserve">The </w:t>
            </w:r>
            <w:r w:rsidR="00FD74DA" w:rsidRPr="00683FF0">
              <w:t>emissions reduction plan</w:t>
            </w:r>
            <w:r w:rsidR="00960861" w:rsidRPr="00683FF0">
              <w:rPr>
                <w:rFonts w:eastAsia="Times New Roman"/>
              </w:rPr>
              <w:t xml:space="preserve"> sets targets for transport. The Ministry of Transport is working on a plan for delivering the transport actions in the </w:t>
            </w:r>
            <w:r w:rsidR="00FD74DA" w:rsidRPr="00683FF0">
              <w:t>emissions reduction plan</w:t>
            </w:r>
            <w:r w:rsidR="00960861" w:rsidRPr="00683FF0">
              <w:rPr>
                <w:rFonts w:eastAsia="Times New Roman"/>
              </w:rPr>
              <w:t xml:space="preserve">. This should be completed in 2022. </w:t>
            </w:r>
          </w:p>
        </w:tc>
      </w:tr>
      <w:tr w:rsidR="004C02DA" w:rsidRPr="00683FF0" w14:paraId="50FDF7EF" w14:textId="77777777" w:rsidTr="0082007A">
        <w:tc>
          <w:tcPr>
            <w:tcW w:w="4508" w:type="dxa"/>
          </w:tcPr>
          <w:p w14:paraId="56124B6C" w14:textId="28307144" w:rsidR="004C02DA" w:rsidRPr="00683FF0" w:rsidRDefault="00DF16AA" w:rsidP="0082007A">
            <w:pPr>
              <w:pStyle w:val="TableText"/>
            </w:pPr>
            <w:r w:rsidRPr="00683FF0">
              <w:t>17.</w:t>
            </w:r>
            <w:r w:rsidR="00A73991" w:rsidRPr="00683FF0">
              <w:t xml:space="preserve">2. </w:t>
            </w:r>
            <w:r w:rsidR="009972CB" w:rsidRPr="00683FF0">
              <w:t>Government to have, by 31 December 2022, identified and implemented the regulatory settings needed to enable local authorities to deliver a low-emissions transport system at pace.</w:t>
            </w:r>
          </w:p>
        </w:tc>
        <w:tc>
          <w:tcPr>
            <w:tcW w:w="4508" w:type="dxa"/>
          </w:tcPr>
          <w:p w14:paraId="16E45783" w14:textId="46531066" w:rsidR="00960861" w:rsidRPr="00683FF0" w:rsidRDefault="00DF16AA" w:rsidP="0082007A">
            <w:pPr>
              <w:pStyle w:val="TableText"/>
            </w:pPr>
            <w:r w:rsidRPr="00683FF0">
              <w:rPr>
                <w:b/>
                <w:bCs/>
              </w:rPr>
              <w:t xml:space="preserve">17.2. </w:t>
            </w:r>
            <w:r w:rsidR="00834D66" w:rsidRPr="00683FF0">
              <w:rPr>
                <w:b/>
                <w:bCs/>
              </w:rPr>
              <w:t xml:space="preserve">The Government agrees in part </w:t>
            </w:r>
            <w:r w:rsidR="00104165" w:rsidRPr="00683FF0">
              <w:rPr>
                <w:b/>
                <w:bCs/>
              </w:rPr>
              <w:t xml:space="preserve">with </w:t>
            </w:r>
            <w:r w:rsidR="00834D66" w:rsidRPr="00683FF0">
              <w:rPr>
                <w:b/>
                <w:bCs/>
              </w:rPr>
              <w:t xml:space="preserve">this provisional </w:t>
            </w:r>
            <w:r w:rsidRPr="00683FF0">
              <w:rPr>
                <w:b/>
                <w:bCs/>
              </w:rPr>
              <w:t xml:space="preserve">progress </w:t>
            </w:r>
            <w:r w:rsidR="00834D66" w:rsidRPr="00683FF0">
              <w:rPr>
                <w:b/>
                <w:bCs/>
              </w:rPr>
              <w:t>indicator.</w:t>
            </w:r>
            <w:r w:rsidR="00A73991" w:rsidRPr="00683FF0">
              <w:rPr>
                <w:b/>
                <w:bCs/>
              </w:rPr>
              <w:t xml:space="preserve"> </w:t>
            </w:r>
            <w:r w:rsidR="00960861" w:rsidRPr="00683FF0">
              <w:t xml:space="preserve">The </w:t>
            </w:r>
            <w:r w:rsidR="00FD74DA" w:rsidRPr="00683FF0">
              <w:t>emissions reduction plan</w:t>
            </w:r>
            <w:r w:rsidR="00960861" w:rsidRPr="00683FF0">
              <w:t xml:space="preserve"> commits to considering enabling congestion charging, as well as determining the most effective combination of additional pricing tools to reduce emissions from land transport, including parking pricing, VKT pricing and low</w:t>
            </w:r>
            <w:r w:rsidR="007F2F1E" w:rsidRPr="00683FF0">
              <w:t>-</w:t>
            </w:r>
            <w:r w:rsidR="00960861" w:rsidRPr="00683FF0">
              <w:t>emissions zones. It also commits to considering changes to legislative settings to enable their use and investigate the equity impact of different tools (</w:t>
            </w:r>
            <w:r w:rsidR="0012460D" w:rsidRPr="00683FF0">
              <w:t>c</w:t>
            </w:r>
            <w:r w:rsidR="00960861" w:rsidRPr="00683FF0">
              <w:t>hapter</w:t>
            </w:r>
            <w:r w:rsidR="656914AE" w:rsidRPr="00683FF0">
              <w:t xml:space="preserve"> 10</w:t>
            </w:r>
            <w:r w:rsidR="0012460D" w:rsidRPr="00683FF0">
              <w:t>:</w:t>
            </w:r>
            <w:r w:rsidR="00960861" w:rsidRPr="00683FF0">
              <w:t xml:space="preserve"> Transport</w:t>
            </w:r>
            <w:r w:rsidR="0012460D" w:rsidRPr="00683FF0">
              <w:t>,</w:t>
            </w:r>
            <w:r w:rsidR="00960861" w:rsidRPr="00683FF0">
              <w:t xml:space="preserve"> </w:t>
            </w:r>
            <w:r w:rsidR="0012460D" w:rsidRPr="00683FF0">
              <w:t>a</w:t>
            </w:r>
            <w:r w:rsidR="00960861" w:rsidRPr="00683FF0">
              <w:t xml:space="preserve">ction </w:t>
            </w:r>
            <w:r w:rsidR="00FA4F93" w:rsidRPr="00683FF0">
              <w:t>10.</w:t>
            </w:r>
            <w:r w:rsidR="00960861" w:rsidRPr="00683FF0">
              <w:t>1.2).</w:t>
            </w:r>
          </w:p>
        </w:tc>
      </w:tr>
      <w:tr w:rsidR="004C02DA" w:rsidRPr="00683FF0" w14:paraId="53001939" w14:textId="77777777" w:rsidTr="0082007A">
        <w:tc>
          <w:tcPr>
            <w:tcW w:w="4508" w:type="dxa"/>
          </w:tcPr>
          <w:p w14:paraId="3A1D6045" w14:textId="6F5008BD" w:rsidR="004C02DA" w:rsidRPr="00683FF0" w:rsidRDefault="00DF16AA" w:rsidP="0082007A">
            <w:pPr>
              <w:pStyle w:val="TableText"/>
            </w:pPr>
            <w:r w:rsidRPr="00683FF0">
              <w:t>17.</w:t>
            </w:r>
            <w:r w:rsidR="00A73991" w:rsidRPr="00683FF0">
              <w:t xml:space="preserve">3. </w:t>
            </w:r>
            <w:r w:rsidR="009972CB" w:rsidRPr="00683FF0">
              <w:t>Government to report on indicators annually from 31 December 2022. This could include mode share by distance travelled for walking, cycling and private car use, public transport, and would need to be measured regionally and aggregated nationally.</w:t>
            </w:r>
          </w:p>
        </w:tc>
        <w:tc>
          <w:tcPr>
            <w:tcW w:w="4508" w:type="dxa"/>
          </w:tcPr>
          <w:p w14:paraId="140305BE" w14:textId="59FFB32E" w:rsidR="00960861" w:rsidRPr="00683FF0" w:rsidRDefault="00DF16AA" w:rsidP="0082007A">
            <w:pPr>
              <w:pStyle w:val="TableText"/>
            </w:pPr>
            <w:r w:rsidRPr="00683FF0">
              <w:rPr>
                <w:b/>
                <w:bCs/>
              </w:rPr>
              <w:t xml:space="preserve">17.3. </w:t>
            </w:r>
            <w:r w:rsidR="00834D66" w:rsidRPr="00683FF0">
              <w:rPr>
                <w:b/>
                <w:bCs/>
              </w:rPr>
              <w:t xml:space="preserve">The Government agrees in principle </w:t>
            </w:r>
            <w:r w:rsidR="00104165" w:rsidRPr="00683FF0">
              <w:rPr>
                <w:b/>
                <w:bCs/>
              </w:rPr>
              <w:t xml:space="preserve">with </w:t>
            </w:r>
            <w:r w:rsidR="00834D66" w:rsidRPr="00683FF0">
              <w:rPr>
                <w:b/>
                <w:bCs/>
              </w:rPr>
              <w:t xml:space="preserve">this provisional </w:t>
            </w:r>
            <w:r w:rsidRPr="00683FF0">
              <w:rPr>
                <w:b/>
                <w:bCs/>
              </w:rPr>
              <w:t xml:space="preserve">progress </w:t>
            </w:r>
            <w:r w:rsidR="00834D66" w:rsidRPr="00683FF0">
              <w:rPr>
                <w:b/>
                <w:bCs/>
              </w:rPr>
              <w:t>indicator.</w:t>
            </w:r>
            <w:r w:rsidR="00A73991" w:rsidRPr="00683FF0">
              <w:rPr>
                <w:b/>
                <w:bCs/>
              </w:rPr>
              <w:t xml:space="preserve"> </w:t>
            </w:r>
            <w:r w:rsidR="00A73991" w:rsidRPr="00683FF0">
              <w:t>The Ministry of Transport</w:t>
            </w:r>
            <w:r w:rsidR="00960861" w:rsidRPr="00683FF0">
              <w:t xml:space="preserve"> already reports on a range of indicators. As part of delivering the </w:t>
            </w:r>
            <w:r w:rsidR="00FD74DA" w:rsidRPr="00683FF0">
              <w:t>emissions reduction plan</w:t>
            </w:r>
            <w:r w:rsidR="00960861" w:rsidRPr="00683FF0">
              <w:t>, further work will be undertaken on what further reporting is required.</w:t>
            </w:r>
          </w:p>
        </w:tc>
      </w:tr>
      <w:tr w:rsidR="00A73991" w:rsidRPr="00683FF0" w14:paraId="76BB04F2" w14:textId="77777777" w:rsidTr="0082007A">
        <w:tc>
          <w:tcPr>
            <w:tcW w:w="4508" w:type="dxa"/>
            <w:tcBorders>
              <w:bottom w:val="nil"/>
            </w:tcBorders>
          </w:tcPr>
          <w:p w14:paraId="318E374B" w14:textId="77777777" w:rsidR="00A73991" w:rsidRPr="00683FF0" w:rsidRDefault="00A73991" w:rsidP="00A73991">
            <w:pPr>
              <w:pStyle w:val="ListParagraph"/>
              <w:spacing w:before="40" w:after="40"/>
              <w:ind w:left="360"/>
              <w:rPr>
                <w:sz w:val="18"/>
                <w:szCs w:val="18"/>
              </w:rPr>
            </w:pPr>
          </w:p>
        </w:tc>
        <w:tc>
          <w:tcPr>
            <w:tcW w:w="4508" w:type="dxa"/>
            <w:tcBorders>
              <w:bottom w:val="nil"/>
            </w:tcBorders>
          </w:tcPr>
          <w:p w14:paraId="75072607" w14:textId="77777777" w:rsidR="00A73991" w:rsidRPr="00683FF0" w:rsidRDefault="00A73991" w:rsidP="0082007A">
            <w:pPr>
              <w:pStyle w:val="TableText"/>
              <w:rPr>
                <w:b/>
                <w:bCs/>
              </w:rPr>
            </w:pPr>
            <w:r w:rsidRPr="00683FF0">
              <w:rPr>
                <w:b/>
                <w:bCs/>
              </w:rPr>
              <w:t xml:space="preserve">Responsible agency: </w:t>
            </w:r>
            <w:r w:rsidRPr="00683FF0">
              <w:t xml:space="preserve">Ministry of Transport </w:t>
            </w:r>
          </w:p>
          <w:p w14:paraId="2E4AD37B" w14:textId="77777777" w:rsidR="00A73991" w:rsidRPr="00683FF0" w:rsidRDefault="00A73991" w:rsidP="009D2D22">
            <w:pPr>
              <w:pStyle w:val="TableText"/>
              <w:spacing w:before="0"/>
              <w:rPr>
                <w:b/>
                <w:bCs/>
              </w:rPr>
            </w:pPr>
            <w:r w:rsidRPr="00683FF0">
              <w:rPr>
                <w:b/>
                <w:bCs/>
              </w:rPr>
              <w:t xml:space="preserve">Responsible Minister: </w:t>
            </w:r>
            <w:r w:rsidRPr="00683FF0">
              <w:t xml:space="preserve">Minister of Transport </w:t>
            </w:r>
          </w:p>
          <w:p w14:paraId="37EC13A9" w14:textId="4189D86F" w:rsidR="00A73991" w:rsidRPr="00683FF0" w:rsidRDefault="00A73991" w:rsidP="009D2D22">
            <w:pPr>
              <w:pStyle w:val="TableText"/>
              <w:spacing w:before="0"/>
              <w:rPr>
                <w:b/>
                <w:bCs/>
              </w:rPr>
            </w:pPr>
            <w:r w:rsidRPr="00683FF0">
              <w:rPr>
                <w:b/>
                <w:bCs/>
              </w:rPr>
              <w:t xml:space="preserve">Timeline: </w:t>
            </w:r>
            <w:r w:rsidRPr="00683FF0">
              <w:t>2022</w:t>
            </w:r>
            <w:r w:rsidR="0012460D" w:rsidRPr="00683FF0">
              <w:t>–</w:t>
            </w:r>
            <w:r w:rsidRPr="00683FF0">
              <w:t xml:space="preserve">25 (EB1) and </w:t>
            </w:r>
            <w:r w:rsidRPr="00683FF0" w:rsidDel="00140561">
              <w:t>ongoing</w:t>
            </w:r>
          </w:p>
        </w:tc>
      </w:tr>
      <w:tr w:rsidR="004C02DA" w:rsidRPr="00683FF0" w14:paraId="5FBAFB31" w14:textId="77777777" w:rsidTr="0082007A">
        <w:tc>
          <w:tcPr>
            <w:tcW w:w="4508" w:type="dxa"/>
            <w:tcBorders>
              <w:top w:val="nil"/>
              <w:bottom w:val="nil"/>
            </w:tcBorders>
            <w:shd w:val="clear" w:color="auto" w:fill="D2DDE1" w:themeFill="background2"/>
          </w:tcPr>
          <w:p w14:paraId="66C80ABA" w14:textId="0AB8CC82" w:rsidR="004C02DA" w:rsidRPr="00683FF0" w:rsidRDefault="004C02DA" w:rsidP="0082007A">
            <w:pPr>
              <w:pStyle w:val="TableTextbold"/>
            </w:pPr>
            <w:r w:rsidRPr="00683FF0">
              <w:t xml:space="preserve">Recommendation 18 – Provisional </w:t>
            </w:r>
            <w:r w:rsidR="00DF16AA" w:rsidRPr="00683FF0">
              <w:t xml:space="preserve">progress </w:t>
            </w:r>
            <w:r w:rsidRPr="00683FF0">
              <w:t xml:space="preserve">indicators </w:t>
            </w:r>
          </w:p>
        </w:tc>
        <w:tc>
          <w:tcPr>
            <w:tcW w:w="4508" w:type="dxa"/>
            <w:tcBorders>
              <w:top w:val="nil"/>
              <w:bottom w:val="nil"/>
            </w:tcBorders>
            <w:shd w:val="clear" w:color="auto" w:fill="D2DDE1" w:themeFill="background2"/>
          </w:tcPr>
          <w:p w14:paraId="23506EE5" w14:textId="77777777" w:rsidR="004C02DA" w:rsidRPr="00683FF0" w:rsidRDefault="004C02DA" w:rsidP="0082007A">
            <w:pPr>
              <w:pStyle w:val="TableTextbold"/>
            </w:pPr>
          </w:p>
        </w:tc>
      </w:tr>
      <w:tr w:rsidR="004C02DA" w:rsidRPr="00683FF0" w14:paraId="7EB0EA5B" w14:textId="77777777" w:rsidTr="0082007A">
        <w:tc>
          <w:tcPr>
            <w:tcW w:w="4508" w:type="dxa"/>
            <w:tcBorders>
              <w:top w:val="nil"/>
            </w:tcBorders>
          </w:tcPr>
          <w:p w14:paraId="234362E4" w14:textId="34A2C3F7" w:rsidR="004C02DA" w:rsidRPr="00683FF0" w:rsidRDefault="00DF16AA" w:rsidP="0082007A">
            <w:pPr>
              <w:pStyle w:val="TableText"/>
            </w:pPr>
            <w:r w:rsidRPr="00683FF0">
              <w:t>18.</w:t>
            </w:r>
            <w:r w:rsidR="00A73991" w:rsidRPr="00683FF0">
              <w:t xml:space="preserve">1. </w:t>
            </w:r>
            <w:r w:rsidR="009972CB" w:rsidRPr="00683FF0">
              <w:t>Government to have, by 30 June 2022, implemented policy options to accelerate EV uptake.</w:t>
            </w:r>
          </w:p>
        </w:tc>
        <w:tc>
          <w:tcPr>
            <w:tcW w:w="4508" w:type="dxa"/>
            <w:tcBorders>
              <w:top w:val="nil"/>
            </w:tcBorders>
          </w:tcPr>
          <w:p w14:paraId="6B35815E" w14:textId="253E5736" w:rsidR="007D0403" w:rsidRPr="00683FF0" w:rsidRDefault="00DF16AA" w:rsidP="0082007A">
            <w:pPr>
              <w:pStyle w:val="TableText"/>
            </w:pPr>
            <w:r w:rsidRPr="00683FF0">
              <w:rPr>
                <w:b/>
                <w:bCs/>
              </w:rPr>
              <w:t xml:space="preserve">18.1. </w:t>
            </w:r>
            <w:r w:rsidR="00834D66" w:rsidRPr="00683FF0">
              <w:rPr>
                <w:b/>
                <w:bCs/>
              </w:rPr>
              <w:t xml:space="preserve">The Government agrees with this provisional </w:t>
            </w:r>
            <w:r w:rsidRPr="00683FF0">
              <w:rPr>
                <w:b/>
                <w:bCs/>
              </w:rPr>
              <w:t xml:space="preserve">progress </w:t>
            </w:r>
            <w:r w:rsidR="00834D66" w:rsidRPr="00683FF0">
              <w:rPr>
                <w:b/>
                <w:bCs/>
              </w:rPr>
              <w:t xml:space="preserve">indicator. </w:t>
            </w:r>
            <w:r w:rsidR="007D0403" w:rsidRPr="00683FF0">
              <w:t>The Government has introduced the Clean Vehicle Discount (</w:t>
            </w:r>
            <w:r w:rsidR="00092877" w:rsidRPr="00683FF0">
              <w:t>c</w:t>
            </w:r>
            <w:r w:rsidR="007D0403" w:rsidRPr="00683FF0">
              <w:t>hapter</w:t>
            </w:r>
            <w:r w:rsidR="7C97B903" w:rsidRPr="00683FF0">
              <w:t xml:space="preserve"> 10</w:t>
            </w:r>
            <w:r w:rsidR="00092877" w:rsidRPr="00683FF0">
              <w:t>:</w:t>
            </w:r>
            <w:r w:rsidR="007D0403" w:rsidRPr="00683FF0">
              <w:t xml:space="preserve"> Transport</w:t>
            </w:r>
            <w:r w:rsidR="00092877" w:rsidRPr="00683FF0">
              <w:t>,</w:t>
            </w:r>
            <w:r w:rsidR="007D0403" w:rsidRPr="00683FF0">
              <w:t xml:space="preserve"> </w:t>
            </w:r>
            <w:r w:rsidR="00092877" w:rsidRPr="00683FF0">
              <w:t>a</w:t>
            </w:r>
            <w:r w:rsidR="007D0403" w:rsidRPr="00683FF0">
              <w:t xml:space="preserve">ction </w:t>
            </w:r>
            <w:r w:rsidR="00FA4F93" w:rsidRPr="00683FF0">
              <w:t>10.</w:t>
            </w:r>
            <w:r w:rsidR="007D0403" w:rsidRPr="00683FF0">
              <w:t>2.1).</w:t>
            </w:r>
          </w:p>
        </w:tc>
      </w:tr>
      <w:tr w:rsidR="009972CB" w:rsidRPr="00683FF0" w14:paraId="1D49054C" w14:textId="77777777" w:rsidTr="0082007A">
        <w:tc>
          <w:tcPr>
            <w:tcW w:w="4508" w:type="dxa"/>
          </w:tcPr>
          <w:p w14:paraId="2EDE0968" w14:textId="28F65679" w:rsidR="009972CB" w:rsidRPr="00683FF0" w:rsidRDefault="00DF16AA" w:rsidP="009D2D22">
            <w:pPr>
              <w:pStyle w:val="TableText"/>
              <w:keepNext/>
            </w:pPr>
            <w:r w:rsidRPr="00683FF0">
              <w:lastRenderedPageBreak/>
              <w:t>18.</w:t>
            </w:r>
            <w:r w:rsidR="00A73991" w:rsidRPr="00683FF0">
              <w:t xml:space="preserve">2. </w:t>
            </w:r>
            <w:r w:rsidR="009972CB" w:rsidRPr="00683FF0">
              <w:t>Government to report at least annually, from 31</w:t>
            </w:r>
            <w:r w:rsidR="009D2D22" w:rsidRPr="00683FF0">
              <w:t> </w:t>
            </w:r>
            <w:r w:rsidR="009972CB" w:rsidRPr="00683FF0">
              <w:t>December 2022, on the emissions intensity of the whole light vehicle fleet, and the average emissions intensity of imported light vehicles. Imported light vehicles to average, by 31 December 2028, a maximum of 105 grams CO</w:t>
            </w:r>
            <w:r w:rsidR="009972CB" w:rsidRPr="00683FF0">
              <w:rPr>
                <w:vertAlign w:val="subscript"/>
              </w:rPr>
              <w:t>2</w:t>
            </w:r>
            <w:r w:rsidR="009972CB" w:rsidRPr="00683FF0">
              <w:t xml:space="preserve"> per kilometre.</w:t>
            </w:r>
          </w:p>
        </w:tc>
        <w:tc>
          <w:tcPr>
            <w:tcW w:w="4508" w:type="dxa"/>
          </w:tcPr>
          <w:p w14:paraId="171BB705" w14:textId="433F7433" w:rsidR="007D0403" w:rsidRPr="00683FF0" w:rsidRDefault="00DF16AA" w:rsidP="0082007A">
            <w:pPr>
              <w:pStyle w:val="TableText"/>
            </w:pPr>
            <w:r w:rsidRPr="00683FF0">
              <w:rPr>
                <w:b/>
                <w:bCs/>
              </w:rPr>
              <w:t xml:space="preserve">18.2. </w:t>
            </w:r>
            <w:r w:rsidR="00834D66" w:rsidRPr="00683FF0">
              <w:rPr>
                <w:b/>
                <w:bCs/>
              </w:rPr>
              <w:t xml:space="preserve">The Government agrees with this provisional </w:t>
            </w:r>
            <w:r w:rsidRPr="00683FF0">
              <w:rPr>
                <w:b/>
                <w:bCs/>
              </w:rPr>
              <w:t xml:space="preserve">progress </w:t>
            </w:r>
            <w:r w:rsidR="00834D66" w:rsidRPr="00683FF0">
              <w:rPr>
                <w:b/>
                <w:bCs/>
              </w:rPr>
              <w:t>indicator.</w:t>
            </w:r>
            <w:r w:rsidR="00231C3B" w:rsidRPr="00683FF0">
              <w:t xml:space="preserve"> </w:t>
            </w:r>
            <w:r w:rsidR="00A73991" w:rsidRPr="00683FF0">
              <w:t>The Ministry of Transport</w:t>
            </w:r>
            <w:r w:rsidR="007D0403" w:rsidRPr="00683FF0">
              <w:t xml:space="preserve"> collects some of th</w:t>
            </w:r>
            <w:r w:rsidR="00231C3B" w:rsidRPr="00683FF0">
              <w:t>ese</w:t>
            </w:r>
            <w:r w:rsidR="007D0403" w:rsidRPr="00683FF0">
              <w:t xml:space="preserve"> data already</w:t>
            </w:r>
            <w:r w:rsidR="00A73991" w:rsidRPr="00683FF0">
              <w:t xml:space="preserve"> and will check</w:t>
            </w:r>
            <w:r w:rsidR="007D0403" w:rsidRPr="00683FF0">
              <w:t xml:space="preserve"> if gaps exist and how those might be monitored.</w:t>
            </w:r>
          </w:p>
        </w:tc>
      </w:tr>
      <w:tr w:rsidR="004C02DA" w:rsidRPr="00683FF0" w14:paraId="3B71FDCA" w14:textId="77777777" w:rsidTr="0082007A">
        <w:tc>
          <w:tcPr>
            <w:tcW w:w="4508" w:type="dxa"/>
          </w:tcPr>
          <w:p w14:paraId="641BA4F6" w14:textId="3BE33537" w:rsidR="004C02DA" w:rsidRPr="00683FF0" w:rsidRDefault="00DF16AA" w:rsidP="0082007A">
            <w:pPr>
              <w:pStyle w:val="TableText"/>
            </w:pPr>
            <w:r w:rsidRPr="00683FF0">
              <w:t>18.</w:t>
            </w:r>
            <w:r w:rsidR="00A73991" w:rsidRPr="00683FF0">
              <w:t xml:space="preserve">3. </w:t>
            </w:r>
            <w:r w:rsidR="009972CB" w:rsidRPr="00683FF0">
              <w:t>Government to report on additional indicators at least annually, from 31 December 2022, including the number of EVs being registered in Aotearoa, the percentage of EVs in the fleet, average forecourt cost of an EV by make/model.</w:t>
            </w:r>
          </w:p>
        </w:tc>
        <w:tc>
          <w:tcPr>
            <w:tcW w:w="4508" w:type="dxa"/>
          </w:tcPr>
          <w:p w14:paraId="13944D9B" w14:textId="149A52F3" w:rsidR="007D0403" w:rsidRPr="00683FF0" w:rsidRDefault="00DF16AA" w:rsidP="0082007A">
            <w:pPr>
              <w:pStyle w:val="TableText"/>
              <w:rPr>
                <w:b/>
                <w:bCs/>
              </w:rPr>
            </w:pPr>
            <w:r w:rsidRPr="00683FF0">
              <w:rPr>
                <w:b/>
                <w:bCs/>
              </w:rPr>
              <w:t xml:space="preserve">18.3. </w:t>
            </w:r>
            <w:r w:rsidR="00834D66" w:rsidRPr="00683FF0">
              <w:rPr>
                <w:b/>
                <w:bCs/>
              </w:rPr>
              <w:t xml:space="preserve">The Government agrees with this provisional </w:t>
            </w:r>
            <w:r w:rsidRPr="00683FF0">
              <w:rPr>
                <w:b/>
                <w:bCs/>
              </w:rPr>
              <w:t xml:space="preserve">progress </w:t>
            </w:r>
            <w:r w:rsidR="00834D66" w:rsidRPr="00683FF0">
              <w:rPr>
                <w:b/>
                <w:bCs/>
              </w:rPr>
              <w:t>indicator.</w:t>
            </w:r>
            <w:r w:rsidR="00231C3B" w:rsidRPr="00683FF0">
              <w:t xml:space="preserve"> </w:t>
            </w:r>
            <w:r w:rsidR="00A73991" w:rsidRPr="00683FF0">
              <w:t>The Ministry of Transport</w:t>
            </w:r>
            <w:r w:rsidR="007D0403" w:rsidRPr="00683FF0">
              <w:t xml:space="preserve"> already collects data on electric vehicles registered in the fleet. Work is being done to expand data fields to include</w:t>
            </w:r>
            <w:r w:rsidR="005704BD" w:rsidRPr="00683FF0">
              <w:t xml:space="preserve"> the</w:t>
            </w:r>
            <w:r w:rsidR="007D0403" w:rsidRPr="00683FF0">
              <w:t xml:space="preserve"> cost of the registered vehicles and CO</w:t>
            </w:r>
            <w:r w:rsidR="007D0403" w:rsidRPr="00683FF0">
              <w:rPr>
                <w:vertAlign w:val="subscript"/>
              </w:rPr>
              <w:t>2</w:t>
            </w:r>
            <w:r w:rsidR="007D0403" w:rsidRPr="00683FF0">
              <w:t xml:space="preserve"> details.</w:t>
            </w:r>
          </w:p>
        </w:tc>
      </w:tr>
      <w:tr w:rsidR="00A73991" w:rsidRPr="00683FF0" w14:paraId="40B6E993" w14:textId="77777777" w:rsidTr="0082007A">
        <w:tc>
          <w:tcPr>
            <w:tcW w:w="4508" w:type="dxa"/>
            <w:tcBorders>
              <w:bottom w:val="nil"/>
            </w:tcBorders>
          </w:tcPr>
          <w:p w14:paraId="1C212D92" w14:textId="77777777" w:rsidR="00A73991" w:rsidRPr="00683FF0" w:rsidRDefault="00A73991" w:rsidP="00A73991">
            <w:pPr>
              <w:pStyle w:val="ListParagraph"/>
              <w:ind w:left="360"/>
              <w:rPr>
                <w:sz w:val="18"/>
                <w:szCs w:val="18"/>
              </w:rPr>
            </w:pPr>
          </w:p>
        </w:tc>
        <w:tc>
          <w:tcPr>
            <w:tcW w:w="4508" w:type="dxa"/>
            <w:tcBorders>
              <w:bottom w:val="nil"/>
            </w:tcBorders>
          </w:tcPr>
          <w:p w14:paraId="5C541A77" w14:textId="77777777" w:rsidR="00A73991" w:rsidRPr="00683FF0" w:rsidRDefault="00A73991" w:rsidP="0082007A">
            <w:pPr>
              <w:pStyle w:val="TableText"/>
            </w:pPr>
            <w:r w:rsidRPr="00683FF0">
              <w:rPr>
                <w:b/>
                <w:bCs/>
              </w:rPr>
              <w:t xml:space="preserve">Responsible agency: </w:t>
            </w:r>
            <w:r w:rsidRPr="00683FF0">
              <w:t xml:space="preserve">Ministry of Transport </w:t>
            </w:r>
          </w:p>
          <w:p w14:paraId="21883813" w14:textId="77777777" w:rsidR="00A73991" w:rsidRPr="00683FF0" w:rsidRDefault="00A73991" w:rsidP="009D2D22">
            <w:pPr>
              <w:pStyle w:val="TableText"/>
              <w:spacing w:before="0"/>
            </w:pPr>
            <w:r w:rsidRPr="00683FF0">
              <w:rPr>
                <w:b/>
                <w:bCs/>
              </w:rPr>
              <w:t>Responsible Minister:</w:t>
            </w:r>
            <w:r w:rsidRPr="00683FF0">
              <w:t xml:space="preserve"> Minister of Transport </w:t>
            </w:r>
          </w:p>
          <w:p w14:paraId="3FDDF2C3" w14:textId="7F6CF1DD" w:rsidR="00A73991" w:rsidRPr="00683FF0" w:rsidRDefault="00A73991" w:rsidP="009D2D22">
            <w:pPr>
              <w:pStyle w:val="TableText"/>
              <w:spacing w:before="0"/>
            </w:pPr>
            <w:r w:rsidRPr="00683FF0">
              <w:rPr>
                <w:b/>
                <w:bCs/>
              </w:rPr>
              <w:t xml:space="preserve">Timeline: </w:t>
            </w:r>
            <w:r w:rsidRPr="00683FF0">
              <w:t>2022</w:t>
            </w:r>
            <w:r w:rsidR="005704BD" w:rsidRPr="00683FF0">
              <w:t>–</w:t>
            </w:r>
            <w:r w:rsidRPr="00683FF0">
              <w:t xml:space="preserve">25 (EB1) and </w:t>
            </w:r>
            <w:r w:rsidRPr="00683FF0" w:rsidDel="00140561">
              <w:t>ongoing</w:t>
            </w:r>
          </w:p>
        </w:tc>
      </w:tr>
      <w:tr w:rsidR="004C02DA" w:rsidRPr="00683FF0" w14:paraId="13E2F3C7" w14:textId="77777777" w:rsidTr="0082007A">
        <w:tc>
          <w:tcPr>
            <w:tcW w:w="4508" w:type="dxa"/>
            <w:tcBorders>
              <w:top w:val="nil"/>
              <w:bottom w:val="nil"/>
            </w:tcBorders>
            <w:shd w:val="clear" w:color="auto" w:fill="D2DDE1" w:themeFill="background2"/>
          </w:tcPr>
          <w:p w14:paraId="1F21F6FE" w14:textId="4CC05B41" w:rsidR="004C02DA" w:rsidRPr="00683FF0" w:rsidRDefault="004C02DA" w:rsidP="0082007A">
            <w:pPr>
              <w:pStyle w:val="TableTextbold"/>
            </w:pPr>
            <w:r w:rsidRPr="00683FF0">
              <w:t>Recommendation 1</w:t>
            </w:r>
            <w:r w:rsidR="009972CB" w:rsidRPr="00683FF0">
              <w:t>9</w:t>
            </w:r>
            <w:r w:rsidRPr="00683FF0">
              <w:t xml:space="preserve"> – Provisional </w:t>
            </w:r>
            <w:r w:rsidR="00DF16AA" w:rsidRPr="00683FF0">
              <w:t xml:space="preserve">progress </w:t>
            </w:r>
            <w:r w:rsidRPr="00683FF0">
              <w:t xml:space="preserve">indicators </w:t>
            </w:r>
          </w:p>
        </w:tc>
        <w:tc>
          <w:tcPr>
            <w:tcW w:w="4508" w:type="dxa"/>
            <w:tcBorders>
              <w:top w:val="nil"/>
              <w:bottom w:val="nil"/>
            </w:tcBorders>
            <w:shd w:val="clear" w:color="auto" w:fill="D2DDE1" w:themeFill="background2"/>
          </w:tcPr>
          <w:p w14:paraId="750D221F" w14:textId="77777777" w:rsidR="004C02DA" w:rsidRPr="00683FF0" w:rsidRDefault="004C02DA" w:rsidP="0082007A">
            <w:pPr>
              <w:pStyle w:val="TableTextbold"/>
            </w:pPr>
          </w:p>
        </w:tc>
      </w:tr>
      <w:tr w:rsidR="004C02DA" w:rsidRPr="00683FF0" w14:paraId="1D55F730" w14:textId="77777777" w:rsidTr="0082007A">
        <w:tc>
          <w:tcPr>
            <w:tcW w:w="4508" w:type="dxa"/>
            <w:tcBorders>
              <w:top w:val="nil"/>
            </w:tcBorders>
          </w:tcPr>
          <w:p w14:paraId="456A0FBF" w14:textId="47964943" w:rsidR="004C02DA" w:rsidRPr="00683FF0" w:rsidRDefault="00DF16AA" w:rsidP="0082007A">
            <w:pPr>
              <w:pStyle w:val="TableText"/>
            </w:pPr>
            <w:r w:rsidRPr="00683FF0">
              <w:t>19.</w:t>
            </w:r>
            <w:r w:rsidR="00A73991" w:rsidRPr="00683FF0">
              <w:t xml:space="preserve">1. </w:t>
            </w:r>
            <w:r w:rsidR="009972CB" w:rsidRPr="00683FF0">
              <w:t>Government to have, by 30 June 2022, consulted on a national low-emissions freight strategy and on measures to support the development of low-carbon fuel markets.</w:t>
            </w:r>
          </w:p>
        </w:tc>
        <w:tc>
          <w:tcPr>
            <w:tcW w:w="4508" w:type="dxa"/>
            <w:tcBorders>
              <w:top w:val="nil"/>
            </w:tcBorders>
          </w:tcPr>
          <w:p w14:paraId="10EADE11" w14:textId="483811C5" w:rsidR="007D0403" w:rsidRPr="00683FF0" w:rsidRDefault="00DF16AA" w:rsidP="0082007A">
            <w:pPr>
              <w:pStyle w:val="TableText"/>
            </w:pPr>
            <w:r w:rsidRPr="00683FF0">
              <w:rPr>
                <w:b/>
                <w:bCs/>
              </w:rPr>
              <w:t xml:space="preserve">19.1. </w:t>
            </w:r>
            <w:r w:rsidR="00834D66" w:rsidRPr="00683FF0">
              <w:rPr>
                <w:b/>
                <w:bCs/>
              </w:rPr>
              <w:t>The Government agrees in part with this provisional</w:t>
            </w:r>
            <w:r w:rsidRPr="00683FF0">
              <w:rPr>
                <w:b/>
                <w:bCs/>
              </w:rPr>
              <w:t xml:space="preserve"> progress</w:t>
            </w:r>
            <w:r w:rsidR="00834D66" w:rsidRPr="00683FF0">
              <w:rPr>
                <w:b/>
                <w:bCs/>
              </w:rPr>
              <w:t xml:space="preserve"> indicator.</w:t>
            </w:r>
            <w:r w:rsidR="00A73991" w:rsidRPr="00683FF0">
              <w:rPr>
                <w:b/>
                <w:bCs/>
              </w:rPr>
              <w:t xml:space="preserve"> </w:t>
            </w:r>
            <w:r w:rsidR="00A73991" w:rsidRPr="00683FF0">
              <w:t>The Ministry of Transport</w:t>
            </w:r>
            <w:r w:rsidR="007D0403" w:rsidRPr="00683FF0">
              <w:t xml:space="preserve"> has already commenced work on this strategy and will be consulting in the first half of 2022 on an issues paper. The draft strategy will be consulted on in 2023 (</w:t>
            </w:r>
            <w:r w:rsidR="00F578BC" w:rsidRPr="00683FF0">
              <w:t>c</w:t>
            </w:r>
            <w:r w:rsidR="007D0403" w:rsidRPr="00683FF0">
              <w:t>hapter</w:t>
            </w:r>
            <w:r w:rsidR="7C97B903" w:rsidRPr="00683FF0">
              <w:t xml:space="preserve"> 10</w:t>
            </w:r>
            <w:r w:rsidR="00F578BC" w:rsidRPr="00683FF0">
              <w:t>:</w:t>
            </w:r>
            <w:r w:rsidR="007D0403" w:rsidRPr="00683FF0">
              <w:t xml:space="preserve"> Transport</w:t>
            </w:r>
            <w:r w:rsidR="00F578BC" w:rsidRPr="00683FF0">
              <w:t>,</w:t>
            </w:r>
            <w:r w:rsidR="007D0403" w:rsidRPr="00683FF0">
              <w:t xml:space="preserve"> </w:t>
            </w:r>
            <w:r w:rsidR="00F578BC" w:rsidRPr="00683FF0">
              <w:t>a</w:t>
            </w:r>
            <w:r w:rsidR="007D0403" w:rsidRPr="00683FF0">
              <w:t xml:space="preserve">ction </w:t>
            </w:r>
            <w:r w:rsidR="00FA4F93" w:rsidRPr="00683FF0">
              <w:t>10.</w:t>
            </w:r>
            <w:r w:rsidR="007D0403" w:rsidRPr="00683FF0">
              <w:t>3.1).</w:t>
            </w:r>
          </w:p>
        </w:tc>
      </w:tr>
      <w:tr w:rsidR="009972CB" w:rsidRPr="00683FF0" w14:paraId="2F9B4989" w14:textId="77777777" w:rsidTr="0082007A">
        <w:tc>
          <w:tcPr>
            <w:tcW w:w="4508" w:type="dxa"/>
          </w:tcPr>
          <w:p w14:paraId="0CE922BD" w14:textId="32286FDF" w:rsidR="009972CB" w:rsidRPr="00683FF0" w:rsidRDefault="00DF16AA" w:rsidP="0082007A">
            <w:pPr>
              <w:pStyle w:val="TableText"/>
            </w:pPr>
            <w:r w:rsidRPr="00683FF0">
              <w:t>19.</w:t>
            </w:r>
            <w:r w:rsidR="00A73991" w:rsidRPr="00683FF0">
              <w:t xml:space="preserve">2. </w:t>
            </w:r>
            <w:r w:rsidR="009972CB" w:rsidRPr="00683FF0">
              <w:t>Government to have, by 31 December 2022, introduced a national low-emissions freight strategy and made Cabinet decisions on preferred policy options to support the development of low-carbon fuel markets.</w:t>
            </w:r>
          </w:p>
        </w:tc>
        <w:tc>
          <w:tcPr>
            <w:tcW w:w="4508" w:type="dxa"/>
          </w:tcPr>
          <w:p w14:paraId="66E6641B" w14:textId="661778A9" w:rsidR="00D648FB" w:rsidRPr="00683FF0" w:rsidRDefault="00DF16AA" w:rsidP="0082007A">
            <w:pPr>
              <w:pStyle w:val="TableText"/>
            </w:pPr>
            <w:r w:rsidRPr="00683FF0">
              <w:rPr>
                <w:b/>
                <w:bCs/>
              </w:rPr>
              <w:t xml:space="preserve">19.2. </w:t>
            </w:r>
            <w:r w:rsidR="00834D66" w:rsidRPr="00683FF0">
              <w:rPr>
                <w:b/>
                <w:bCs/>
              </w:rPr>
              <w:t>The Government agrees in part with this provisional</w:t>
            </w:r>
            <w:r w:rsidRPr="00683FF0">
              <w:rPr>
                <w:b/>
                <w:bCs/>
              </w:rPr>
              <w:t xml:space="preserve"> progress</w:t>
            </w:r>
            <w:r w:rsidR="00834D66" w:rsidRPr="00683FF0">
              <w:rPr>
                <w:b/>
                <w:bCs/>
              </w:rPr>
              <w:t xml:space="preserve"> indicator.</w:t>
            </w:r>
            <w:r w:rsidR="00D1668C" w:rsidRPr="00683FF0">
              <w:rPr>
                <w:b/>
                <w:bCs/>
              </w:rPr>
              <w:t xml:space="preserve"> </w:t>
            </w:r>
            <w:r w:rsidR="00D1668C" w:rsidRPr="00683FF0">
              <w:t>The Ministry of Transport</w:t>
            </w:r>
            <w:r w:rsidR="007D0403" w:rsidRPr="00683FF0">
              <w:t xml:space="preserve"> is going to complete a national </w:t>
            </w:r>
            <w:r w:rsidR="008F2114" w:rsidRPr="00683FF0">
              <w:t>F</w:t>
            </w:r>
            <w:r w:rsidR="007D0403" w:rsidRPr="00683FF0">
              <w:t xml:space="preserve">reight and </w:t>
            </w:r>
            <w:r w:rsidR="008F2114" w:rsidRPr="00683FF0">
              <w:t>S</w:t>
            </w:r>
            <w:r w:rsidR="007D0403" w:rsidRPr="00683FF0">
              <w:t xml:space="preserve">upply </w:t>
            </w:r>
            <w:r w:rsidR="008F2114" w:rsidRPr="00683FF0">
              <w:t>C</w:t>
            </w:r>
            <w:r w:rsidR="007D0403" w:rsidRPr="00683FF0">
              <w:t>hain strategy in 2023, following public consultation (</w:t>
            </w:r>
            <w:r w:rsidR="008F2114" w:rsidRPr="00683FF0">
              <w:t>c</w:t>
            </w:r>
            <w:r w:rsidR="007D0403" w:rsidRPr="00683FF0">
              <w:t xml:space="preserve">hapter </w:t>
            </w:r>
            <w:r w:rsidR="7C97B903" w:rsidRPr="00683FF0">
              <w:t>10</w:t>
            </w:r>
            <w:r w:rsidR="008F2114" w:rsidRPr="00683FF0">
              <w:t>:</w:t>
            </w:r>
            <w:r w:rsidR="007D0403" w:rsidRPr="00683FF0">
              <w:t xml:space="preserve"> Transport</w:t>
            </w:r>
            <w:r w:rsidR="008F2114" w:rsidRPr="00683FF0">
              <w:t>,</w:t>
            </w:r>
            <w:r w:rsidR="007D0403" w:rsidRPr="00683FF0">
              <w:t xml:space="preserve"> </w:t>
            </w:r>
            <w:r w:rsidR="008F2114" w:rsidRPr="00683FF0">
              <w:t>a</w:t>
            </w:r>
            <w:r w:rsidR="007D0403" w:rsidRPr="00683FF0">
              <w:t xml:space="preserve">ction </w:t>
            </w:r>
            <w:r w:rsidR="00FA4F93" w:rsidRPr="00683FF0">
              <w:t>10.</w:t>
            </w:r>
            <w:r w:rsidR="007D0403" w:rsidRPr="00683FF0">
              <w:t>3.1).</w:t>
            </w:r>
          </w:p>
        </w:tc>
      </w:tr>
      <w:tr w:rsidR="009972CB" w:rsidRPr="00683FF0" w14:paraId="263D135D" w14:textId="77777777" w:rsidTr="0082007A">
        <w:tc>
          <w:tcPr>
            <w:tcW w:w="4508" w:type="dxa"/>
          </w:tcPr>
          <w:p w14:paraId="664019B4" w14:textId="55CC2C59" w:rsidR="009972CB" w:rsidRPr="00683FF0" w:rsidRDefault="00DF16AA" w:rsidP="0082007A">
            <w:pPr>
              <w:pStyle w:val="TableText"/>
            </w:pPr>
            <w:r w:rsidRPr="00683FF0">
              <w:t>19.</w:t>
            </w:r>
            <w:r w:rsidR="00A73991" w:rsidRPr="00683FF0">
              <w:t xml:space="preserve">3. </w:t>
            </w:r>
            <w:r w:rsidR="009972CB" w:rsidRPr="00683FF0">
              <w:t>Government to report annually, by 30 June 2022, on the emissions intensity of the heavy vehicles fleet, and on additional indicators such as the mode share of freight distance by road, rail and coastal shipping.</w:t>
            </w:r>
          </w:p>
        </w:tc>
        <w:tc>
          <w:tcPr>
            <w:tcW w:w="4508" w:type="dxa"/>
          </w:tcPr>
          <w:p w14:paraId="4426F977" w14:textId="038409DC" w:rsidR="00D648FB" w:rsidRPr="00683FF0" w:rsidRDefault="00DF16AA" w:rsidP="0082007A">
            <w:pPr>
              <w:pStyle w:val="TableText"/>
              <w:rPr>
                <w:rFonts w:cstheme="minorHAnsi"/>
              </w:rPr>
            </w:pPr>
            <w:r w:rsidRPr="00683FF0">
              <w:rPr>
                <w:b/>
                <w:bCs/>
              </w:rPr>
              <w:t xml:space="preserve">19.3. </w:t>
            </w:r>
            <w:r w:rsidR="00834D66" w:rsidRPr="00683FF0">
              <w:rPr>
                <w:b/>
                <w:bCs/>
              </w:rPr>
              <w:t>The Government agrees with this provisional</w:t>
            </w:r>
            <w:r w:rsidRPr="00683FF0">
              <w:rPr>
                <w:b/>
                <w:bCs/>
              </w:rPr>
              <w:t xml:space="preserve"> progress</w:t>
            </w:r>
            <w:r w:rsidR="00834D66" w:rsidRPr="00683FF0">
              <w:rPr>
                <w:b/>
                <w:bCs/>
              </w:rPr>
              <w:t xml:space="preserve"> indicator.</w:t>
            </w:r>
            <w:r w:rsidR="00436AC1" w:rsidRPr="00683FF0">
              <w:rPr>
                <w:rFonts w:cstheme="minorHAnsi"/>
              </w:rPr>
              <w:t xml:space="preserve"> </w:t>
            </w:r>
            <w:r w:rsidR="00D1668C" w:rsidRPr="00683FF0">
              <w:rPr>
                <w:rFonts w:cstheme="minorHAnsi"/>
              </w:rPr>
              <w:t>The Ministry of Transport</w:t>
            </w:r>
            <w:r w:rsidR="007D0403" w:rsidRPr="00683FF0">
              <w:rPr>
                <w:rFonts w:cstheme="minorHAnsi"/>
              </w:rPr>
              <w:t xml:space="preserve"> already collects some data on the heavy fleet. Steps are being taken to assess where gaps might exist and how these may be addressed.</w:t>
            </w:r>
          </w:p>
        </w:tc>
      </w:tr>
      <w:tr w:rsidR="00A73991" w:rsidRPr="00683FF0" w14:paraId="706831B7" w14:textId="77777777" w:rsidTr="0082007A">
        <w:tc>
          <w:tcPr>
            <w:tcW w:w="4508" w:type="dxa"/>
          </w:tcPr>
          <w:p w14:paraId="34BDB03C" w14:textId="77777777" w:rsidR="00A73991" w:rsidRPr="00683FF0" w:rsidRDefault="00A73991" w:rsidP="0082007A">
            <w:pPr>
              <w:pStyle w:val="TableText"/>
            </w:pPr>
          </w:p>
        </w:tc>
        <w:tc>
          <w:tcPr>
            <w:tcW w:w="4508" w:type="dxa"/>
          </w:tcPr>
          <w:p w14:paraId="544EC688" w14:textId="77777777" w:rsidR="00A73991" w:rsidRPr="00683FF0" w:rsidRDefault="00A73991" w:rsidP="0082007A">
            <w:pPr>
              <w:pStyle w:val="TableText"/>
            </w:pPr>
            <w:r w:rsidRPr="00683FF0">
              <w:rPr>
                <w:b/>
                <w:bCs/>
              </w:rPr>
              <w:t xml:space="preserve">Responsible agency: </w:t>
            </w:r>
            <w:r w:rsidRPr="00683FF0">
              <w:t xml:space="preserve">Ministry of Transport </w:t>
            </w:r>
          </w:p>
          <w:p w14:paraId="6D232BA4" w14:textId="77777777" w:rsidR="00A73991" w:rsidRPr="00683FF0" w:rsidRDefault="00A73991" w:rsidP="009D2D22">
            <w:pPr>
              <w:pStyle w:val="TableText"/>
              <w:spacing w:before="0"/>
            </w:pPr>
            <w:r w:rsidRPr="00683FF0">
              <w:rPr>
                <w:b/>
                <w:bCs/>
              </w:rPr>
              <w:t>Responsible Minister:</w:t>
            </w:r>
            <w:r w:rsidRPr="00683FF0">
              <w:t xml:space="preserve"> Minister of Transport </w:t>
            </w:r>
          </w:p>
          <w:p w14:paraId="6C1EB08E" w14:textId="7D24A7AC" w:rsidR="00A73991" w:rsidRPr="00683FF0" w:rsidRDefault="00A73991" w:rsidP="009D2D22">
            <w:pPr>
              <w:pStyle w:val="TableText"/>
              <w:spacing w:before="0"/>
              <w:rPr>
                <w:b/>
                <w:bCs/>
              </w:rPr>
            </w:pPr>
            <w:r w:rsidRPr="00683FF0">
              <w:rPr>
                <w:b/>
                <w:bCs/>
              </w:rPr>
              <w:t xml:space="preserve">Timeline: </w:t>
            </w:r>
            <w:r w:rsidRPr="00683FF0">
              <w:t>2022</w:t>
            </w:r>
            <w:r w:rsidR="008F2114" w:rsidRPr="00683FF0">
              <w:t>–</w:t>
            </w:r>
            <w:r w:rsidRPr="00683FF0">
              <w:t xml:space="preserve">25 (EB1) and </w:t>
            </w:r>
            <w:r w:rsidRPr="00683FF0" w:rsidDel="00140561">
              <w:t>ongoing</w:t>
            </w:r>
          </w:p>
        </w:tc>
      </w:tr>
    </w:tbl>
    <w:p w14:paraId="043EBEE7" w14:textId="77777777" w:rsidR="00641AE0" w:rsidRPr="00683FF0" w:rsidRDefault="00641AE0" w:rsidP="0082007A">
      <w:pPr>
        <w:pStyle w:val="BodyText"/>
      </w:pPr>
    </w:p>
    <w:p w14:paraId="6A461616" w14:textId="77777777" w:rsidR="00641AE0" w:rsidRPr="00683FF0" w:rsidRDefault="00641AE0" w:rsidP="0082007A">
      <w:pPr>
        <w:pStyle w:val="BodyText"/>
      </w:pPr>
      <w:r w:rsidRPr="00683FF0">
        <w:br w:type="page"/>
      </w:r>
    </w:p>
    <w:p w14:paraId="2A6CB002" w14:textId="49C477CD" w:rsidR="006B3867" w:rsidRPr="00683FF0" w:rsidRDefault="00B64191" w:rsidP="006B3867">
      <w:pPr>
        <w:pStyle w:val="Heading1"/>
      </w:pPr>
      <w:bookmarkStart w:id="38" w:name="_Toc103175834"/>
      <w:bookmarkStart w:id="39" w:name="_Toc103778797"/>
      <w:r w:rsidRPr="00683FF0">
        <w:lastRenderedPageBreak/>
        <w:t>Recommendations 20</w:t>
      </w:r>
      <w:r w:rsidR="00F26BC5" w:rsidRPr="00683FF0">
        <w:t>–</w:t>
      </w:r>
      <w:r w:rsidRPr="00683FF0">
        <w:t xml:space="preserve">22: </w:t>
      </w:r>
      <w:r w:rsidR="0082007A" w:rsidRPr="00683FF0">
        <w:br/>
      </w:r>
      <w:r w:rsidR="00AB6168" w:rsidRPr="00683FF0">
        <w:t>Policy direction for e</w:t>
      </w:r>
      <w:r w:rsidR="006B3867" w:rsidRPr="00683FF0">
        <w:t>nergy</w:t>
      </w:r>
      <w:r w:rsidR="00AB6168" w:rsidRPr="00683FF0">
        <w:t>, industry and buildings</w:t>
      </w:r>
      <w:bookmarkEnd w:id="38"/>
      <w:bookmarkEnd w:id="39"/>
    </w:p>
    <w:p w14:paraId="0071801C" w14:textId="1722CD0B" w:rsidR="00AB6168" w:rsidRPr="00683FF0" w:rsidRDefault="00AB6168" w:rsidP="009D2D22">
      <w:pPr>
        <w:pStyle w:val="Heading2"/>
        <w:spacing w:before="120" w:after="240"/>
      </w:pPr>
      <w:bookmarkStart w:id="40" w:name="_Toc103175835"/>
      <w:bookmarkStart w:id="41" w:name="_Toc103778798"/>
      <w:r w:rsidRPr="00683FF0">
        <w:t>Energy</w:t>
      </w:r>
      <w:bookmarkEnd w:id="40"/>
      <w:bookmarkEnd w:id="41"/>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111"/>
        <w:gridCol w:w="4394"/>
      </w:tblGrid>
      <w:tr w:rsidR="00D05CD7" w:rsidRPr="00683FF0" w14:paraId="3015FB78" w14:textId="77777777" w:rsidTr="002D7558">
        <w:trPr>
          <w:tblHeader/>
        </w:trPr>
        <w:tc>
          <w:tcPr>
            <w:tcW w:w="4111" w:type="dxa"/>
            <w:tcBorders>
              <w:top w:val="single" w:sz="4" w:space="0" w:color="1B556B" w:themeColor="text2"/>
              <w:bottom w:val="nil"/>
            </w:tcBorders>
            <w:shd w:val="clear" w:color="auto" w:fill="1B556B" w:themeFill="text2"/>
            <w:vAlign w:val="center"/>
          </w:tcPr>
          <w:p w14:paraId="1935B9C3" w14:textId="3679FBEE" w:rsidR="006B3867" w:rsidRPr="00683FF0" w:rsidRDefault="006B3867" w:rsidP="00D05CD7">
            <w:pPr>
              <w:pStyle w:val="TableTextbold"/>
              <w:rPr>
                <w:color w:val="FFFFFF" w:themeColor="background1"/>
              </w:rPr>
            </w:pPr>
            <w:bookmarkStart w:id="42" w:name="_Hlk99551822"/>
            <w:r w:rsidRPr="00683FF0">
              <w:rPr>
                <w:color w:val="FFFFFF" w:themeColor="background1"/>
              </w:rPr>
              <w:t xml:space="preserve">Report </w:t>
            </w:r>
            <w:r w:rsidR="008F2114" w:rsidRPr="00683FF0">
              <w:rPr>
                <w:color w:val="FFFFFF" w:themeColor="background1"/>
              </w:rPr>
              <w:t>r</w:t>
            </w:r>
            <w:r w:rsidRPr="00683FF0">
              <w:rPr>
                <w:color w:val="FFFFFF" w:themeColor="background1"/>
              </w:rPr>
              <w:t>ecommendation</w:t>
            </w:r>
          </w:p>
        </w:tc>
        <w:tc>
          <w:tcPr>
            <w:tcW w:w="4394" w:type="dxa"/>
            <w:tcBorders>
              <w:top w:val="single" w:sz="4" w:space="0" w:color="1B556B" w:themeColor="text2"/>
              <w:bottom w:val="nil"/>
            </w:tcBorders>
            <w:shd w:val="clear" w:color="auto" w:fill="1B556B" w:themeFill="text2"/>
            <w:vAlign w:val="center"/>
          </w:tcPr>
          <w:p w14:paraId="3D242E6E" w14:textId="00C2B387" w:rsidR="006B3867" w:rsidRPr="00683FF0" w:rsidRDefault="006B3867" w:rsidP="00D05CD7">
            <w:pPr>
              <w:pStyle w:val="TableTextbold"/>
              <w:rPr>
                <w:color w:val="FFFFFF" w:themeColor="background1"/>
              </w:rPr>
            </w:pPr>
            <w:r w:rsidRPr="00683FF0">
              <w:rPr>
                <w:color w:val="FFFFFF" w:themeColor="background1"/>
              </w:rPr>
              <w:t xml:space="preserve">Government </w:t>
            </w:r>
            <w:r w:rsidR="008F2114" w:rsidRPr="00683FF0">
              <w:rPr>
                <w:color w:val="FFFFFF" w:themeColor="background1"/>
              </w:rPr>
              <w:t>r</w:t>
            </w:r>
            <w:r w:rsidRPr="00683FF0">
              <w:rPr>
                <w:color w:val="FFFFFF" w:themeColor="background1"/>
              </w:rPr>
              <w:t>esponse</w:t>
            </w:r>
          </w:p>
        </w:tc>
      </w:tr>
      <w:tr w:rsidR="006B3867" w:rsidRPr="00683FF0" w14:paraId="1E0930D9" w14:textId="77777777" w:rsidTr="002D7558">
        <w:tc>
          <w:tcPr>
            <w:tcW w:w="4111" w:type="dxa"/>
            <w:tcBorders>
              <w:top w:val="nil"/>
            </w:tcBorders>
            <w:shd w:val="clear" w:color="auto" w:fill="FFFFFF" w:themeFill="background1"/>
          </w:tcPr>
          <w:p w14:paraId="565CE556" w14:textId="486E0242" w:rsidR="006B3867" w:rsidRPr="00683FF0" w:rsidRDefault="006B3867" w:rsidP="00D05CD7">
            <w:pPr>
              <w:pStyle w:val="TableTextbold"/>
            </w:pPr>
            <w:bookmarkStart w:id="43" w:name="_Hlk99550636"/>
            <w:bookmarkEnd w:id="42"/>
            <w:r w:rsidRPr="00683FF0">
              <w:t xml:space="preserve">Recommendation </w:t>
            </w:r>
            <w:r w:rsidR="00A25686" w:rsidRPr="00683FF0">
              <w:t xml:space="preserve">20 </w:t>
            </w:r>
            <w:r w:rsidR="008F2114" w:rsidRPr="00683FF0">
              <w:t>–</w:t>
            </w:r>
            <w:r w:rsidR="00A25686" w:rsidRPr="00683FF0">
              <w:t xml:space="preserve"> Decarbonise the energy system and ensure the electricity sector is ready to meet future needs</w:t>
            </w:r>
            <w:r w:rsidRPr="00683FF0">
              <w:t xml:space="preserve"> </w:t>
            </w:r>
          </w:p>
          <w:p w14:paraId="0C9D1722" w14:textId="0A799DF6" w:rsidR="006B3867" w:rsidRPr="00683FF0" w:rsidRDefault="00A25686" w:rsidP="00D05CD7">
            <w:pPr>
              <w:pStyle w:val="TableText"/>
              <w:spacing w:before="0"/>
            </w:pPr>
            <w:r w:rsidRPr="00683FF0">
              <w:t>We recommend that, in the first emissions reduction plan, the Government commit to: Delivering a strategy to decarbonise the energy system and ensure the electricity sector is ready to meet future needs. This should include:</w:t>
            </w:r>
          </w:p>
        </w:tc>
        <w:tc>
          <w:tcPr>
            <w:tcW w:w="4394" w:type="dxa"/>
            <w:tcBorders>
              <w:top w:val="nil"/>
            </w:tcBorders>
            <w:shd w:val="clear" w:color="auto" w:fill="FFFFFF" w:themeFill="background1"/>
          </w:tcPr>
          <w:p w14:paraId="018D1FCA" w14:textId="7666AC05" w:rsidR="007D0403" w:rsidRPr="00683FF0" w:rsidRDefault="2A34F2A1" w:rsidP="00DB7229">
            <w:pPr>
              <w:pStyle w:val="TableText"/>
              <w:spacing w:after="40"/>
            </w:pPr>
            <w:r w:rsidRPr="00683FF0">
              <w:rPr>
                <w:b/>
                <w:bCs/>
              </w:rPr>
              <w:t xml:space="preserve">The Government agrees with this recommendation. </w:t>
            </w:r>
            <w:r w:rsidR="72684DB8" w:rsidRPr="00683FF0">
              <w:t xml:space="preserve">The </w:t>
            </w:r>
            <w:r w:rsidRPr="00683FF0">
              <w:t>G</w:t>
            </w:r>
            <w:r w:rsidR="72684DB8" w:rsidRPr="00683FF0">
              <w:t xml:space="preserve">overnment will develop an energy strategy to consider key priorities, challenges and opportunities for ensuring a successful transition of the energy system, including </w:t>
            </w:r>
            <w:r w:rsidR="17DA958F" w:rsidRPr="00683FF0">
              <w:t>signalling</w:t>
            </w:r>
            <w:r w:rsidR="72684DB8" w:rsidRPr="00683FF0">
              <w:t xml:space="preserve"> </w:t>
            </w:r>
            <w:r w:rsidR="17DA958F" w:rsidRPr="00683FF0">
              <w:t>pathways</w:t>
            </w:r>
            <w:r w:rsidR="72684DB8" w:rsidRPr="00683FF0">
              <w:t xml:space="preserve"> away from fossil fuels and toward greater levels of renewable electricity and other low</w:t>
            </w:r>
            <w:r w:rsidR="007F2F1E" w:rsidRPr="00683FF0">
              <w:t>-</w:t>
            </w:r>
            <w:r w:rsidR="72684DB8" w:rsidRPr="00683FF0">
              <w:t>emissions fuels (</w:t>
            </w:r>
            <w:r w:rsidR="00CE22F7" w:rsidRPr="00683FF0">
              <w:t>c</w:t>
            </w:r>
            <w:r w:rsidR="72684DB8" w:rsidRPr="00683FF0">
              <w:t>hapter 11</w:t>
            </w:r>
            <w:r w:rsidR="00CE22F7" w:rsidRPr="00683FF0">
              <w:t>:</w:t>
            </w:r>
            <w:r w:rsidR="72684DB8" w:rsidRPr="00683FF0">
              <w:t xml:space="preserve"> Energy and </w:t>
            </w:r>
            <w:r w:rsidR="00CE22F7" w:rsidRPr="00683FF0">
              <w:t>i</w:t>
            </w:r>
            <w:r w:rsidR="72684DB8" w:rsidRPr="00683FF0">
              <w:t>ndustry</w:t>
            </w:r>
            <w:r w:rsidR="00FF0BA5" w:rsidRPr="00683FF0">
              <w:t>,</w:t>
            </w:r>
            <w:r w:rsidR="72684DB8" w:rsidRPr="00683FF0">
              <w:t xml:space="preserve"> </w:t>
            </w:r>
            <w:r w:rsidR="00FF0BA5" w:rsidRPr="00683FF0">
              <w:t>a</w:t>
            </w:r>
            <w:r w:rsidR="72684DB8" w:rsidRPr="00683FF0">
              <w:t xml:space="preserve">ction </w:t>
            </w:r>
            <w:r w:rsidR="00FA4F93" w:rsidRPr="00683FF0">
              <w:t>11.</w:t>
            </w:r>
            <w:r w:rsidR="72684DB8" w:rsidRPr="00683FF0">
              <w:t>5.2).</w:t>
            </w:r>
          </w:p>
        </w:tc>
      </w:tr>
      <w:bookmarkEnd w:id="43"/>
      <w:tr w:rsidR="006B3867" w:rsidRPr="00683FF0" w14:paraId="665A7533" w14:textId="77777777" w:rsidTr="002D7558">
        <w:tc>
          <w:tcPr>
            <w:tcW w:w="4111" w:type="dxa"/>
          </w:tcPr>
          <w:p w14:paraId="773A7E5C" w14:textId="434D01B6" w:rsidR="00A2543F" w:rsidRPr="00683FF0" w:rsidRDefault="00BB60E3" w:rsidP="00D05CD7">
            <w:pPr>
              <w:pStyle w:val="TableText"/>
            </w:pPr>
            <w:r w:rsidRPr="00683FF0">
              <w:t>20.</w:t>
            </w:r>
            <w:r w:rsidR="00944061" w:rsidRPr="00683FF0">
              <w:t>1</w:t>
            </w:r>
            <w:r w:rsidR="002C0465" w:rsidRPr="00683FF0">
              <w:t>.</w:t>
            </w:r>
            <w:r w:rsidR="00A2543F" w:rsidRPr="00683FF0">
              <w:t xml:space="preserve"> Developing and implementing a national energy strategy to decarbonise the system. The scope would need to cover: </w:t>
            </w:r>
          </w:p>
          <w:p w14:paraId="3B8080AF" w14:textId="3C04E3B5" w:rsidR="00A2543F" w:rsidRPr="00683FF0" w:rsidRDefault="00A2543F" w:rsidP="00D21268">
            <w:pPr>
              <w:pStyle w:val="TableText"/>
              <w:numPr>
                <w:ilvl w:val="0"/>
                <w:numId w:val="28"/>
              </w:numPr>
              <w:spacing w:before="0"/>
              <w:ind w:left="284" w:hanging="284"/>
            </w:pPr>
            <w:r w:rsidRPr="00683FF0">
              <w:t>Setting a target so that 50% of all energy consumed comes from renewable sources by 31</w:t>
            </w:r>
            <w:r w:rsidR="00897A5C" w:rsidRPr="00683FF0">
              <w:t> </w:t>
            </w:r>
            <w:r w:rsidRPr="00683FF0">
              <w:t>December 2035. Consideration should also be given to replacing the target for 100% renewable electricity with achieving 95%</w:t>
            </w:r>
            <w:r w:rsidR="000A558B" w:rsidRPr="00683FF0">
              <w:t>–</w:t>
            </w:r>
            <w:r w:rsidRPr="00683FF0">
              <w:t xml:space="preserve">98% renewable electricity by 2030. </w:t>
            </w:r>
          </w:p>
          <w:p w14:paraId="59A510C7" w14:textId="57D42476" w:rsidR="00A2543F" w:rsidRPr="00683FF0" w:rsidRDefault="00A2543F" w:rsidP="00D21268">
            <w:pPr>
              <w:pStyle w:val="TableText"/>
              <w:numPr>
                <w:ilvl w:val="0"/>
                <w:numId w:val="28"/>
              </w:numPr>
              <w:spacing w:before="0"/>
              <w:ind w:left="284" w:hanging="284"/>
            </w:pPr>
            <w:r w:rsidRPr="00683FF0">
              <w:t xml:space="preserve">How to ensure access to affordable, secure, low-emissions electricity for residential, commercial, and industrial consumers. Regard needs to be given to the impacts on Iwi/Māori, those in regional/rural areas, and vulnerable groups. </w:t>
            </w:r>
          </w:p>
          <w:p w14:paraId="7E199ACE" w14:textId="11BA6EA4" w:rsidR="00A2543F" w:rsidRPr="00683FF0" w:rsidRDefault="00A2543F" w:rsidP="00D21268">
            <w:pPr>
              <w:pStyle w:val="TableText"/>
              <w:numPr>
                <w:ilvl w:val="0"/>
                <w:numId w:val="28"/>
              </w:numPr>
              <w:spacing w:before="0"/>
              <w:ind w:left="284" w:hanging="284"/>
            </w:pPr>
            <w:r w:rsidRPr="00683FF0">
              <w:t xml:space="preserve">Ensuring the use of coal for electricity generation is phased out as soon as possible. </w:t>
            </w:r>
          </w:p>
          <w:p w14:paraId="4BADA0C3" w14:textId="4F12EA2C" w:rsidR="00A2543F" w:rsidRPr="00683FF0" w:rsidRDefault="00A2543F" w:rsidP="00D21268">
            <w:pPr>
              <w:pStyle w:val="TableText"/>
              <w:numPr>
                <w:ilvl w:val="0"/>
                <w:numId w:val="28"/>
              </w:numPr>
              <w:spacing w:before="0"/>
              <w:ind w:left="284" w:hanging="284"/>
            </w:pPr>
            <w:r w:rsidRPr="00683FF0">
              <w:t xml:space="preserve">Creating a plan for managing the diminishing role of fossil gas across the energy system, covering the associated consequences for network infrastructure and workforce during the transition. This recommendation should be considered. </w:t>
            </w:r>
          </w:p>
          <w:p w14:paraId="5A8F26EB" w14:textId="77777777" w:rsidR="00074D7D" w:rsidRPr="00683FF0" w:rsidRDefault="00A2543F" w:rsidP="00D21268">
            <w:pPr>
              <w:pStyle w:val="TableText"/>
              <w:numPr>
                <w:ilvl w:val="0"/>
                <w:numId w:val="28"/>
              </w:numPr>
              <w:spacing w:before="0"/>
              <w:ind w:left="284" w:hanging="284"/>
            </w:pPr>
            <w:r w:rsidRPr="00683FF0">
              <w:t xml:space="preserve">The strategy should be developed in: </w:t>
            </w:r>
          </w:p>
          <w:p w14:paraId="13F2E846" w14:textId="5CA2FF69" w:rsidR="00074D7D" w:rsidRPr="00683FF0" w:rsidRDefault="00A2543F" w:rsidP="00D21268">
            <w:pPr>
              <w:pStyle w:val="TableText"/>
              <w:numPr>
                <w:ilvl w:val="0"/>
                <w:numId w:val="29"/>
              </w:numPr>
              <w:spacing w:before="0"/>
              <w:ind w:left="568" w:hanging="284"/>
            </w:pPr>
            <w:r w:rsidRPr="00683FF0">
              <w:t>Partnership with Iwi/Māori, give effect to the principles of Te Tiriti o Waitangi/The Treaty of Waitangi, account for settlement commitments and obligations between energy-system stakeholders and Iwi/Māori, and align with the He Ara Waiora framework.</w:t>
            </w:r>
          </w:p>
          <w:p w14:paraId="61A3AB9B" w14:textId="641ECE10" w:rsidR="006B3867" w:rsidRPr="00683FF0" w:rsidRDefault="00A2543F" w:rsidP="00D21268">
            <w:pPr>
              <w:pStyle w:val="TableText"/>
              <w:numPr>
                <w:ilvl w:val="0"/>
                <w:numId w:val="29"/>
              </w:numPr>
              <w:spacing w:before="0"/>
              <w:ind w:left="568" w:hanging="284"/>
            </w:pPr>
            <w:r w:rsidRPr="00683FF0">
              <w:t>Collaboration with energy-system stakeholders.</w:t>
            </w:r>
          </w:p>
        </w:tc>
        <w:tc>
          <w:tcPr>
            <w:tcW w:w="4394" w:type="dxa"/>
          </w:tcPr>
          <w:p w14:paraId="1471E817" w14:textId="486289A9" w:rsidR="00FC589B" w:rsidRPr="00683FF0" w:rsidRDefault="002C0465" w:rsidP="00DB7229">
            <w:pPr>
              <w:pStyle w:val="TableText"/>
              <w:spacing w:before="40" w:after="40"/>
              <w:rPr>
                <w:b/>
                <w:bCs/>
              </w:rPr>
            </w:pPr>
            <w:r w:rsidRPr="00683FF0">
              <w:rPr>
                <w:b/>
                <w:bCs/>
              </w:rPr>
              <w:t xml:space="preserve">20.1a. </w:t>
            </w:r>
            <w:r w:rsidR="0089720E" w:rsidRPr="00683FF0">
              <w:rPr>
                <w:b/>
                <w:bCs/>
              </w:rPr>
              <w:t>The Government agrees with this recommendation.</w:t>
            </w:r>
            <w:r w:rsidRPr="00683FF0">
              <w:rPr>
                <w:b/>
                <w:bCs/>
              </w:rPr>
              <w:t xml:space="preserve"> </w:t>
            </w:r>
            <w:r w:rsidRPr="00683FF0">
              <w:t xml:space="preserve">The </w:t>
            </w:r>
            <w:r w:rsidR="00BB60E3" w:rsidRPr="00683FF0">
              <w:rPr>
                <w:rFonts w:cstheme="minorHAnsi"/>
              </w:rPr>
              <w:t>Government is setting a renewable energy target of 50</w:t>
            </w:r>
            <w:r w:rsidR="00A179EB" w:rsidRPr="00683FF0">
              <w:rPr>
                <w:rFonts w:cstheme="minorHAnsi"/>
              </w:rPr>
              <w:t>%</w:t>
            </w:r>
            <w:r w:rsidR="00FC589B" w:rsidRPr="00683FF0">
              <w:rPr>
                <w:rFonts w:cstheme="minorHAnsi"/>
              </w:rPr>
              <w:t xml:space="preserve"> </w:t>
            </w:r>
            <w:r w:rsidR="00BB60E3" w:rsidRPr="00683FF0">
              <w:rPr>
                <w:rFonts w:cstheme="minorHAnsi"/>
              </w:rPr>
              <w:t>of total final energy consumption coming from renewable sources by 2035.</w:t>
            </w:r>
            <w:r w:rsidR="0066435F" w:rsidRPr="00683FF0">
              <w:rPr>
                <w:rFonts w:cstheme="minorHAnsi"/>
              </w:rPr>
              <w:t xml:space="preserve"> </w:t>
            </w:r>
            <w:r w:rsidR="5EC02A57" w:rsidRPr="00683FF0">
              <w:t xml:space="preserve">The Government’s existing target </w:t>
            </w:r>
            <w:r w:rsidR="00FC589B" w:rsidRPr="00683FF0">
              <w:t xml:space="preserve">of </w:t>
            </w:r>
            <w:r w:rsidR="5EC02A57" w:rsidRPr="00683FF0">
              <w:t>100</w:t>
            </w:r>
            <w:r w:rsidR="00A179EB" w:rsidRPr="00683FF0">
              <w:t xml:space="preserve">% </w:t>
            </w:r>
            <w:r w:rsidR="5EC02A57" w:rsidRPr="00683FF0">
              <w:t xml:space="preserve">renewable electricity is aspirational and will be reviewed in 2024 before the second </w:t>
            </w:r>
            <w:r w:rsidR="00FD74DA" w:rsidRPr="00683FF0">
              <w:t>emissions reduction plan</w:t>
            </w:r>
            <w:r w:rsidR="5EC02A57" w:rsidRPr="00683FF0">
              <w:t xml:space="preserve"> is put in place</w:t>
            </w:r>
            <w:r w:rsidR="7989134C" w:rsidRPr="00683FF0">
              <w:t xml:space="preserve"> </w:t>
            </w:r>
            <w:r w:rsidR="62FA3E98" w:rsidRPr="00683FF0">
              <w:t>(</w:t>
            </w:r>
            <w:r w:rsidR="00FC589B" w:rsidRPr="00683FF0">
              <w:t>c</w:t>
            </w:r>
            <w:r w:rsidR="62FA3E98" w:rsidRPr="00683FF0">
              <w:t>hapter 11</w:t>
            </w:r>
            <w:r w:rsidR="00FC589B" w:rsidRPr="00683FF0">
              <w:t>:</w:t>
            </w:r>
            <w:r w:rsidR="62FA3E98" w:rsidRPr="00683FF0">
              <w:t xml:space="preserve"> Energy and </w:t>
            </w:r>
            <w:r w:rsidR="00FC589B" w:rsidRPr="00683FF0">
              <w:t>i</w:t>
            </w:r>
            <w:r w:rsidR="62FA3E98" w:rsidRPr="00683FF0">
              <w:t>ndustry</w:t>
            </w:r>
            <w:r w:rsidR="00FC589B" w:rsidRPr="00683FF0">
              <w:t>,</w:t>
            </w:r>
            <w:r w:rsidR="62FA3E98" w:rsidRPr="00683FF0">
              <w:t xml:space="preserve"> </w:t>
            </w:r>
            <w:r w:rsidR="00FC589B" w:rsidRPr="00683FF0">
              <w:t>a</w:t>
            </w:r>
            <w:r w:rsidR="62FA3E98" w:rsidRPr="00683FF0">
              <w:t xml:space="preserve">ction </w:t>
            </w:r>
            <w:r w:rsidR="00FA4F93" w:rsidRPr="00683FF0">
              <w:t>11.</w:t>
            </w:r>
            <w:r w:rsidR="62FA3E98" w:rsidRPr="00683FF0">
              <w:t>5.1).</w:t>
            </w:r>
          </w:p>
          <w:p w14:paraId="12F2C5E9" w14:textId="61098435" w:rsidR="002C0465" w:rsidRPr="00683FF0" w:rsidRDefault="09E332AB" w:rsidP="00DB7229">
            <w:pPr>
              <w:pStyle w:val="TableText"/>
              <w:spacing w:before="40" w:after="40"/>
              <w:rPr>
                <w:rFonts w:cstheme="minorHAnsi"/>
              </w:rPr>
            </w:pPr>
            <w:r w:rsidRPr="00683FF0">
              <w:rPr>
                <w:b/>
                <w:bCs/>
              </w:rPr>
              <w:t xml:space="preserve">20.1b. </w:t>
            </w:r>
            <w:r w:rsidR="497ECC77" w:rsidRPr="00683FF0">
              <w:rPr>
                <w:b/>
                <w:bCs/>
              </w:rPr>
              <w:t>The Government agrees with this recommendation.</w:t>
            </w:r>
            <w:r w:rsidRPr="00683FF0">
              <w:rPr>
                <w:b/>
                <w:bCs/>
              </w:rPr>
              <w:t xml:space="preserve"> </w:t>
            </w:r>
            <w:r w:rsidR="000F6298" w:rsidRPr="00683FF0">
              <w:t>In developing an energy strategy, t</w:t>
            </w:r>
            <w:r w:rsidRPr="00683FF0">
              <w:t xml:space="preserve">he </w:t>
            </w:r>
            <w:r w:rsidR="382ACEE2" w:rsidRPr="00683FF0">
              <w:t>Government will consider how to ensure access to affordable, secure, low</w:t>
            </w:r>
            <w:r w:rsidR="007F2F1E" w:rsidRPr="00683FF0">
              <w:t>-</w:t>
            </w:r>
            <w:r w:rsidR="382ACEE2" w:rsidRPr="00683FF0">
              <w:t>emissions electricity for residential,</w:t>
            </w:r>
            <w:r w:rsidR="00EE500A" w:rsidRPr="00683FF0">
              <w:t xml:space="preserve"> </w:t>
            </w:r>
            <w:r w:rsidR="382ACEE2" w:rsidRPr="00683FF0">
              <w:t>commercial and industrial consumers</w:t>
            </w:r>
            <w:r w:rsidR="00844C6A" w:rsidRPr="00683FF0">
              <w:t>. This will</w:t>
            </w:r>
            <w:r w:rsidR="382ACEE2" w:rsidRPr="00683FF0">
              <w:t xml:space="preserve"> includ</w:t>
            </w:r>
            <w:r w:rsidR="00AE6584" w:rsidRPr="00683FF0">
              <w:t>e</w:t>
            </w:r>
            <w:r w:rsidR="00844C6A" w:rsidRPr="00683FF0">
              <w:t xml:space="preserve"> consider</w:t>
            </w:r>
            <w:r w:rsidR="00AE6584" w:rsidRPr="00683FF0">
              <w:t>ing</w:t>
            </w:r>
            <w:r w:rsidR="00844C6A" w:rsidRPr="00683FF0">
              <w:t xml:space="preserve"> the</w:t>
            </w:r>
            <w:r w:rsidR="382ACEE2" w:rsidRPr="00683FF0">
              <w:t xml:space="preserve"> impacts on Māori, those in regional/rural areas, and vulnerable groups</w:t>
            </w:r>
            <w:r w:rsidR="26E9CC5A" w:rsidRPr="00683FF0">
              <w:t xml:space="preserve"> (</w:t>
            </w:r>
            <w:r w:rsidR="00EE500A" w:rsidRPr="00683FF0">
              <w:t>c</w:t>
            </w:r>
            <w:r w:rsidR="26E9CC5A" w:rsidRPr="00683FF0">
              <w:t>hapter 11</w:t>
            </w:r>
            <w:r w:rsidR="00EE500A" w:rsidRPr="00683FF0">
              <w:t>:</w:t>
            </w:r>
            <w:r w:rsidR="26E9CC5A" w:rsidRPr="00683FF0">
              <w:t xml:space="preserve"> Energy and </w:t>
            </w:r>
            <w:r w:rsidR="00EE500A" w:rsidRPr="00683FF0">
              <w:t>i</w:t>
            </w:r>
            <w:r w:rsidR="26E9CC5A" w:rsidRPr="00683FF0">
              <w:t>ndustry</w:t>
            </w:r>
            <w:r w:rsidR="00EE500A" w:rsidRPr="00683FF0">
              <w:t>,</w:t>
            </w:r>
            <w:r w:rsidR="26E9CC5A" w:rsidRPr="00683FF0">
              <w:t xml:space="preserve"> </w:t>
            </w:r>
            <w:r w:rsidR="00EE500A" w:rsidRPr="00683FF0">
              <w:t>a</w:t>
            </w:r>
            <w:r w:rsidR="26E9CC5A" w:rsidRPr="00683FF0">
              <w:t xml:space="preserve">ction </w:t>
            </w:r>
            <w:r w:rsidR="00FA4F93" w:rsidRPr="00683FF0">
              <w:t>11.</w:t>
            </w:r>
            <w:r w:rsidR="26E9CC5A" w:rsidRPr="00683FF0">
              <w:t>5.2).</w:t>
            </w:r>
          </w:p>
          <w:p w14:paraId="224D1C0B" w14:textId="7FBCECDB" w:rsidR="002C0465" w:rsidRPr="00683FF0" w:rsidRDefault="7989134C" w:rsidP="00DB7229">
            <w:pPr>
              <w:pStyle w:val="TableText"/>
              <w:spacing w:before="40" w:after="40"/>
              <w:rPr>
                <w:rFonts w:cstheme="minorHAnsi"/>
              </w:rPr>
            </w:pPr>
            <w:r w:rsidRPr="00683FF0">
              <w:rPr>
                <w:b/>
                <w:bCs/>
              </w:rPr>
              <w:t xml:space="preserve">20.1c. </w:t>
            </w:r>
            <w:r w:rsidR="4C8DFF8A" w:rsidRPr="00683FF0">
              <w:rPr>
                <w:b/>
                <w:bCs/>
              </w:rPr>
              <w:t>The Government agrees with this recommendation.</w:t>
            </w:r>
            <w:r w:rsidRPr="00683FF0">
              <w:rPr>
                <w:b/>
                <w:bCs/>
              </w:rPr>
              <w:t xml:space="preserve"> </w:t>
            </w:r>
            <w:r w:rsidR="5EC02A57" w:rsidRPr="00683FF0">
              <w:t>The Government has a manifesto commitment to ban the building of new fossil-fuelled baseload electricity generation. Work is underway to ensure the electricity system is ready to meet future needs and to address the capability of the electricity system to support a transition to a more renewable system over time as fossil fuel stations retire and new renewable electricity generation is built. This will be a key element of the energy strategy</w:t>
            </w:r>
            <w:r w:rsidR="62FA3E98" w:rsidRPr="00683FF0">
              <w:t xml:space="preserve"> (</w:t>
            </w:r>
            <w:r w:rsidR="00844C6A" w:rsidRPr="00683FF0">
              <w:t>c</w:t>
            </w:r>
            <w:r w:rsidR="62FA3E98" w:rsidRPr="00683FF0">
              <w:t>hapter 11</w:t>
            </w:r>
            <w:r w:rsidR="00844C6A" w:rsidRPr="00683FF0">
              <w:t>:</w:t>
            </w:r>
            <w:r w:rsidR="62FA3E98" w:rsidRPr="00683FF0">
              <w:t xml:space="preserve"> Energy and </w:t>
            </w:r>
            <w:r w:rsidR="00844C6A" w:rsidRPr="00683FF0">
              <w:t>i</w:t>
            </w:r>
            <w:r w:rsidR="62FA3E98" w:rsidRPr="00683FF0">
              <w:t>ndustry</w:t>
            </w:r>
            <w:r w:rsidR="00844C6A" w:rsidRPr="00683FF0">
              <w:t>,</w:t>
            </w:r>
            <w:r w:rsidR="62FA3E98" w:rsidRPr="00683FF0">
              <w:t xml:space="preserve"> </w:t>
            </w:r>
            <w:r w:rsidR="00844C6A" w:rsidRPr="00683FF0">
              <w:t>a</w:t>
            </w:r>
            <w:r w:rsidR="62FA3E98" w:rsidRPr="00683FF0">
              <w:t xml:space="preserve">ctions </w:t>
            </w:r>
            <w:r w:rsidR="00FA4F93" w:rsidRPr="00683FF0">
              <w:t>11.</w:t>
            </w:r>
            <w:r w:rsidR="62FA3E98" w:rsidRPr="00683FF0">
              <w:t xml:space="preserve">2.2 and </w:t>
            </w:r>
            <w:r w:rsidR="00FA4F93" w:rsidRPr="00683FF0">
              <w:t>11.</w:t>
            </w:r>
            <w:r w:rsidR="62FA3E98" w:rsidRPr="00683FF0">
              <w:t>5.2).</w:t>
            </w:r>
          </w:p>
          <w:p w14:paraId="14A6DD4F" w14:textId="4F2069B9" w:rsidR="002C0465" w:rsidRPr="00683FF0" w:rsidRDefault="09E332AB" w:rsidP="00DB7229">
            <w:pPr>
              <w:pStyle w:val="TableText"/>
              <w:spacing w:before="40" w:after="40"/>
              <w:rPr>
                <w:rFonts w:cstheme="minorHAnsi"/>
              </w:rPr>
            </w:pPr>
            <w:r w:rsidRPr="00683FF0">
              <w:rPr>
                <w:b/>
                <w:bCs/>
              </w:rPr>
              <w:t xml:space="preserve">20.1d. </w:t>
            </w:r>
            <w:r w:rsidR="497ECC77" w:rsidRPr="00683FF0">
              <w:rPr>
                <w:b/>
                <w:bCs/>
              </w:rPr>
              <w:t>The Government agrees with this recommendation.</w:t>
            </w:r>
            <w:r w:rsidRPr="00683FF0">
              <w:rPr>
                <w:b/>
                <w:bCs/>
              </w:rPr>
              <w:t xml:space="preserve"> </w:t>
            </w:r>
            <w:r w:rsidR="382ACEE2" w:rsidRPr="00683FF0">
              <w:t xml:space="preserve">The Government is working to develop a </w:t>
            </w:r>
            <w:r w:rsidR="38B52886" w:rsidRPr="00683FF0">
              <w:t>gas transition p</w:t>
            </w:r>
            <w:r w:rsidR="382ACEE2" w:rsidRPr="00683FF0">
              <w:t xml:space="preserve">lan by the end of 2023. The </w:t>
            </w:r>
            <w:r w:rsidR="38B52886" w:rsidRPr="00683FF0">
              <w:t>gas</w:t>
            </w:r>
            <w:r w:rsidR="00DB7229" w:rsidRPr="00683FF0">
              <w:t> </w:t>
            </w:r>
            <w:r w:rsidR="38B52886" w:rsidRPr="00683FF0">
              <w:t>transition p</w:t>
            </w:r>
            <w:r w:rsidR="382ACEE2" w:rsidRPr="00683FF0">
              <w:t>lan will set out the transition pathway for</w:t>
            </w:r>
            <w:r w:rsidR="00DB7229" w:rsidRPr="00683FF0">
              <w:t> </w:t>
            </w:r>
            <w:r w:rsidR="382ACEE2" w:rsidRPr="00683FF0">
              <w:t>fossil gas, explore opportunities for renewable gases and ensure an equitable transition. This will include considering what further actions may be required to support consumer wellbeing as the role of gas diminishes</w:t>
            </w:r>
            <w:r w:rsidR="00BE21C0" w:rsidRPr="00683FF0">
              <w:t xml:space="preserve"> and the</w:t>
            </w:r>
            <w:r w:rsidR="382ACEE2" w:rsidRPr="00683FF0">
              <w:t xml:space="preserve"> implications for gas infrastructure </w:t>
            </w:r>
            <w:r w:rsidR="382ACEE2" w:rsidRPr="00683FF0">
              <w:lastRenderedPageBreak/>
              <w:t>and workforce. See also</w:t>
            </w:r>
            <w:r w:rsidR="00BE21C0" w:rsidRPr="00683FF0">
              <w:t xml:space="preserve"> the</w:t>
            </w:r>
            <w:r w:rsidR="382ACEE2" w:rsidRPr="00683FF0">
              <w:t xml:space="preserve"> response to recommendation 20.8.a</w:t>
            </w:r>
            <w:r w:rsidR="26E9CC5A" w:rsidRPr="00683FF0">
              <w:t xml:space="preserve"> (</w:t>
            </w:r>
            <w:r w:rsidR="00BE21C0" w:rsidRPr="00683FF0">
              <w:t>c</w:t>
            </w:r>
            <w:r w:rsidR="26E9CC5A" w:rsidRPr="00683FF0">
              <w:t>hapter 11</w:t>
            </w:r>
            <w:r w:rsidR="00BE21C0" w:rsidRPr="00683FF0">
              <w:t>:</w:t>
            </w:r>
            <w:r w:rsidR="26E9CC5A" w:rsidRPr="00683FF0">
              <w:t xml:space="preserve"> Energy and </w:t>
            </w:r>
            <w:r w:rsidR="00BE21C0" w:rsidRPr="00683FF0">
              <w:t>i</w:t>
            </w:r>
            <w:r w:rsidR="26E9CC5A" w:rsidRPr="00683FF0">
              <w:t>ndustry</w:t>
            </w:r>
            <w:r w:rsidR="00BE21C0" w:rsidRPr="00683FF0">
              <w:t>,</w:t>
            </w:r>
            <w:r w:rsidR="26E9CC5A" w:rsidRPr="00683FF0">
              <w:t xml:space="preserve"> </w:t>
            </w:r>
            <w:r w:rsidR="00BE21C0" w:rsidRPr="00683FF0">
              <w:t>a</w:t>
            </w:r>
            <w:r w:rsidR="26E9CC5A" w:rsidRPr="00683FF0">
              <w:t xml:space="preserve">ction </w:t>
            </w:r>
            <w:r w:rsidR="00FA4F93" w:rsidRPr="00683FF0">
              <w:t>11.</w:t>
            </w:r>
            <w:r w:rsidR="26E9CC5A" w:rsidRPr="00683FF0">
              <w:t>3.1).</w:t>
            </w:r>
          </w:p>
          <w:p w14:paraId="5A271FA0" w14:textId="1E518655" w:rsidR="00D1668C" w:rsidRPr="00683FF0" w:rsidRDefault="2A34F2A1" w:rsidP="00DB7229">
            <w:pPr>
              <w:pStyle w:val="TableText"/>
              <w:spacing w:after="40"/>
              <w:rPr>
                <w:rFonts w:cstheme="minorHAnsi"/>
              </w:rPr>
            </w:pPr>
            <w:r w:rsidRPr="00683FF0">
              <w:rPr>
                <w:b/>
                <w:bCs/>
              </w:rPr>
              <w:t xml:space="preserve">20.1e.I. </w:t>
            </w:r>
            <w:r w:rsidR="7C1694FF" w:rsidRPr="00683FF0">
              <w:rPr>
                <w:b/>
                <w:bCs/>
              </w:rPr>
              <w:t>The Government agrees in principle with this recommendation.</w:t>
            </w:r>
            <w:r w:rsidRPr="00683FF0">
              <w:rPr>
                <w:b/>
                <w:bCs/>
              </w:rPr>
              <w:t xml:space="preserve"> </w:t>
            </w:r>
            <w:r w:rsidR="1C62ED5C" w:rsidRPr="00683FF0">
              <w:t>An energy strategy will be developed in full collaboration and engagement with Māori (</w:t>
            </w:r>
            <w:r w:rsidR="00E36FB3" w:rsidRPr="00683FF0">
              <w:t>c</w:t>
            </w:r>
            <w:r w:rsidR="1C62ED5C" w:rsidRPr="00683FF0">
              <w:t>hapter 11</w:t>
            </w:r>
            <w:r w:rsidR="00E36FB3" w:rsidRPr="00683FF0">
              <w:t>:</w:t>
            </w:r>
            <w:r w:rsidR="1C62ED5C" w:rsidRPr="00683FF0">
              <w:t xml:space="preserve"> Energy and </w:t>
            </w:r>
            <w:r w:rsidR="00E36FB3" w:rsidRPr="00683FF0">
              <w:t>i</w:t>
            </w:r>
            <w:r w:rsidR="1C62ED5C" w:rsidRPr="00683FF0">
              <w:t>ndustry</w:t>
            </w:r>
            <w:r w:rsidR="00E36FB3" w:rsidRPr="00683FF0">
              <w:t>,</w:t>
            </w:r>
            <w:r w:rsidR="1C62ED5C" w:rsidRPr="00683FF0">
              <w:t xml:space="preserve"> </w:t>
            </w:r>
            <w:r w:rsidR="00E36FB3" w:rsidRPr="00683FF0">
              <w:t>a</w:t>
            </w:r>
            <w:r w:rsidR="1C62ED5C" w:rsidRPr="00683FF0">
              <w:t xml:space="preserve">ction </w:t>
            </w:r>
            <w:r w:rsidR="00FA4F93" w:rsidRPr="00683FF0">
              <w:t>11.</w:t>
            </w:r>
            <w:r w:rsidR="1C62ED5C" w:rsidRPr="00683FF0">
              <w:t>5.2).</w:t>
            </w:r>
          </w:p>
          <w:p w14:paraId="5EFB362E" w14:textId="194D09D9" w:rsidR="002C0465" w:rsidRPr="00683FF0" w:rsidRDefault="09E332AB" w:rsidP="00DB7229">
            <w:pPr>
              <w:pStyle w:val="TableText"/>
              <w:spacing w:after="40"/>
            </w:pPr>
            <w:r w:rsidRPr="00683FF0">
              <w:rPr>
                <w:b/>
                <w:bCs/>
              </w:rPr>
              <w:t xml:space="preserve">20.1e.II. </w:t>
            </w:r>
            <w:r w:rsidR="497ECC77" w:rsidRPr="00683FF0">
              <w:rPr>
                <w:b/>
                <w:bCs/>
              </w:rPr>
              <w:t>The Government agrees with this recommendation.</w:t>
            </w:r>
            <w:r w:rsidRPr="00683FF0">
              <w:rPr>
                <w:b/>
                <w:bCs/>
              </w:rPr>
              <w:t xml:space="preserve"> </w:t>
            </w:r>
            <w:r w:rsidR="26E9CC5A" w:rsidRPr="00683FF0">
              <w:t>An energy strategy will be developed in collaboration with industry stakeholders (</w:t>
            </w:r>
            <w:r w:rsidR="00A8041E" w:rsidRPr="00683FF0">
              <w:t>c</w:t>
            </w:r>
            <w:r w:rsidR="26E9CC5A" w:rsidRPr="00683FF0">
              <w:t>hapter 11</w:t>
            </w:r>
            <w:r w:rsidR="00A8041E" w:rsidRPr="00683FF0">
              <w:t>:</w:t>
            </w:r>
            <w:r w:rsidR="26E9CC5A" w:rsidRPr="00683FF0">
              <w:t xml:space="preserve"> Energy and </w:t>
            </w:r>
            <w:r w:rsidR="00A8041E" w:rsidRPr="00683FF0">
              <w:t>i</w:t>
            </w:r>
            <w:r w:rsidR="26E9CC5A" w:rsidRPr="00683FF0">
              <w:t>ndustry</w:t>
            </w:r>
            <w:r w:rsidR="00A8041E" w:rsidRPr="00683FF0">
              <w:t>,</w:t>
            </w:r>
            <w:r w:rsidR="26E9CC5A" w:rsidRPr="00683FF0">
              <w:t xml:space="preserve"> </w:t>
            </w:r>
            <w:r w:rsidR="00A8041E" w:rsidRPr="00683FF0">
              <w:t>a</w:t>
            </w:r>
            <w:r w:rsidR="26E9CC5A" w:rsidRPr="00683FF0">
              <w:t xml:space="preserve">ction </w:t>
            </w:r>
            <w:r w:rsidR="00FA4F93" w:rsidRPr="00683FF0">
              <w:t>11.</w:t>
            </w:r>
            <w:r w:rsidR="26E9CC5A" w:rsidRPr="00683FF0">
              <w:t>5.2).</w:t>
            </w:r>
          </w:p>
        </w:tc>
      </w:tr>
      <w:tr w:rsidR="006B3867" w:rsidRPr="00683FF0" w14:paraId="0F894511" w14:textId="77777777" w:rsidTr="002D7558">
        <w:tc>
          <w:tcPr>
            <w:tcW w:w="4111" w:type="dxa"/>
          </w:tcPr>
          <w:p w14:paraId="374F1459" w14:textId="72B0E0FC" w:rsidR="006B3867" w:rsidRPr="00683FF0" w:rsidRDefault="0066435F" w:rsidP="006A0DF4">
            <w:pPr>
              <w:pStyle w:val="TableText"/>
            </w:pPr>
            <w:r w:rsidRPr="00683FF0">
              <w:lastRenderedPageBreak/>
              <w:t>20.</w:t>
            </w:r>
            <w:r w:rsidR="007563EA" w:rsidRPr="00683FF0">
              <w:t>2</w:t>
            </w:r>
            <w:r w:rsidR="00F5393F" w:rsidRPr="00683FF0">
              <w:t>.</w:t>
            </w:r>
            <w:r w:rsidR="00A2543F" w:rsidRPr="00683FF0">
              <w:t xml:space="preserve"> Scaling up of investment in energy efficiency to reduce the amount of energy produced and improve energy affordability.</w:t>
            </w:r>
          </w:p>
        </w:tc>
        <w:tc>
          <w:tcPr>
            <w:tcW w:w="4394" w:type="dxa"/>
          </w:tcPr>
          <w:p w14:paraId="320E1265" w14:textId="74ED5E6A" w:rsidR="00436AC1" w:rsidRPr="00683FF0" w:rsidRDefault="006852C3" w:rsidP="00DB7229">
            <w:pPr>
              <w:pStyle w:val="TableText"/>
              <w:spacing w:after="40"/>
            </w:pPr>
            <w:r w:rsidRPr="00683FF0">
              <w:rPr>
                <w:b/>
                <w:bCs/>
              </w:rPr>
              <w:t xml:space="preserve">20.2. </w:t>
            </w:r>
            <w:r w:rsidR="00A21BD7" w:rsidRPr="00683FF0">
              <w:rPr>
                <w:b/>
                <w:bCs/>
              </w:rPr>
              <w:t>The Government agrees with this recommendation.</w:t>
            </w:r>
            <w:r w:rsidR="00436AC1" w:rsidRPr="00683FF0">
              <w:t xml:space="preserve"> </w:t>
            </w:r>
            <w:r w:rsidR="62FA3E98" w:rsidRPr="00683FF0">
              <w:t xml:space="preserve">There is significant activity underway to invest in energy efficiency including through </w:t>
            </w:r>
            <w:r w:rsidR="008B34A5" w:rsidRPr="00683FF0">
              <w:t>the Energy Efficiency and Conservatio</w:t>
            </w:r>
            <w:r w:rsidR="006A7DF3" w:rsidRPr="00683FF0">
              <w:t>n</w:t>
            </w:r>
            <w:r w:rsidR="008B34A5" w:rsidRPr="00683FF0">
              <w:t xml:space="preserve"> Authority’s (</w:t>
            </w:r>
            <w:r w:rsidR="62FA3E98" w:rsidRPr="00683FF0">
              <w:t>EECA’s</w:t>
            </w:r>
            <w:r w:rsidR="008B34A5" w:rsidRPr="00683FF0">
              <w:t>)</w:t>
            </w:r>
            <w:r w:rsidR="62FA3E98" w:rsidRPr="00683FF0">
              <w:t xml:space="preserve"> business and household support programmes, the Government Investment in Decarbonising Industry (GIDI) </w:t>
            </w:r>
            <w:r w:rsidR="00850FCA" w:rsidRPr="00683FF0">
              <w:t>f</w:t>
            </w:r>
            <w:r w:rsidR="62FA3E98" w:rsidRPr="00683FF0">
              <w:t>und and the State Sector Decarbonisation Fund.</w:t>
            </w:r>
          </w:p>
          <w:p w14:paraId="6A3520FD" w14:textId="1864BFFA" w:rsidR="00436AC1" w:rsidRPr="00683FF0" w:rsidRDefault="62FA3E98" w:rsidP="00DB7229">
            <w:pPr>
              <w:pStyle w:val="TableText"/>
              <w:spacing w:after="40"/>
            </w:pPr>
            <w:r w:rsidRPr="00683FF0">
              <w:t>Warmer Kiwi Homes offers insulation and heating grants to homeowners</w:t>
            </w:r>
            <w:r w:rsidR="006A7DF3" w:rsidRPr="00683FF0">
              <w:t xml:space="preserve"> who </w:t>
            </w:r>
            <w:r w:rsidRPr="00683FF0">
              <w:t>either</w:t>
            </w:r>
            <w:r w:rsidR="006A7DF3" w:rsidRPr="00683FF0">
              <w:t xml:space="preserve"> are</w:t>
            </w:r>
            <w:r w:rsidRPr="00683FF0">
              <w:t xml:space="preserve"> living in areas identified as low income or </w:t>
            </w:r>
            <w:r w:rsidR="006A7DF3" w:rsidRPr="00683FF0">
              <w:t xml:space="preserve">have </w:t>
            </w:r>
            <w:r w:rsidRPr="00683FF0">
              <w:t>community services cards</w:t>
            </w:r>
            <w:r w:rsidR="006A7DF3" w:rsidRPr="00683FF0">
              <w:t>.</w:t>
            </w:r>
            <w:r w:rsidRPr="00683FF0">
              <w:t xml:space="preserve"> </w:t>
            </w:r>
            <w:r w:rsidR="006A7DF3" w:rsidRPr="00683FF0">
              <w:t>A</w:t>
            </w:r>
            <w:r w:rsidRPr="00683FF0">
              <w:t>dditional funding for this programme was provided as part of Budgets 2021 and 2022.</w:t>
            </w:r>
          </w:p>
          <w:p w14:paraId="04CBDBEE" w14:textId="520C7464" w:rsidR="006A7DF3" w:rsidRPr="00683FF0" w:rsidRDefault="62FA3E98" w:rsidP="00DB7229">
            <w:pPr>
              <w:pStyle w:val="TableText"/>
              <w:spacing w:after="40"/>
            </w:pPr>
            <w:r w:rsidRPr="00683FF0">
              <w:t>National Direction for Industrial Greenhouse Gas Emissions will improve energy efficiency by requiring industrial process heat users</w:t>
            </w:r>
            <w:r w:rsidR="009555A3" w:rsidRPr="00683FF0">
              <w:t>, when</w:t>
            </w:r>
            <w:r w:rsidRPr="00683FF0">
              <w:t xml:space="preserve"> renewing their consents</w:t>
            </w:r>
            <w:r w:rsidR="009555A3" w:rsidRPr="00683FF0">
              <w:t>,</w:t>
            </w:r>
            <w:r w:rsidRPr="00683FF0">
              <w:t xml:space="preserve"> to use best available techniques in their processes and to develop transition plans for their fossil fuel process heat.</w:t>
            </w:r>
          </w:p>
          <w:p w14:paraId="199D4B4D" w14:textId="2578A997" w:rsidR="006B3867" w:rsidRPr="00683FF0" w:rsidRDefault="62FA3E98" w:rsidP="00DB7229">
            <w:pPr>
              <w:pStyle w:val="TableText"/>
              <w:spacing w:after="40"/>
            </w:pPr>
            <w:r w:rsidRPr="00683FF0">
              <w:t>An amendment to the Energy Efficiency (Energy</w:t>
            </w:r>
            <w:r w:rsidR="009555A3" w:rsidRPr="00683FF0">
              <w:t xml:space="preserve"> </w:t>
            </w:r>
            <w:r w:rsidRPr="00683FF0">
              <w:t>Using Products) Regulations 2002 is underway</w:t>
            </w:r>
            <w:r w:rsidR="006852C3" w:rsidRPr="00683FF0">
              <w:t xml:space="preserve"> for the following products</w:t>
            </w:r>
            <w:r w:rsidRPr="00683FF0">
              <w:t xml:space="preserve">: clothes washers and dryers, dishwashers, domestic refrigeration, air conditioners and electric motors. </w:t>
            </w:r>
          </w:p>
          <w:p w14:paraId="40E82AD0" w14:textId="341D1641" w:rsidR="009555A3" w:rsidRPr="00683FF0" w:rsidRDefault="51B3E0CB" w:rsidP="00DB7229">
            <w:pPr>
              <w:pStyle w:val="TableText"/>
              <w:spacing w:after="40"/>
            </w:pPr>
            <w:r w:rsidRPr="00683FF0">
              <w:t xml:space="preserve">Public consultation concluded in </w:t>
            </w:r>
            <w:r w:rsidR="07105CFB" w:rsidRPr="00683FF0">
              <w:t>July</w:t>
            </w:r>
            <w:r w:rsidRPr="00683FF0">
              <w:t xml:space="preserve"> 2021 on a range of proposals to enhance the energy efficiency regulatory system for products and services. The Government is now preparing policy packages to implement the proposals from this consultation.</w:t>
            </w:r>
          </w:p>
          <w:p w14:paraId="6FCC669B" w14:textId="2B9A7E67" w:rsidR="0066435F" w:rsidRPr="00683FF0" w:rsidRDefault="51B3E0CB" w:rsidP="00DB7229">
            <w:pPr>
              <w:pStyle w:val="TableText"/>
              <w:spacing w:after="40"/>
            </w:pPr>
            <w:r w:rsidRPr="00683FF0">
              <w:t>The Electricity Authority also has a number of projects that align with this recommendation</w:t>
            </w:r>
            <w:r w:rsidR="007F3657" w:rsidRPr="00683FF0">
              <w:t>. These</w:t>
            </w:r>
            <w:r w:rsidRPr="00683FF0">
              <w:t xml:space="preserve"> includ</w:t>
            </w:r>
            <w:r w:rsidR="007F3657" w:rsidRPr="00683FF0">
              <w:t>e</w:t>
            </w:r>
            <w:r w:rsidRPr="00683FF0">
              <w:t xml:space="preserve"> projects to address critical current and emerging issues on distribution networks and develop options to address them, implement real-time pricing, and progress reform towards efficient distribution pricing</w:t>
            </w:r>
            <w:r w:rsidR="007F3657" w:rsidRPr="00683FF0">
              <w:t xml:space="preserve"> </w:t>
            </w:r>
            <w:r w:rsidR="1C62ED5C" w:rsidRPr="00683FF0">
              <w:t>(</w:t>
            </w:r>
            <w:r w:rsidR="007F3657" w:rsidRPr="00683FF0">
              <w:t>c</w:t>
            </w:r>
            <w:r w:rsidR="1C62ED5C" w:rsidRPr="00683FF0">
              <w:t>hapter 11</w:t>
            </w:r>
            <w:r w:rsidR="007F3657" w:rsidRPr="00683FF0">
              <w:t>:</w:t>
            </w:r>
            <w:r w:rsidR="1C62ED5C" w:rsidRPr="00683FF0">
              <w:t xml:space="preserve"> Energy and </w:t>
            </w:r>
            <w:r w:rsidR="007F3657" w:rsidRPr="00683FF0">
              <w:t>i</w:t>
            </w:r>
            <w:r w:rsidR="1C62ED5C" w:rsidRPr="00683FF0">
              <w:t>ndustry</w:t>
            </w:r>
            <w:r w:rsidR="007F3657" w:rsidRPr="00683FF0">
              <w:t>,</w:t>
            </w:r>
            <w:r w:rsidR="1C62ED5C" w:rsidRPr="00683FF0">
              <w:t xml:space="preserve"> </w:t>
            </w:r>
            <w:r w:rsidR="007F3657" w:rsidRPr="00683FF0">
              <w:t>a</w:t>
            </w:r>
            <w:r w:rsidR="1C62ED5C" w:rsidRPr="00683FF0">
              <w:t xml:space="preserve">ctions </w:t>
            </w:r>
            <w:r w:rsidR="00F63E9D" w:rsidRPr="00683FF0">
              <w:t>11.</w:t>
            </w:r>
            <w:r w:rsidR="1C62ED5C" w:rsidRPr="00683FF0">
              <w:t xml:space="preserve">1.1, </w:t>
            </w:r>
            <w:r w:rsidR="00F63E9D" w:rsidRPr="00683FF0">
              <w:t>11.</w:t>
            </w:r>
            <w:r w:rsidR="1C62ED5C" w:rsidRPr="00683FF0">
              <w:t xml:space="preserve">2.3, </w:t>
            </w:r>
            <w:r w:rsidR="00F63E9D" w:rsidRPr="00683FF0">
              <w:t>11.</w:t>
            </w:r>
            <w:r w:rsidR="1C62ED5C" w:rsidRPr="00683FF0">
              <w:t>4.1).</w:t>
            </w:r>
          </w:p>
        </w:tc>
      </w:tr>
      <w:tr w:rsidR="006B3867" w:rsidRPr="00683FF0" w14:paraId="230AFEB9" w14:textId="77777777" w:rsidTr="002D7558">
        <w:tc>
          <w:tcPr>
            <w:tcW w:w="4111" w:type="dxa"/>
          </w:tcPr>
          <w:p w14:paraId="2355B01C" w14:textId="5BD9DC9E" w:rsidR="00A2543F" w:rsidRPr="00683FF0" w:rsidRDefault="0066435F" w:rsidP="00DB7229">
            <w:pPr>
              <w:pStyle w:val="TableText"/>
              <w:spacing w:before="40"/>
            </w:pPr>
            <w:r w:rsidRPr="00683FF0">
              <w:t>20.</w:t>
            </w:r>
            <w:r w:rsidR="007563EA" w:rsidRPr="00683FF0">
              <w:t>3</w:t>
            </w:r>
            <w:r w:rsidR="003F262A" w:rsidRPr="00683FF0">
              <w:t xml:space="preserve">. </w:t>
            </w:r>
            <w:r w:rsidR="00A2543F" w:rsidRPr="00683FF0">
              <w:t xml:space="preserve">Supporting the evolution to a low-emissions electricity system fit for technology evolution. This should include work to increase the participation of distributed energy resources including demand response, and determining whether lines companies can integrate new technologies, platforms and business models by: </w:t>
            </w:r>
          </w:p>
          <w:p w14:paraId="45867292" w14:textId="7992E363" w:rsidR="00A2543F" w:rsidRPr="00683FF0" w:rsidRDefault="00A2543F" w:rsidP="00D21268">
            <w:pPr>
              <w:pStyle w:val="TableText"/>
              <w:numPr>
                <w:ilvl w:val="0"/>
                <w:numId w:val="30"/>
              </w:numPr>
              <w:spacing w:before="0"/>
              <w:ind w:left="284" w:hanging="284"/>
            </w:pPr>
            <w:r w:rsidRPr="00683FF0">
              <w:lastRenderedPageBreak/>
              <w:t xml:space="preserve">Assessing whether they have the necessary capacity and capabilities to support climate resilience and the transition. </w:t>
            </w:r>
          </w:p>
          <w:p w14:paraId="202B614A" w14:textId="6BC09AF8" w:rsidR="006B3867" w:rsidRPr="00683FF0" w:rsidRDefault="00A2543F" w:rsidP="00D21268">
            <w:pPr>
              <w:pStyle w:val="TableText"/>
              <w:numPr>
                <w:ilvl w:val="0"/>
                <w:numId w:val="30"/>
              </w:numPr>
              <w:spacing w:before="0"/>
              <w:ind w:left="284" w:hanging="284"/>
              <w:rPr>
                <w:szCs w:val="18"/>
              </w:rPr>
            </w:pPr>
            <w:r w:rsidRPr="00683FF0">
              <w:t>Evaluating whether the current regulatory environment and ownership structures of lines companies are fit for future needs.</w:t>
            </w:r>
          </w:p>
        </w:tc>
        <w:tc>
          <w:tcPr>
            <w:tcW w:w="4394" w:type="dxa"/>
          </w:tcPr>
          <w:p w14:paraId="59D63803" w14:textId="4D8E4165" w:rsidR="004F67DD" w:rsidRPr="00683FF0" w:rsidRDefault="006852C3" w:rsidP="00897A5C">
            <w:pPr>
              <w:pStyle w:val="TableText"/>
              <w:spacing w:before="40" w:after="40"/>
            </w:pPr>
            <w:r w:rsidRPr="00683FF0">
              <w:rPr>
                <w:b/>
                <w:bCs/>
              </w:rPr>
              <w:lastRenderedPageBreak/>
              <w:t xml:space="preserve">20.3. </w:t>
            </w:r>
            <w:r w:rsidR="00A21BD7" w:rsidRPr="00683FF0">
              <w:rPr>
                <w:b/>
                <w:bCs/>
              </w:rPr>
              <w:t>The Government agrees with th</w:t>
            </w:r>
            <w:r w:rsidR="003F262A" w:rsidRPr="00683FF0">
              <w:rPr>
                <w:b/>
                <w:bCs/>
              </w:rPr>
              <w:t xml:space="preserve">is </w:t>
            </w:r>
            <w:r w:rsidR="00A21BD7" w:rsidRPr="00683FF0">
              <w:rPr>
                <w:b/>
                <w:bCs/>
              </w:rPr>
              <w:t>recommendation.</w:t>
            </w:r>
            <w:r w:rsidR="00F5393F" w:rsidRPr="00683FF0">
              <w:t xml:space="preserve"> </w:t>
            </w:r>
            <w:r w:rsidR="0066435F" w:rsidRPr="00683FF0">
              <w:t xml:space="preserve">The Electricity Authority and the Commerce Commission have sought feedback on issues relating to the best regulatory environment for the distribution sector to invest efficiently </w:t>
            </w:r>
            <w:r w:rsidR="00F5393F" w:rsidRPr="00683FF0">
              <w:t xml:space="preserve">in ways that </w:t>
            </w:r>
            <w:r w:rsidR="0066435F" w:rsidRPr="00683FF0">
              <w:t xml:space="preserve">support the transition to a low-emissions system. </w:t>
            </w:r>
            <w:r w:rsidR="003F262A" w:rsidRPr="00683FF0">
              <w:t xml:space="preserve">The </w:t>
            </w:r>
            <w:r w:rsidR="0066435F" w:rsidRPr="00683FF0">
              <w:t xml:space="preserve">Government is also addressing other potential barriers to connection of more renewable electricity generation and new demand </w:t>
            </w:r>
            <w:r w:rsidR="0017622E" w:rsidRPr="00683FF0">
              <w:t xml:space="preserve">for </w:t>
            </w:r>
            <w:r w:rsidR="0066435F" w:rsidRPr="00683FF0">
              <w:t xml:space="preserve">the electricity transmission and </w:t>
            </w:r>
            <w:r w:rsidR="0066435F" w:rsidRPr="00683FF0">
              <w:lastRenderedPageBreak/>
              <w:t>distribution networks, to ensure settings enable independent and distributed generation.</w:t>
            </w:r>
          </w:p>
          <w:p w14:paraId="6D63B36E" w14:textId="05F7415B" w:rsidR="0066435F" w:rsidRPr="00683FF0" w:rsidRDefault="51B3E0CB" w:rsidP="00897A5C">
            <w:pPr>
              <w:pStyle w:val="TableText"/>
              <w:spacing w:after="40"/>
            </w:pPr>
            <w:r w:rsidRPr="00683FF0">
              <w:t xml:space="preserve">Other Electricity Authority </w:t>
            </w:r>
            <w:r w:rsidR="0017622E" w:rsidRPr="00683FF0">
              <w:t>p</w:t>
            </w:r>
            <w:r w:rsidRPr="00683FF0">
              <w:t xml:space="preserve">rojects that address this recommendation include: </w:t>
            </w:r>
          </w:p>
          <w:p w14:paraId="3B3A9950" w14:textId="799302F7" w:rsidR="0066435F" w:rsidRPr="00683FF0" w:rsidRDefault="51B3E0CB" w:rsidP="00897A5C">
            <w:pPr>
              <w:pStyle w:val="TableBullet"/>
              <w:spacing w:after="40"/>
            </w:pPr>
            <w:r w:rsidRPr="00683FF0">
              <w:t>Market Development Advisory Group project on market operation and investment with 100% renewable electricity</w:t>
            </w:r>
          </w:p>
          <w:p w14:paraId="44237773" w14:textId="51A28F0C" w:rsidR="0066435F" w:rsidRPr="00683FF0" w:rsidRDefault="00454F7F" w:rsidP="00897A5C">
            <w:pPr>
              <w:pStyle w:val="TableBullet"/>
              <w:spacing w:after="40"/>
            </w:pPr>
            <w:r w:rsidRPr="00683FF0">
              <w:t>i</w:t>
            </w:r>
            <w:r w:rsidR="51B3E0CB" w:rsidRPr="00683FF0">
              <w:t>mplement</w:t>
            </w:r>
            <w:r w:rsidRPr="00683FF0">
              <w:t>ing</w:t>
            </w:r>
            <w:r w:rsidR="51B3E0CB" w:rsidRPr="00683FF0">
              <w:t xml:space="preserve"> real-time wholesale electricity pricing</w:t>
            </w:r>
          </w:p>
          <w:p w14:paraId="5F00F4A9" w14:textId="484294CE" w:rsidR="0066435F" w:rsidRPr="00683FF0" w:rsidRDefault="00454F7F" w:rsidP="00897A5C">
            <w:pPr>
              <w:pStyle w:val="TableBullet"/>
              <w:spacing w:after="40"/>
            </w:pPr>
            <w:r w:rsidRPr="00683FF0">
              <w:t xml:space="preserve">Electricity Authority </w:t>
            </w:r>
            <w:r w:rsidR="51B3E0CB" w:rsidRPr="00683FF0">
              <w:t>and Transpower investigat</w:t>
            </w:r>
            <w:r w:rsidRPr="00683FF0">
              <w:t>ing</w:t>
            </w:r>
            <w:r w:rsidR="51B3E0CB" w:rsidRPr="00683FF0">
              <w:t xml:space="preserve"> future electricity system security and resilience</w:t>
            </w:r>
          </w:p>
          <w:p w14:paraId="7F4EF9E0" w14:textId="44FA2081" w:rsidR="004F67DD" w:rsidRPr="00683FF0" w:rsidRDefault="00454F7F" w:rsidP="00897A5C">
            <w:pPr>
              <w:pStyle w:val="TableBullet"/>
              <w:spacing w:after="40"/>
            </w:pPr>
            <w:r w:rsidRPr="00683FF0">
              <w:t>i</w:t>
            </w:r>
            <w:r w:rsidR="51B3E0CB" w:rsidRPr="00683FF0">
              <w:t>dentify</w:t>
            </w:r>
            <w:r w:rsidRPr="00683FF0">
              <w:t>ing</w:t>
            </w:r>
            <w:r w:rsidR="51B3E0CB" w:rsidRPr="00683FF0">
              <w:t xml:space="preserve"> the critical current and emerging issues on the distribution network, and develop</w:t>
            </w:r>
            <w:r w:rsidRPr="00683FF0">
              <w:t>ing</w:t>
            </w:r>
            <w:r w:rsidR="51B3E0CB" w:rsidRPr="00683FF0">
              <w:t xml:space="preserve"> a range of options to address them</w:t>
            </w:r>
          </w:p>
          <w:p w14:paraId="557D08C2" w14:textId="4ABDD84B" w:rsidR="004F67DD" w:rsidRPr="00683FF0" w:rsidRDefault="00454F7F" w:rsidP="00897A5C">
            <w:pPr>
              <w:pStyle w:val="TableBullet"/>
              <w:spacing w:after="40"/>
            </w:pPr>
            <w:r w:rsidRPr="00683FF0">
              <w:rPr>
                <w:rFonts w:cstheme="minorHAnsi"/>
              </w:rPr>
              <w:t>p</w:t>
            </w:r>
            <w:r w:rsidR="0066435F" w:rsidRPr="00683FF0">
              <w:rPr>
                <w:rFonts w:cstheme="minorHAnsi"/>
              </w:rPr>
              <w:t>rogress</w:t>
            </w:r>
            <w:r w:rsidRPr="00683FF0">
              <w:rPr>
                <w:rFonts w:cstheme="minorHAnsi"/>
              </w:rPr>
              <w:t>ing</w:t>
            </w:r>
            <w:r w:rsidR="0066435F" w:rsidRPr="00683FF0">
              <w:rPr>
                <w:rFonts w:cstheme="minorHAnsi"/>
              </w:rPr>
              <w:t xml:space="preserve"> the Open Networks technical standards to support the uptake of new technology on distribution networks</w:t>
            </w:r>
          </w:p>
          <w:p w14:paraId="0A43CAAE" w14:textId="05F7AE36" w:rsidR="004F67DD" w:rsidRPr="00683FF0" w:rsidRDefault="00462DFF" w:rsidP="00897A5C">
            <w:pPr>
              <w:pStyle w:val="TableBullet"/>
              <w:spacing w:after="40"/>
            </w:pPr>
            <w:r w:rsidRPr="00683FF0">
              <w:rPr>
                <w:rFonts w:cstheme="minorHAnsi"/>
              </w:rPr>
              <w:t>d</w:t>
            </w:r>
            <w:r w:rsidR="0066435F" w:rsidRPr="00683FF0">
              <w:rPr>
                <w:rFonts w:cstheme="minorHAnsi"/>
              </w:rPr>
              <w:t>evelop</w:t>
            </w:r>
            <w:r w:rsidRPr="00683FF0">
              <w:rPr>
                <w:rFonts w:cstheme="minorHAnsi"/>
              </w:rPr>
              <w:t>ing</w:t>
            </w:r>
            <w:r w:rsidR="0066435F" w:rsidRPr="00683FF0">
              <w:rPr>
                <w:rFonts w:cstheme="minorHAnsi"/>
              </w:rPr>
              <w:t xml:space="preserve"> and implement</w:t>
            </w:r>
            <w:r w:rsidRPr="00683FF0">
              <w:rPr>
                <w:rFonts w:cstheme="minorHAnsi"/>
              </w:rPr>
              <w:t>ing</w:t>
            </w:r>
            <w:r w:rsidR="0066435F" w:rsidRPr="00683FF0">
              <w:rPr>
                <w:rFonts w:cstheme="minorHAnsi"/>
              </w:rPr>
              <w:t xml:space="preserve"> a new transmission pricing methodology</w:t>
            </w:r>
          </w:p>
          <w:p w14:paraId="574A1AD8" w14:textId="1AAA6080" w:rsidR="003F262A" w:rsidRPr="00683FF0" w:rsidRDefault="00462DFF" w:rsidP="00897A5C">
            <w:pPr>
              <w:pStyle w:val="TableBullet"/>
              <w:spacing w:after="40"/>
              <w:rPr>
                <w:szCs w:val="18"/>
              </w:rPr>
            </w:pPr>
            <w:r w:rsidRPr="00683FF0">
              <w:t>p</w:t>
            </w:r>
            <w:r w:rsidR="0066435F" w:rsidRPr="00683FF0">
              <w:t>rogress</w:t>
            </w:r>
            <w:r w:rsidRPr="00683FF0">
              <w:t>ing</w:t>
            </w:r>
            <w:r w:rsidR="0066435F" w:rsidRPr="00683FF0">
              <w:t xml:space="preserve"> reform towards efficient distribution pricing</w:t>
            </w:r>
            <w:r w:rsidR="004F67DD" w:rsidRPr="00683FF0">
              <w:t>.</w:t>
            </w:r>
          </w:p>
          <w:p w14:paraId="3B400BA1" w14:textId="3C6446BE" w:rsidR="004F67DD" w:rsidRPr="00683FF0" w:rsidRDefault="004F67DD" w:rsidP="00897A5C">
            <w:pPr>
              <w:pStyle w:val="TableText"/>
              <w:spacing w:after="40"/>
              <w:rPr>
                <w:b/>
                <w:bCs/>
              </w:rPr>
            </w:pPr>
            <w:r w:rsidRPr="00683FF0">
              <w:t>T</w:t>
            </w:r>
            <w:r w:rsidR="0066435F" w:rsidRPr="00683FF0">
              <w:t xml:space="preserve">he Commerce Commission is exploring the impact of decarbonisation on the </w:t>
            </w:r>
            <w:r w:rsidR="1DD2B3F9" w:rsidRPr="00683FF0">
              <w:t>regulation of industries under Part 4 of the Commerce Act</w:t>
            </w:r>
            <w:r w:rsidR="00536408" w:rsidRPr="00683FF0">
              <w:t xml:space="preserve"> 1986</w:t>
            </w:r>
            <w:r w:rsidR="00462DFF" w:rsidRPr="00683FF0">
              <w:t>. This</w:t>
            </w:r>
            <w:r w:rsidR="0066435F" w:rsidRPr="00683FF0">
              <w:t xml:space="preserve"> follow</w:t>
            </w:r>
            <w:r w:rsidR="00462DFF" w:rsidRPr="00683FF0">
              <w:t>s</w:t>
            </w:r>
            <w:r w:rsidR="0066435F" w:rsidRPr="00683FF0">
              <w:t xml:space="preserve"> feedback on an open letter seeking views on how it should prioritise its work programme to help the energy sector address issues including the transition to a low-emissions economy</w:t>
            </w:r>
            <w:r w:rsidR="00462DFF" w:rsidRPr="00683FF0">
              <w:t xml:space="preserve"> </w:t>
            </w:r>
            <w:r w:rsidR="3FD60464" w:rsidRPr="00683FF0">
              <w:t>(</w:t>
            </w:r>
            <w:r w:rsidR="00462DFF" w:rsidRPr="00683FF0">
              <w:t>c</w:t>
            </w:r>
            <w:r w:rsidR="3FD60464" w:rsidRPr="00683FF0">
              <w:t>hapter 11</w:t>
            </w:r>
            <w:r w:rsidR="00462DFF" w:rsidRPr="00683FF0">
              <w:t>:</w:t>
            </w:r>
            <w:r w:rsidR="3FD60464" w:rsidRPr="00683FF0">
              <w:t xml:space="preserve"> Energy and </w:t>
            </w:r>
            <w:r w:rsidR="00462DFF" w:rsidRPr="00683FF0">
              <w:t>i</w:t>
            </w:r>
            <w:r w:rsidR="3FD60464" w:rsidRPr="00683FF0">
              <w:t>ndustry</w:t>
            </w:r>
            <w:r w:rsidR="00462DFF" w:rsidRPr="00683FF0">
              <w:t>,</w:t>
            </w:r>
            <w:r w:rsidR="3FD60464" w:rsidRPr="00683FF0">
              <w:t xml:space="preserve"> </w:t>
            </w:r>
            <w:r w:rsidR="00462DFF" w:rsidRPr="00683FF0">
              <w:t>a</w:t>
            </w:r>
            <w:r w:rsidR="3FD60464" w:rsidRPr="00683FF0">
              <w:t xml:space="preserve">ctions </w:t>
            </w:r>
            <w:r w:rsidR="00167969" w:rsidRPr="00683FF0">
              <w:t>11.</w:t>
            </w:r>
            <w:r w:rsidR="3FD60464" w:rsidRPr="00683FF0">
              <w:t>2.2</w:t>
            </w:r>
            <w:r w:rsidR="00462DFF" w:rsidRPr="00683FF0">
              <w:t>,</w:t>
            </w:r>
            <w:r w:rsidR="3FD60464" w:rsidRPr="00683FF0">
              <w:t xml:space="preserve"> </w:t>
            </w:r>
            <w:r w:rsidR="00167969" w:rsidRPr="00683FF0">
              <w:t>11.</w:t>
            </w:r>
            <w:r w:rsidR="3FD60464" w:rsidRPr="00683FF0">
              <w:t>2.3).</w:t>
            </w:r>
          </w:p>
        </w:tc>
      </w:tr>
      <w:tr w:rsidR="006B3867" w:rsidRPr="00683FF0" w14:paraId="75E048E9" w14:textId="77777777" w:rsidTr="002D7558">
        <w:tc>
          <w:tcPr>
            <w:tcW w:w="4111" w:type="dxa"/>
            <w:shd w:val="clear" w:color="auto" w:fill="FFFFFF" w:themeFill="background1"/>
          </w:tcPr>
          <w:p w14:paraId="77DAD3DF" w14:textId="66DD8CCB" w:rsidR="006B3867" w:rsidRPr="00683FF0" w:rsidRDefault="004F67DD" w:rsidP="008A6F77">
            <w:pPr>
              <w:pStyle w:val="TableText"/>
            </w:pPr>
            <w:r w:rsidRPr="00683FF0">
              <w:lastRenderedPageBreak/>
              <w:t>20.</w:t>
            </w:r>
            <w:r w:rsidR="007563EA" w:rsidRPr="00683FF0">
              <w:t>4</w:t>
            </w:r>
            <w:r w:rsidR="003F1EF7" w:rsidRPr="00683FF0">
              <w:t>.</w:t>
            </w:r>
            <w:r w:rsidR="000C00DE" w:rsidRPr="00683FF0">
              <w:t xml:space="preserve"> Designing regulatory settings that meet the needs of diverse communities, ensuring that they enable independent and distributed generation, especially for remote, rural and Māori communities.</w:t>
            </w:r>
          </w:p>
        </w:tc>
        <w:tc>
          <w:tcPr>
            <w:tcW w:w="4394" w:type="dxa"/>
            <w:shd w:val="clear" w:color="auto" w:fill="FFFFFF" w:themeFill="background1"/>
          </w:tcPr>
          <w:p w14:paraId="597B21E3" w14:textId="368DB028" w:rsidR="004F67DD" w:rsidRPr="00683FF0" w:rsidRDefault="00ED6D6D" w:rsidP="00897A5C">
            <w:pPr>
              <w:pStyle w:val="TableText"/>
              <w:spacing w:after="40"/>
            </w:pPr>
            <w:r w:rsidRPr="00683FF0">
              <w:rPr>
                <w:b/>
                <w:bCs/>
              </w:rPr>
              <w:t xml:space="preserve">20.4. </w:t>
            </w:r>
            <w:r w:rsidR="0091053B" w:rsidRPr="00683FF0">
              <w:rPr>
                <w:b/>
                <w:bCs/>
              </w:rPr>
              <w:t>The Government agrees with this recommendation.</w:t>
            </w:r>
            <w:r w:rsidR="00DB062B" w:rsidRPr="00683FF0">
              <w:t xml:space="preserve"> </w:t>
            </w:r>
            <w:r w:rsidR="78EF9AC0" w:rsidRPr="00683FF0">
              <w:t>Work already underway that responds to this recommendation includ</w:t>
            </w:r>
            <w:r w:rsidR="00DB062B" w:rsidRPr="00683FF0">
              <w:t>es the following.</w:t>
            </w:r>
          </w:p>
          <w:p w14:paraId="784A7249" w14:textId="6DFAB6E5" w:rsidR="004F67DD" w:rsidRPr="00683FF0" w:rsidRDefault="004B33FC" w:rsidP="00897A5C">
            <w:pPr>
              <w:pStyle w:val="TableBullet"/>
              <w:spacing w:after="40"/>
            </w:pPr>
            <w:r w:rsidRPr="00683FF0">
              <w:t>C</w:t>
            </w:r>
            <w:r w:rsidR="78EF9AC0" w:rsidRPr="00683FF0">
              <w:t xml:space="preserve">urrent national direction tools for enabling new </w:t>
            </w:r>
            <w:r w:rsidR="07FE9449" w:rsidRPr="00683FF0">
              <w:t xml:space="preserve">renewable </w:t>
            </w:r>
            <w:r w:rsidR="78EF9AC0" w:rsidRPr="00683FF0">
              <w:t>generation and electricity infrastructure</w:t>
            </w:r>
            <w:r w:rsidRPr="00683FF0">
              <w:t xml:space="preserve"> are being reviewed</w:t>
            </w:r>
            <w:r w:rsidR="78EF9AC0" w:rsidRPr="00683FF0">
              <w:t xml:space="preserve"> to determine whether and how resource consenting processes could be improved. This work will help to enable independent and distributed generation.</w:t>
            </w:r>
          </w:p>
          <w:p w14:paraId="3AC19318" w14:textId="7EEE64C6" w:rsidR="004F67DD" w:rsidRPr="00683FF0" w:rsidRDefault="004B33FC" w:rsidP="008A6F77">
            <w:pPr>
              <w:pStyle w:val="TableBullet"/>
            </w:pPr>
            <w:r w:rsidRPr="00683FF0">
              <w:t>The Māori</w:t>
            </w:r>
            <w:r w:rsidR="00036CF4" w:rsidRPr="00683FF0">
              <w:t xml:space="preserve"> and</w:t>
            </w:r>
            <w:r w:rsidRPr="00683FF0">
              <w:t xml:space="preserve"> </w:t>
            </w:r>
            <w:r w:rsidR="00036CF4" w:rsidRPr="00683FF0">
              <w:t xml:space="preserve">Public </w:t>
            </w:r>
            <w:r w:rsidRPr="00683FF0">
              <w:t xml:space="preserve">Housing Renewable Energy </w:t>
            </w:r>
            <w:r w:rsidR="00036CF4" w:rsidRPr="00683FF0">
              <w:t xml:space="preserve">Fund </w:t>
            </w:r>
            <w:r w:rsidRPr="00683FF0">
              <w:t>is s</w:t>
            </w:r>
            <w:r w:rsidR="78EF9AC0" w:rsidRPr="00683FF0">
              <w:t>upport</w:t>
            </w:r>
            <w:r w:rsidRPr="00683FF0">
              <w:t>ing the</w:t>
            </w:r>
            <w:r w:rsidR="78EF9AC0" w:rsidRPr="00683FF0">
              <w:t xml:space="preserve"> development of community </w:t>
            </w:r>
            <w:r w:rsidR="4DD00052" w:rsidRPr="00683FF0">
              <w:t xml:space="preserve">renewable </w:t>
            </w:r>
            <w:r w:rsidR="78EF9AC0" w:rsidRPr="00683FF0">
              <w:t>energy</w:t>
            </w:r>
            <w:r w:rsidR="003D2AF9" w:rsidRPr="00683FF0">
              <w:t xml:space="preserve"> generation</w:t>
            </w:r>
            <w:r w:rsidR="78EF9AC0" w:rsidRPr="00683FF0">
              <w:t>. Funding is available for installation of renewable technology such as solar panels and batteries</w:t>
            </w:r>
            <w:r w:rsidR="003D2AF9" w:rsidRPr="00683FF0">
              <w:t>. The</w:t>
            </w:r>
            <w:r w:rsidR="78EF9AC0" w:rsidRPr="00683FF0">
              <w:t xml:space="preserve"> aim</w:t>
            </w:r>
            <w:r w:rsidR="003D2AF9" w:rsidRPr="00683FF0">
              <w:t xml:space="preserve"> of this funding is</w:t>
            </w:r>
            <w:r w:rsidR="78EF9AC0" w:rsidRPr="00683FF0">
              <w:t xml:space="preserve"> to demonstrate innovative ways to reduce energy costs and deliver optimal low</w:t>
            </w:r>
            <w:r w:rsidR="003D2AF9" w:rsidRPr="00683FF0">
              <w:t>-</w:t>
            </w:r>
            <w:r w:rsidR="78EF9AC0" w:rsidRPr="00683FF0">
              <w:t xml:space="preserve">cost solutions at a community level that integrate with the local electricity network. </w:t>
            </w:r>
          </w:p>
          <w:p w14:paraId="073810C8" w14:textId="68705D90" w:rsidR="004F67DD" w:rsidRPr="00683FF0" w:rsidRDefault="78EF9AC0" w:rsidP="00897A5C">
            <w:pPr>
              <w:pStyle w:val="TableText"/>
              <w:spacing w:after="40"/>
            </w:pPr>
            <w:r w:rsidRPr="00683FF0">
              <w:t xml:space="preserve">Electricity Authority projects that align with the recommendations include: </w:t>
            </w:r>
          </w:p>
          <w:p w14:paraId="6580E7F2" w14:textId="39C247C9" w:rsidR="004F67DD" w:rsidRPr="00683FF0" w:rsidRDefault="003D2AF9" w:rsidP="00897A5C">
            <w:pPr>
              <w:pStyle w:val="TableBullet"/>
              <w:spacing w:after="40"/>
            </w:pPr>
            <w:r w:rsidRPr="00683FF0">
              <w:t>i</w:t>
            </w:r>
            <w:r w:rsidR="004F67DD" w:rsidRPr="00683FF0">
              <w:t>dentifying the critical current and emerging issues on the distribution network, and develop</w:t>
            </w:r>
            <w:r w:rsidRPr="00683FF0">
              <w:t>ing</w:t>
            </w:r>
            <w:r w:rsidR="004F67DD" w:rsidRPr="00683FF0">
              <w:t xml:space="preserve"> a range of options to address them</w:t>
            </w:r>
          </w:p>
          <w:p w14:paraId="20FF1BF5" w14:textId="032EB47B" w:rsidR="004F67DD" w:rsidRPr="00683FF0" w:rsidRDefault="003D2AF9" w:rsidP="008A6F77">
            <w:pPr>
              <w:pStyle w:val="TableBullet"/>
              <w:rPr>
                <w:b/>
                <w:bCs/>
              </w:rPr>
            </w:pPr>
            <w:r w:rsidRPr="00683FF0">
              <w:t>p</w:t>
            </w:r>
            <w:r w:rsidR="004F67DD" w:rsidRPr="00683FF0">
              <w:t>rogressing reform towards efficient distribution pricing</w:t>
            </w:r>
            <w:r w:rsidRPr="00683FF0">
              <w:t xml:space="preserve"> </w:t>
            </w:r>
            <w:r w:rsidR="3FD60464" w:rsidRPr="00683FF0">
              <w:t>(</w:t>
            </w:r>
            <w:r w:rsidRPr="00683FF0">
              <w:t>c</w:t>
            </w:r>
            <w:r w:rsidR="3FD60464" w:rsidRPr="00683FF0">
              <w:t>hapter 11</w:t>
            </w:r>
            <w:r w:rsidRPr="00683FF0">
              <w:t>:</w:t>
            </w:r>
            <w:r w:rsidR="3FD60464" w:rsidRPr="00683FF0">
              <w:t xml:space="preserve"> Energy and </w:t>
            </w:r>
            <w:r w:rsidRPr="00683FF0">
              <w:t>i</w:t>
            </w:r>
            <w:r w:rsidR="3FD60464" w:rsidRPr="00683FF0">
              <w:t>ndustry</w:t>
            </w:r>
            <w:r w:rsidRPr="00683FF0">
              <w:t>,</w:t>
            </w:r>
            <w:r w:rsidR="3FD60464" w:rsidRPr="00683FF0">
              <w:t xml:space="preserve"> </w:t>
            </w:r>
            <w:r w:rsidRPr="00683FF0">
              <w:t>a</w:t>
            </w:r>
            <w:r w:rsidR="3FD60464" w:rsidRPr="00683FF0">
              <w:t xml:space="preserve">ctions </w:t>
            </w:r>
            <w:r w:rsidR="00AF28AD" w:rsidRPr="00683FF0">
              <w:t>11.</w:t>
            </w:r>
            <w:r w:rsidR="3FD60464" w:rsidRPr="00683FF0">
              <w:t>2.1</w:t>
            </w:r>
            <w:r w:rsidRPr="00683FF0">
              <w:t>–</w:t>
            </w:r>
            <w:r w:rsidR="00AF28AD" w:rsidRPr="00683FF0">
              <w:t>11.</w:t>
            </w:r>
            <w:r w:rsidR="3FD60464" w:rsidRPr="00683FF0">
              <w:t>2.3).</w:t>
            </w:r>
          </w:p>
        </w:tc>
      </w:tr>
      <w:tr w:rsidR="006B3867" w:rsidRPr="00683FF0" w14:paraId="1C3FFCC6" w14:textId="77777777" w:rsidTr="002D7558">
        <w:tc>
          <w:tcPr>
            <w:tcW w:w="4111" w:type="dxa"/>
          </w:tcPr>
          <w:p w14:paraId="385A1AB7" w14:textId="42DCFE9E" w:rsidR="006B3867" w:rsidRPr="00683FF0" w:rsidRDefault="004F67DD" w:rsidP="00897A5C">
            <w:pPr>
              <w:pStyle w:val="TableText"/>
              <w:spacing w:before="40"/>
            </w:pPr>
            <w:r w:rsidRPr="00683FF0">
              <w:lastRenderedPageBreak/>
              <w:t>20.</w:t>
            </w:r>
            <w:r w:rsidR="007563EA" w:rsidRPr="00683FF0">
              <w:t>5</w:t>
            </w:r>
            <w:r w:rsidR="000625F9" w:rsidRPr="00683FF0">
              <w:t>.</w:t>
            </w:r>
            <w:r w:rsidR="000C00DE" w:rsidRPr="00683FF0">
              <w:t xml:space="preserve"> Enabling a fast-paced and sustained build of low-emissions electricity generation and infrastructure by ensuring resource management processes, other national and local government instruments, and settings for transmission and distribution investment decisions are aligned to the required pace for build.</w:t>
            </w:r>
          </w:p>
        </w:tc>
        <w:tc>
          <w:tcPr>
            <w:tcW w:w="4394" w:type="dxa"/>
          </w:tcPr>
          <w:p w14:paraId="1B998486" w14:textId="46476128" w:rsidR="00722273" w:rsidRPr="00683FF0" w:rsidRDefault="00ED6D6D" w:rsidP="00897A5C">
            <w:pPr>
              <w:pStyle w:val="TableText"/>
              <w:spacing w:before="40" w:after="40"/>
            </w:pPr>
            <w:r w:rsidRPr="00683FF0">
              <w:rPr>
                <w:b/>
                <w:bCs/>
              </w:rPr>
              <w:t xml:space="preserve">20.5. </w:t>
            </w:r>
            <w:r w:rsidR="0091053B" w:rsidRPr="00683FF0">
              <w:rPr>
                <w:b/>
                <w:bCs/>
              </w:rPr>
              <w:t>The Government agrees with this recommendation.</w:t>
            </w:r>
            <w:r w:rsidR="00722273" w:rsidRPr="00683FF0">
              <w:t xml:space="preserve"> Some of the w</w:t>
            </w:r>
            <w:r w:rsidR="78EF9AC0" w:rsidRPr="00683FF0">
              <w:t xml:space="preserve">ork underway that addresses this recommendation </w:t>
            </w:r>
            <w:r w:rsidR="00722273" w:rsidRPr="00683FF0">
              <w:t xml:space="preserve">is </w:t>
            </w:r>
            <w:r w:rsidR="78EF9AC0" w:rsidRPr="00683FF0">
              <w:t>outlined under</w:t>
            </w:r>
            <w:r w:rsidR="00722273" w:rsidRPr="00683FF0">
              <w:t xml:space="preserve"> the response to</w:t>
            </w:r>
            <w:r w:rsidR="78EF9AC0" w:rsidRPr="00683FF0">
              <w:t xml:space="preserve"> recommendation 20.4.</w:t>
            </w:r>
            <w:r w:rsidR="76396523" w:rsidRPr="00683FF0">
              <w:t xml:space="preserve"> </w:t>
            </w:r>
            <w:r w:rsidR="78EF9AC0" w:rsidRPr="00683FF0">
              <w:t xml:space="preserve">Additionally, work is underway to support the electricity </w:t>
            </w:r>
            <w:r w:rsidR="4DD00052" w:rsidRPr="00683FF0">
              <w:t>market</w:t>
            </w:r>
            <w:r w:rsidR="78EF9AC0" w:rsidRPr="00683FF0">
              <w:t xml:space="preserve"> to transition to 100</w:t>
            </w:r>
            <w:r w:rsidR="00A179EB" w:rsidRPr="00683FF0">
              <w:t>%</w:t>
            </w:r>
            <w:r w:rsidR="78EF9AC0" w:rsidRPr="00683FF0">
              <w:t xml:space="preserve"> renewable electricity through investigating the need for additional market mechanisms and regulations to support affordable and reliable electricity supply while accelerating the transition to a highly renewable electricity system.</w:t>
            </w:r>
          </w:p>
          <w:p w14:paraId="4ECC803E" w14:textId="771A4A69" w:rsidR="00DB1AE9" w:rsidRPr="00683FF0" w:rsidRDefault="78EF9AC0" w:rsidP="00897A5C">
            <w:pPr>
              <w:pStyle w:val="TableText"/>
              <w:spacing w:after="40"/>
            </w:pPr>
            <w:r w:rsidRPr="00683FF0">
              <w:t>Other work</w:t>
            </w:r>
            <w:r w:rsidR="00722273" w:rsidRPr="00683FF0">
              <w:t xml:space="preserve"> in progress</w:t>
            </w:r>
            <w:r w:rsidRPr="00683FF0">
              <w:t xml:space="preserve"> </w:t>
            </w:r>
            <w:r w:rsidR="00722273" w:rsidRPr="00683FF0">
              <w:t xml:space="preserve">is </w:t>
            </w:r>
            <w:r w:rsidRPr="00683FF0">
              <w:t>examin</w:t>
            </w:r>
            <w:r w:rsidR="00722273" w:rsidRPr="00683FF0">
              <w:t>ing</w:t>
            </w:r>
            <w:r w:rsidRPr="00683FF0">
              <w:t xml:space="preserve"> regulatory settings and potential barriers to connection of new renewable electricity generation and demand to the electricity transmission system</w:t>
            </w:r>
            <w:r w:rsidR="00722273" w:rsidRPr="00683FF0">
              <w:t>. This</w:t>
            </w:r>
            <w:r w:rsidRPr="00683FF0">
              <w:t xml:space="preserve"> includes:</w:t>
            </w:r>
          </w:p>
          <w:p w14:paraId="070010B9" w14:textId="56086CE8" w:rsidR="00DB1AE9" w:rsidRPr="00683FF0" w:rsidRDefault="00722273" w:rsidP="008A6F77">
            <w:pPr>
              <w:pStyle w:val="TableBullet"/>
            </w:pPr>
            <w:r w:rsidRPr="00683FF0">
              <w:t>i</w:t>
            </w:r>
            <w:r w:rsidR="22B2EB6D" w:rsidRPr="00683FF0">
              <w:t xml:space="preserve">mplementing an updated </w:t>
            </w:r>
            <w:r w:rsidR="006462BE" w:rsidRPr="00683FF0">
              <w:t>t</w:t>
            </w:r>
            <w:r w:rsidR="22B2EB6D" w:rsidRPr="00683FF0">
              <w:t xml:space="preserve">ransmission </w:t>
            </w:r>
            <w:r w:rsidR="006462BE" w:rsidRPr="00683FF0">
              <w:t>p</w:t>
            </w:r>
            <w:r w:rsidR="22B2EB6D" w:rsidRPr="00683FF0">
              <w:t xml:space="preserve">ricing </w:t>
            </w:r>
            <w:r w:rsidR="006462BE" w:rsidRPr="00683FF0">
              <w:t>m</w:t>
            </w:r>
            <w:r w:rsidR="22B2EB6D" w:rsidRPr="00683FF0">
              <w:t xml:space="preserve">ethodology, which </w:t>
            </w:r>
            <w:r w:rsidR="006462BE" w:rsidRPr="00683FF0">
              <w:t xml:space="preserve">aims </w:t>
            </w:r>
            <w:r w:rsidR="22B2EB6D" w:rsidRPr="00683FF0">
              <w:t>to address potential disadvantages for early investors seeking to connect renewable electricity generation or additional electricity load to the transmission network</w:t>
            </w:r>
          </w:p>
          <w:p w14:paraId="73BFB2EC" w14:textId="4A7709F0" w:rsidR="004F67DD" w:rsidRPr="00683FF0" w:rsidRDefault="22B2EB6D" w:rsidP="008A6F77">
            <w:pPr>
              <w:pStyle w:val="TableBullet"/>
              <w:rPr>
                <w:b/>
                <w:bCs/>
              </w:rPr>
            </w:pPr>
            <w:r w:rsidRPr="00683FF0">
              <w:t>e</w:t>
            </w:r>
            <w:r w:rsidR="78EF9AC0" w:rsidRPr="00683FF0">
              <w:t>nsuring Transpower and the Commerce Commission can assess and make investments based on up-to-date demand and supply scenarios that are consistent with the emissions budgets</w:t>
            </w:r>
            <w:r w:rsidR="00FD0E6C" w:rsidRPr="00683FF0">
              <w:t xml:space="preserve"> </w:t>
            </w:r>
            <w:r w:rsidR="3FD60464" w:rsidRPr="00683FF0">
              <w:t>(</w:t>
            </w:r>
            <w:r w:rsidR="00FD0E6C" w:rsidRPr="00683FF0">
              <w:t>c</w:t>
            </w:r>
            <w:r w:rsidR="3FD60464" w:rsidRPr="00683FF0">
              <w:t>hapter 11</w:t>
            </w:r>
            <w:r w:rsidR="00FD0E6C" w:rsidRPr="00683FF0">
              <w:t>:</w:t>
            </w:r>
            <w:r w:rsidR="3FD60464" w:rsidRPr="00683FF0">
              <w:t xml:space="preserve"> Energy and </w:t>
            </w:r>
            <w:r w:rsidR="00FD0E6C" w:rsidRPr="00683FF0">
              <w:t>i</w:t>
            </w:r>
            <w:r w:rsidR="3FD60464" w:rsidRPr="00683FF0">
              <w:t>ndustry</w:t>
            </w:r>
            <w:r w:rsidR="00FD0E6C" w:rsidRPr="00683FF0">
              <w:t>,</w:t>
            </w:r>
            <w:r w:rsidR="3FD60464" w:rsidRPr="00683FF0">
              <w:t xml:space="preserve"> </w:t>
            </w:r>
            <w:r w:rsidR="00FD0E6C" w:rsidRPr="00683FF0">
              <w:t>a</w:t>
            </w:r>
            <w:r w:rsidR="3FD60464" w:rsidRPr="00683FF0">
              <w:t xml:space="preserve">ctions </w:t>
            </w:r>
            <w:r w:rsidR="00AF28AD" w:rsidRPr="00683FF0">
              <w:t>11.</w:t>
            </w:r>
            <w:r w:rsidR="3FD60464" w:rsidRPr="00683FF0">
              <w:t>2.1</w:t>
            </w:r>
            <w:r w:rsidR="008B4A46" w:rsidRPr="00683FF0">
              <w:t>–</w:t>
            </w:r>
            <w:r w:rsidR="00B8426B" w:rsidRPr="00683FF0">
              <w:t>11.</w:t>
            </w:r>
            <w:r w:rsidR="3FD60464" w:rsidRPr="00683FF0">
              <w:t>2.3).</w:t>
            </w:r>
          </w:p>
        </w:tc>
      </w:tr>
      <w:tr w:rsidR="006B3867" w:rsidRPr="00683FF0" w14:paraId="259308DC" w14:textId="77777777" w:rsidTr="002D7558">
        <w:tc>
          <w:tcPr>
            <w:tcW w:w="4111" w:type="dxa"/>
          </w:tcPr>
          <w:p w14:paraId="5DD10747" w14:textId="1C595AA8" w:rsidR="006B3867" w:rsidRPr="00683FF0" w:rsidRDefault="004F67DD" w:rsidP="008A6F77">
            <w:pPr>
              <w:pStyle w:val="TableText"/>
            </w:pPr>
            <w:r w:rsidRPr="00683FF0">
              <w:t>20.</w:t>
            </w:r>
            <w:r w:rsidR="007563EA" w:rsidRPr="00683FF0">
              <w:t>6</w:t>
            </w:r>
            <w:r w:rsidR="000625F9" w:rsidRPr="00683FF0">
              <w:t>.</w:t>
            </w:r>
            <w:r w:rsidR="000C00DE" w:rsidRPr="00683FF0">
              <w:t xml:space="preserve"> Assessing the consequences of significant changes to the balance of supply and demand of electricity (such as significant blocks of capacity), on the pace, equitable availability and cost of electrification in Aotearoa.</w:t>
            </w:r>
          </w:p>
        </w:tc>
        <w:tc>
          <w:tcPr>
            <w:tcW w:w="4394" w:type="dxa"/>
          </w:tcPr>
          <w:p w14:paraId="595A881A" w14:textId="432B96A2" w:rsidR="004F67DD" w:rsidRPr="00683FF0" w:rsidRDefault="008B4A46" w:rsidP="008A6F77">
            <w:pPr>
              <w:pStyle w:val="TableText"/>
              <w:spacing w:after="40"/>
              <w:rPr>
                <w:rFonts w:eastAsia="Times New Roman"/>
                <w:szCs w:val="18"/>
              </w:rPr>
            </w:pPr>
            <w:r w:rsidRPr="00683FF0">
              <w:rPr>
                <w:b/>
                <w:bCs/>
              </w:rPr>
              <w:t xml:space="preserve">20.6. </w:t>
            </w:r>
            <w:r w:rsidR="2C45B076" w:rsidRPr="00683FF0">
              <w:rPr>
                <w:b/>
                <w:bCs/>
              </w:rPr>
              <w:t>The Government agrees in principle with this recommendation.</w:t>
            </w:r>
            <w:r w:rsidR="0DD85FA4" w:rsidRPr="00683FF0">
              <w:rPr>
                <w:b/>
                <w:bCs/>
              </w:rPr>
              <w:t xml:space="preserve"> </w:t>
            </w:r>
            <w:r w:rsidR="78EF9AC0" w:rsidRPr="00683FF0">
              <w:t xml:space="preserve">The Government will consider the implications of a significant change in supply or demand as and when the opportunity for such a change arises (such as a change in demand due to </w:t>
            </w:r>
            <w:r w:rsidR="000625F9" w:rsidRPr="00683FF0">
              <w:t xml:space="preserve">the </w:t>
            </w:r>
            <w:r w:rsidR="78EF9AC0" w:rsidRPr="00683FF0">
              <w:t>closure</w:t>
            </w:r>
            <w:r w:rsidR="000625F9" w:rsidRPr="00683FF0">
              <w:t xml:space="preserve"> of New Zealand’s Alum</w:t>
            </w:r>
            <w:r w:rsidR="0072783D" w:rsidRPr="00683FF0">
              <w:t>inium Smelter (NZAS)</w:t>
            </w:r>
            <w:r w:rsidR="78EF9AC0" w:rsidRPr="00683FF0">
              <w:t>).</w:t>
            </w:r>
            <w:r w:rsidR="22B2EB6D" w:rsidRPr="00683FF0">
              <w:t xml:space="preserve"> </w:t>
            </w:r>
            <w:r w:rsidR="78EF9AC0" w:rsidRPr="00683FF0">
              <w:t xml:space="preserve">Some related work is already underway in the context of the work on the New Zealand Battery Project that is considering the supply and demand balance and price implications of any proposed solution to the dry year issue. </w:t>
            </w:r>
          </w:p>
          <w:p w14:paraId="636EB58A" w14:textId="76435C2B" w:rsidR="0072783D" w:rsidRPr="00683FF0" w:rsidRDefault="78EF9AC0" w:rsidP="008A6F77">
            <w:pPr>
              <w:pStyle w:val="TableText"/>
              <w:spacing w:after="40"/>
            </w:pPr>
            <w:r w:rsidRPr="00683FF0">
              <w:t>The Electricity Authority has commissioned the system operator (Transpower) to deliver a report on future security and resilience challenges and opportunities based on current understanding, and a prioritised plan for monitoring and addressing these challenges and opportunities.</w:t>
            </w:r>
          </w:p>
          <w:p w14:paraId="37111658" w14:textId="16B7207C" w:rsidR="004F67DD" w:rsidRPr="00683FF0" w:rsidRDefault="78EF9AC0" w:rsidP="00897A5C">
            <w:pPr>
              <w:pStyle w:val="TableText"/>
            </w:pPr>
            <w:r w:rsidRPr="00683FF0">
              <w:t>The Just Transition Partnership</w:t>
            </w:r>
            <w:r w:rsidR="0002527B" w:rsidRPr="00683FF0">
              <w:t>s</w:t>
            </w:r>
            <w:r w:rsidRPr="00683FF0">
              <w:t xml:space="preserve"> team </w:t>
            </w:r>
            <w:r w:rsidR="47D84AC8" w:rsidRPr="00683FF0">
              <w:t xml:space="preserve">has been working with the Southland region to support a just transition following a 2021 announcement that the owners of NZAS plan to close it at the end of 2024. In February 2022, </w:t>
            </w:r>
            <w:r w:rsidR="0002527B" w:rsidRPr="00683FF0">
              <w:t xml:space="preserve">the </w:t>
            </w:r>
            <w:r w:rsidR="47D84AC8" w:rsidRPr="00683FF0">
              <w:t xml:space="preserve">Government and region launched an economic roadmap for the region </w:t>
            </w:r>
            <w:r w:rsidR="004F67DD" w:rsidRPr="00683FF0">
              <w:t>(</w:t>
            </w:r>
            <w:r w:rsidR="00A173D4" w:rsidRPr="00683FF0">
              <w:t>c</w:t>
            </w:r>
            <w:r w:rsidR="004F67DD" w:rsidRPr="00683FF0">
              <w:t>hapter 3</w:t>
            </w:r>
            <w:r w:rsidR="00A173D4" w:rsidRPr="00683FF0">
              <w:t>:</w:t>
            </w:r>
            <w:r w:rsidR="004F67DD" w:rsidRPr="00683FF0">
              <w:t xml:space="preserve"> Equitable transition</w:t>
            </w:r>
            <w:r w:rsidR="00A173D4" w:rsidRPr="00683FF0">
              <w:t>,</w:t>
            </w:r>
            <w:r w:rsidR="004F67DD" w:rsidRPr="00683FF0">
              <w:t xml:space="preserve"> </w:t>
            </w:r>
            <w:r w:rsidR="00A173D4" w:rsidRPr="00683FF0">
              <w:t>a</w:t>
            </w:r>
            <w:r w:rsidR="004F67DD" w:rsidRPr="00683FF0">
              <w:t>ction</w:t>
            </w:r>
            <w:r w:rsidR="00EA1F90" w:rsidRPr="00683FF0">
              <w:t xml:space="preserve"> </w:t>
            </w:r>
            <w:r w:rsidR="000D13D9" w:rsidRPr="00683FF0">
              <w:t>3.</w:t>
            </w:r>
            <w:r w:rsidR="00EA1F90" w:rsidRPr="00683FF0">
              <w:t>5</w:t>
            </w:r>
            <w:r w:rsidR="004F67DD" w:rsidRPr="00683FF0">
              <w:t>).</w:t>
            </w:r>
          </w:p>
        </w:tc>
      </w:tr>
      <w:tr w:rsidR="006B3867" w:rsidRPr="00683FF0" w14:paraId="41EF7D7B" w14:textId="77777777" w:rsidTr="002D7558">
        <w:tc>
          <w:tcPr>
            <w:tcW w:w="4111" w:type="dxa"/>
          </w:tcPr>
          <w:p w14:paraId="14C7A010" w14:textId="0C5BE2FD" w:rsidR="006B3867" w:rsidRPr="00683FF0" w:rsidRDefault="00EA1F90" w:rsidP="008A6F77">
            <w:pPr>
              <w:pStyle w:val="TableText"/>
            </w:pPr>
            <w:r w:rsidRPr="00683FF0">
              <w:t>20.</w:t>
            </w:r>
            <w:r w:rsidR="007563EA" w:rsidRPr="00683FF0">
              <w:t>7</w:t>
            </w:r>
            <w:r w:rsidR="00DC6E11" w:rsidRPr="00683FF0">
              <w:t>.</w:t>
            </w:r>
            <w:r w:rsidR="000C00DE" w:rsidRPr="00683FF0">
              <w:t xml:space="preserve"> Supporting development and deployment of low-emissions fuel options such as bioenergy and hydrogen. Māori-collectives should be enabled to participate in the associated business opportunities. This recommendation should be considered alongside Recommendation 26 for an equitable transition for Iwi/Māori, Recommendation 15 for the bioeconomy, and Recommendation 19 for transport.</w:t>
            </w:r>
          </w:p>
        </w:tc>
        <w:tc>
          <w:tcPr>
            <w:tcW w:w="4394" w:type="dxa"/>
          </w:tcPr>
          <w:p w14:paraId="49544BDF" w14:textId="44A458DE" w:rsidR="004F67DD" w:rsidRPr="00683FF0" w:rsidRDefault="009640B9" w:rsidP="008A6F77">
            <w:pPr>
              <w:pStyle w:val="TableText"/>
              <w:spacing w:after="40"/>
              <w:rPr>
                <w:b/>
                <w:bCs/>
              </w:rPr>
            </w:pPr>
            <w:r w:rsidRPr="00683FF0">
              <w:rPr>
                <w:b/>
                <w:bCs/>
              </w:rPr>
              <w:t>20.</w:t>
            </w:r>
            <w:r w:rsidR="00650914" w:rsidRPr="00683FF0">
              <w:rPr>
                <w:b/>
                <w:bCs/>
              </w:rPr>
              <w:t>7</w:t>
            </w:r>
            <w:r w:rsidRPr="00683FF0">
              <w:rPr>
                <w:b/>
                <w:bCs/>
              </w:rPr>
              <w:t xml:space="preserve">. </w:t>
            </w:r>
            <w:r w:rsidR="0091053B" w:rsidRPr="00683FF0">
              <w:rPr>
                <w:b/>
                <w:bCs/>
              </w:rPr>
              <w:t>The Government agrees with this recommendation.</w:t>
            </w:r>
            <w:r w:rsidR="00BD62CC" w:rsidRPr="00683FF0">
              <w:t xml:space="preserve"> </w:t>
            </w:r>
            <w:r w:rsidR="48B6F395" w:rsidRPr="00683FF0">
              <w:t>The next stage of the hydrogen strategy work is to develop a hydrogen roadmap. Other work to support the development and deployment of hydrogen includes a range of hydrogen projects being undertaken by the private sector (some with government support), developing hydrogen international partnerships and reviewing and revising regulations and standards affecting the use of hydrogen.</w:t>
            </w:r>
            <w:r w:rsidR="36FD7122" w:rsidRPr="00683FF0">
              <w:t xml:space="preserve"> </w:t>
            </w:r>
            <w:r w:rsidR="48B6F395" w:rsidRPr="00683FF0">
              <w:lastRenderedPageBreak/>
              <w:t xml:space="preserve">While the roadmap is being developed, consideration is being </w:t>
            </w:r>
            <w:r w:rsidR="002A66D9" w:rsidRPr="00683FF0">
              <w:t xml:space="preserve">given </w:t>
            </w:r>
            <w:r w:rsidR="48B6F395" w:rsidRPr="00683FF0">
              <w:t>to how the Government would partner with and enable participation of Māori</w:t>
            </w:r>
            <w:r w:rsidR="004C3CA1" w:rsidRPr="00683FF0">
              <w:t xml:space="preserve"> </w:t>
            </w:r>
            <w:r w:rsidR="48B6F395" w:rsidRPr="00683FF0">
              <w:t>collectives in the development of low</w:t>
            </w:r>
            <w:r w:rsidR="007F2F1E" w:rsidRPr="00683FF0">
              <w:t>-</w:t>
            </w:r>
            <w:r w:rsidR="48B6F395" w:rsidRPr="00683FF0">
              <w:t>emissions energy supply</w:t>
            </w:r>
            <w:r w:rsidR="004C3CA1" w:rsidRPr="00683FF0">
              <w:t xml:space="preserve"> </w:t>
            </w:r>
            <w:r w:rsidR="559DAF03" w:rsidRPr="00683FF0">
              <w:t>(</w:t>
            </w:r>
            <w:r w:rsidR="004C3CA1" w:rsidRPr="00683FF0">
              <w:t>c</w:t>
            </w:r>
            <w:r w:rsidR="559DAF03" w:rsidRPr="00683FF0">
              <w:t>hapter 11</w:t>
            </w:r>
            <w:r w:rsidR="004C3CA1" w:rsidRPr="00683FF0">
              <w:t>:</w:t>
            </w:r>
            <w:r w:rsidR="559DAF03" w:rsidRPr="00683FF0">
              <w:t xml:space="preserve"> Energy and </w:t>
            </w:r>
            <w:r w:rsidR="004C3CA1" w:rsidRPr="00683FF0">
              <w:t>i</w:t>
            </w:r>
            <w:r w:rsidR="559DAF03" w:rsidRPr="00683FF0">
              <w:t>ndustry</w:t>
            </w:r>
            <w:r w:rsidR="004C3CA1" w:rsidRPr="00683FF0">
              <w:t>,</w:t>
            </w:r>
            <w:r w:rsidR="559DAF03" w:rsidRPr="00683FF0">
              <w:t xml:space="preserve"> </w:t>
            </w:r>
            <w:r w:rsidR="004C3CA1" w:rsidRPr="00683FF0">
              <w:t>a</w:t>
            </w:r>
            <w:r w:rsidR="559DAF03" w:rsidRPr="00683FF0">
              <w:t>ction</w:t>
            </w:r>
            <w:r w:rsidR="00DA11C7" w:rsidRPr="00683FF0">
              <w:t> </w:t>
            </w:r>
            <w:r w:rsidR="000D13D9" w:rsidRPr="00683FF0">
              <w:t>11.</w:t>
            </w:r>
            <w:r w:rsidR="559DAF03" w:rsidRPr="00683FF0">
              <w:t>3.</w:t>
            </w:r>
            <w:r w:rsidR="48B6F395" w:rsidRPr="00683FF0">
              <w:t>2</w:t>
            </w:r>
            <w:r w:rsidR="000C2531" w:rsidRPr="00683FF0">
              <w:t>;</w:t>
            </w:r>
            <w:r w:rsidR="48B6F395" w:rsidRPr="00683FF0">
              <w:t xml:space="preserve"> </w:t>
            </w:r>
            <w:r w:rsidR="004C3CA1" w:rsidRPr="00683FF0">
              <w:t>c</w:t>
            </w:r>
            <w:r w:rsidR="48B6F395" w:rsidRPr="00683FF0">
              <w:t>hapter 9</w:t>
            </w:r>
            <w:r w:rsidR="004C3CA1" w:rsidRPr="00683FF0">
              <w:t>:</w:t>
            </w:r>
            <w:r w:rsidR="48B6F395" w:rsidRPr="00683FF0">
              <w:t xml:space="preserve"> </w:t>
            </w:r>
            <w:r w:rsidR="004C3CA1" w:rsidRPr="00683FF0">
              <w:t>C</w:t>
            </w:r>
            <w:r w:rsidR="48B6F395" w:rsidRPr="00683FF0">
              <w:t>ircular economy and bioeconomy</w:t>
            </w:r>
            <w:r w:rsidR="004C3CA1" w:rsidRPr="00683FF0">
              <w:t>,</w:t>
            </w:r>
            <w:r w:rsidR="48B6F395" w:rsidRPr="00683FF0">
              <w:t xml:space="preserve"> </w:t>
            </w:r>
            <w:r w:rsidR="004C3CA1" w:rsidRPr="00683FF0">
              <w:t>a</w:t>
            </w:r>
            <w:r w:rsidR="48B6F395" w:rsidRPr="00683FF0">
              <w:t>ction</w:t>
            </w:r>
            <w:r w:rsidR="00DA11C7" w:rsidRPr="00683FF0">
              <w:t> </w:t>
            </w:r>
            <w:r w:rsidR="48B6F395" w:rsidRPr="00683FF0">
              <w:t>9.4</w:t>
            </w:r>
            <w:r w:rsidR="559DAF03" w:rsidRPr="00683FF0">
              <w:t>).</w:t>
            </w:r>
          </w:p>
        </w:tc>
      </w:tr>
      <w:tr w:rsidR="006B3867" w:rsidRPr="00683FF0" w14:paraId="0B347DA0" w14:textId="77777777" w:rsidTr="002D7558">
        <w:tc>
          <w:tcPr>
            <w:tcW w:w="4111" w:type="dxa"/>
          </w:tcPr>
          <w:p w14:paraId="24BC0EEB" w14:textId="09CA86B4" w:rsidR="000C00DE" w:rsidRPr="00683FF0" w:rsidRDefault="00EA1F90" w:rsidP="008A6F77">
            <w:pPr>
              <w:pStyle w:val="TableText"/>
            </w:pPr>
            <w:r w:rsidRPr="00683FF0">
              <w:lastRenderedPageBreak/>
              <w:t>20.</w:t>
            </w:r>
            <w:r w:rsidR="007563EA" w:rsidRPr="00683FF0">
              <w:t>8</w:t>
            </w:r>
            <w:r w:rsidR="00DA11C7" w:rsidRPr="00683FF0">
              <w:t>.</w:t>
            </w:r>
            <w:r w:rsidR="000C00DE" w:rsidRPr="00683FF0">
              <w:t xml:space="preserve"> Determining how to eliminate fossil gas use in residential, commercial and public buildings. Actions should include: </w:t>
            </w:r>
          </w:p>
          <w:p w14:paraId="087B2777" w14:textId="77777777" w:rsidR="000C00DE" w:rsidRPr="00683FF0" w:rsidRDefault="000C00DE" w:rsidP="00D21268">
            <w:pPr>
              <w:pStyle w:val="TableText"/>
              <w:numPr>
                <w:ilvl w:val="0"/>
                <w:numId w:val="31"/>
              </w:numPr>
              <w:spacing w:before="0"/>
              <w:ind w:left="284" w:hanging="284"/>
            </w:pPr>
            <w:r w:rsidRPr="00683FF0">
              <w:t xml:space="preserve">Setting a date to end the expansion of pipeline connections in order to safeguard consumers from the costs of locking in new fossil gas infrastructure. </w:t>
            </w:r>
          </w:p>
          <w:p w14:paraId="070A66C2" w14:textId="77777777" w:rsidR="000C00DE" w:rsidRPr="00683FF0" w:rsidRDefault="000C00DE" w:rsidP="00D21268">
            <w:pPr>
              <w:pStyle w:val="TableText"/>
              <w:numPr>
                <w:ilvl w:val="0"/>
                <w:numId w:val="31"/>
              </w:numPr>
              <w:spacing w:before="0"/>
              <w:ind w:left="284" w:hanging="284"/>
            </w:pPr>
            <w:r w:rsidRPr="00683FF0">
              <w:t xml:space="preserve">Evaluating the role of low-emission gases as an alternative use of pipeline infrastructure. </w:t>
            </w:r>
          </w:p>
          <w:p w14:paraId="1BADBEDD" w14:textId="2696ECE2" w:rsidR="006B3867" w:rsidRPr="00683FF0" w:rsidRDefault="000C00DE" w:rsidP="00D21268">
            <w:pPr>
              <w:pStyle w:val="TableText"/>
              <w:numPr>
                <w:ilvl w:val="0"/>
                <w:numId w:val="31"/>
              </w:numPr>
              <w:spacing w:before="0"/>
              <w:ind w:left="284" w:hanging="284"/>
              <w:rPr>
                <w:szCs w:val="18"/>
              </w:rPr>
            </w:pPr>
            <w:r w:rsidRPr="00683FF0">
              <w:t>Determining how to transition existing fossil gas users towards low-emissions alternatives.</w:t>
            </w:r>
          </w:p>
        </w:tc>
        <w:tc>
          <w:tcPr>
            <w:tcW w:w="4394" w:type="dxa"/>
          </w:tcPr>
          <w:p w14:paraId="400F52B9" w14:textId="24C34DB0" w:rsidR="004F67DD" w:rsidRPr="00683FF0" w:rsidRDefault="00DA11C7" w:rsidP="008A6F77">
            <w:pPr>
              <w:pStyle w:val="TableText"/>
              <w:spacing w:after="40"/>
            </w:pPr>
            <w:r w:rsidRPr="00683FF0">
              <w:rPr>
                <w:b/>
                <w:bCs/>
              </w:rPr>
              <w:t xml:space="preserve">20.8. </w:t>
            </w:r>
            <w:r w:rsidR="495BF9AE" w:rsidRPr="00683FF0">
              <w:rPr>
                <w:b/>
                <w:bCs/>
              </w:rPr>
              <w:t xml:space="preserve">The Government agrees in principle with this recommendation. </w:t>
            </w:r>
            <w:r w:rsidR="00D867C7" w:rsidRPr="00683FF0">
              <w:t xml:space="preserve">The </w:t>
            </w:r>
            <w:r w:rsidR="74FCB0FF" w:rsidRPr="00683FF0">
              <w:t>Government agrees with the intent of the recommendation to shift from higher-emissions fuels to lower</w:t>
            </w:r>
            <w:r w:rsidR="002701AF" w:rsidRPr="00683FF0">
              <w:t>-</w:t>
            </w:r>
            <w:r w:rsidR="74FCB0FF" w:rsidRPr="00683FF0">
              <w:t>emission</w:t>
            </w:r>
            <w:r w:rsidR="000436DA" w:rsidRPr="00683FF0">
              <w:t>s</w:t>
            </w:r>
            <w:r w:rsidR="74FCB0FF" w:rsidRPr="00683FF0">
              <w:t xml:space="preserve"> alternatives. A key action is the development of a </w:t>
            </w:r>
            <w:r w:rsidR="09470813" w:rsidRPr="00683FF0">
              <w:t>gas transition p</w:t>
            </w:r>
            <w:r w:rsidR="74FCB0FF" w:rsidRPr="00683FF0">
              <w:t xml:space="preserve">lan that will identify transition pathways away from fossil gas and </w:t>
            </w:r>
            <w:r w:rsidR="000436DA" w:rsidRPr="00683FF0">
              <w:t xml:space="preserve">other </w:t>
            </w:r>
            <w:r w:rsidR="74FCB0FF" w:rsidRPr="00683FF0">
              <w:t xml:space="preserve">measures required to support this transition. In addition, introducing operational regulatory requirements to cap new buildings’ operational emissions will drive a transition away from use of fossil gas for new buildings </w:t>
            </w:r>
            <w:r w:rsidR="2A950349" w:rsidRPr="00683FF0">
              <w:t>(</w:t>
            </w:r>
            <w:r w:rsidR="00996229" w:rsidRPr="00683FF0">
              <w:t>c</w:t>
            </w:r>
            <w:r w:rsidR="2A950349" w:rsidRPr="00683FF0">
              <w:t>hapter 11</w:t>
            </w:r>
            <w:r w:rsidR="00996229" w:rsidRPr="00683FF0">
              <w:t>:</w:t>
            </w:r>
            <w:r w:rsidR="2A950349" w:rsidRPr="00683FF0">
              <w:t xml:space="preserve"> Energy and </w:t>
            </w:r>
            <w:r w:rsidR="00E013F7" w:rsidRPr="00683FF0">
              <w:t>i</w:t>
            </w:r>
            <w:r w:rsidR="2A950349" w:rsidRPr="00683FF0">
              <w:t>ndustry</w:t>
            </w:r>
            <w:r w:rsidR="00E013F7" w:rsidRPr="00683FF0">
              <w:t>,</w:t>
            </w:r>
            <w:r w:rsidR="2A950349" w:rsidRPr="00683FF0">
              <w:t xml:space="preserve"> </w:t>
            </w:r>
            <w:r w:rsidR="00E013F7" w:rsidRPr="00683FF0">
              <w:t>a</w:t>
            </w:r>
            <w:r w:rsidR="2A950349" w:rsidRPr="00683FF0">
              <w:t xml:space="preserve">ction </w:t>
            </w:r>
            <w:r w:rsidR="000D13D9" w:rsidRPr="00683FF0">
              <w:t>11.</w:t>
            </w:r>
            <w:r w:rsidR="2A950349" w:rsidRPr="00683FF0">
              <w:t>3.1</w:t>
            </w:r>
            <w:r w:rsidR="0053670C" w:rsidRPr="00683FF0">
              <w:t>; chapter 12:</w:t>
            </w:r>
            <w:r w:rsidR="2A950349" w:rsidRPr="00683FF0">
              <w:t xml:space="preserve"> Building and </w:t>
            </w:r>
            <w:r w:rsidR="0053670C" w:rsidRPr="00683FF0">
              <w:t>c</w:t>
            </w:r>
            <w:r w:rsidR="2A950349" w:rsidRPr="00683FF0">
              <w:t>onstruction</w:t>
            </w:r>
            <w:r w:rsidR="0053670C" w:rsidRPr="00683FF0">
              <w:t>,</w:t>
            </w:r>
            <w:r w:rsidR="2A950349" w:rsidRPr="00683FF0">
              <w:t xml:space="preserve"> </w:t>
            </w:r>
            <w:r w:rsidR="0053670C" w:rsidRPr="00683FF0">
              <w:t>a</w:t>
            </w:r>
            <w:r w:rsidR="2A950349" w:rsidRPr="00683FF0">
              <w:t xml:space="preserve">ction </w:t>
            </w:r>
            <w:r w:rsidR="000D13D9" w:rsidRPr="00683FF0">
              <w:t>12.</w:t>
            </w:r>
            <w:r w:rsidR="2A950349" w:rsidRPr="00683FF0">
              <w:t>3.1).</w:t>
            </w:r>
          </w:p>
          <w:p w14:paraId="413E4035" w14:textId="70930955" w:rsidR="004F67DD" w:rsidRPr="00683FF0" w:rsidRDefault="2A950349" w:rsidP="008A6F77">
            <w:pPr>
              <w:pStyle w:val="TableText"/>
              <w:spacing w:after="40"/>
              <w:rPr>
                <w:b/>
                <w:bCs/>
              </w:rPr>
            </w:pPr>
            <w:r w:rsidRPr="00683FF0">
              <w:t>The Government is also assessing the barriers and equity impacts of shifting away from fossil gas use</w:t>
            </w:r>
            <w:r w:rsidR="00DA11C7" w:rsidRPr="00683FF0">
              <w:t>.</w:t>
            </w:r>
            <w:r w:rsidR="00034C45" w:rsidRPr="00683FF0">
              <w:t xml:space="preserve"> It</w:t>
            </w:r>
            <w:r w:rsidRPr="00683FF0">
              <w:t xml:space="preserve"> will investigate options to address these as part of the transition (</w:t>
            </w:r>
            <w:r w:rsidR="00034C45" w:rsidRPr="00683FF0">
              <w:t>c</w:t>
            </w:r>
            <w:r w:rsidRPr="00683FF0">
              <w:t>hapter 12</w:t>
            </w:r>
            <w:r w:rsidR="00034C45" w:rsidRPr="00683FF0">
              <w:t>:</w:t>
            </w:r>
            <w:r w:rsidRPr="00683FF0">
              <w:t xml:space="preserve"> Building and construction</w:t>
            </w:r>
            <w:r w:rsidR="00806969" w:rsidRPr="00683FF0">
              <w:t>,</w:t>
            </w:r>
            <w:r w:rsidRPr="00683FF0">
              <w:t xml:space="preserve"> </w:t>
            </w:r>
            <w:r w:rsidR="00806969" w:rsidRPr="00683FF0">
              <w:t>a</w:t>
            </w:r>
            <w:r w:rsidRPr="00683FF0">
              <w:t xml:space="preserve">ctions </w:t>
            </w:r>
            <w:r w:rsidR="000D13D9" w:rsidRPr="00683FF0">
              <w:t>12.</w:t>
            </w:r>
            <w:r w:rsidRPr="00683FF0">
              <w:t xml:space="preserve">3.1, </w:t>
            </w:r>
            <w:r w:rsidR="000D13D9" w:rsidRPr="00683FF0">
              <w:t>12.</w:t>
            </w:r>
            <w:r w:rsidRPr="00683FF0">
              <w:t xml:space="preserve">3.2 and </w:t>
            </w:r>
            <w:r w:rsidR="00806969" w:rsidRPr="00683FF0">
              <w:t>f</w:t>
            </w:r>
            <w:r w:rsidRPr="00683FF0">
              <w:t xml:space="preserve">ocus </w:t>
            </w:r>
            <w:r w:rsidR="00806969" w:rsidRPr="00683FF0">
              <w:t>a</w:t>
            </w:r>
            <w:r w:rsidRPr="00683FF0">
              <w:t>rea 4).</w:t>
            </w:r>
          </w:p>
          <w:p w14:paraId="4C49E955" w14:textId="37A79B27" w:rsidR="24911CC2" w:rsidRPr="00683FF0" w:rsidRDefault="24911CC2" w:rsidP="008A6F77">
            <w:pPr>
              <w:pStyle w:val="TableText"/>
              <w:spacing w:after="40"/>
              <w:rPr>
                <w:rFonts w:ascii="Times New Roman" w:hAnsi="Times New Roman" w:cs="Times New Roman"/>
                <w:color w:val="000000" w:themeColor="text1"/>
              </w:rPr>
            </w:pPr>
            <w:r w:rsidRPr="00683FF0">
              <w:rPr>
                <w:rFonts w:eastAsia="Calibri" w:cs="Calibri"/>
                <w:b/>
                <w:bCs/>
                <w:color w:val="000000" w:themeColor="text1"/>
              </w:rPr>
              <w:t xml:space="preserve">20.8a. The Government agrees in part with this recommendation. </w:t>
            </w:r>
            <w:r w:rsidRPr="00683FF0">
              <w:rPr>
                <w:rFonts w:eastAsia="Calibri" w:cs="Calibri"/>
                <w:color w:val="000000" w:themeColor="text1"/>
              </w:rPr>
              <w:t>The Government agrees with the need to clearly communicate the direction of travel for fossil gas. However, further work is required to avoid unintended consequences and mitigate potential distributional impacts before decisions are made on the appropriate mechanisms to reduce fossil fuel use in buildings.</w:t>
            </w:r>
          </w:p>
          <w:p w14:paraId="64159B4E" w14:textId="6394DF70" w:rsidR="5FD89C84" w:rsidRPr="00683FF0" w:rsidRDefault="24911CC2" w:rsidP="008A6F77">
            <w:pPr>
              <w:pStyle w:val="TableText"/>
              <w:spacing w:after="40"/>
            </w:pPr>
            <w:r w:rsidRPr="00683FF0">
              <w:rPr>
                <w:rFonts w:eastAsia="Calibri" w:cs="Calibri"/>
                <w:color w:val="000000" w:themeColor="text1"/>
              </w:rPr>
              <w:t xml:space="preserve">The </w:t>
            </w:r>
            <w:r w:rsidR="4C62EE4F" w:rsidRPr="00683FF0">
              <w:rPr>
                <w:rFonts w:eastAsia="Calibri" w:cs="Calibri"/>
                <w:color w:val="000000" w:themeColor="text1"/>
              </w:rPr>
              <w:t>g</w:t>
            </w:r>
            <w:r w:rsidR="5B150FE6" w:rsidRPr="00683FF0">
              <w:rPr>
                <w:rFonts w:eastAsia="Calibri" w:cs="Calibri"/>
                <w:color w:val="000000" w:themeColor="text1"/>
              </w:rPr>
              <w:t xml:space="preserve">as transition </w:t>
            </w:r>
            <w:r w:rsidR="634E5A93" w:rsidRPr="00683FF0">
              <w:rPr>
                <w:rFonts w:eastAsia="Calibri" w:cs="Calibri"/>
                <w:color w:val="000000" w:themeColor="text1"/>
              </w:rPr>
              <w:t>p</w:t>
            </w:r>
            <w:r w:rsidR="4C62EE4F" w:rsidRPr="00683FF0">
              <w:rPr>
                <w:rFonts w:eastAsia="Calibri" w:cs="Calibri"/>
                <w:color w:val="000000" w:themeColor="text1"/>
              </w:rPr>
              <w:t>lan</w:t>
            </w:r>
            <w:r w:rsidRPr="00683FF0">
              <w:rPr>
                <w:rFonts w:eastAsia="Calibri" w:cs="Calibri"/>
                <w:color w:val="000000" w:themeColor="text1"/>
              </w:rPr>
              <w:t xml:space="preserve"> will outline transition pathways away from fossil gas, identify strategic opportunities to repurpose fossil infrastructure and include measures to ensure an equitable transition. In addition, </w:t>
            </w:r>
            <w:r w:rsidR="74FCB0FF" w:rsidRPr="00683FF0">
              <w:t>introducing operational regulatory requirements to cap new buildings’ operational emissions will drive a transition away from use of fossil gas for new buildings</w:t>
            </w:r>
            <w:r w:rsidRPr="00683FF0">
              <w:rPr>
                <w:rFonts w:eastAsia="Calibri" w:cs="Calibri"/>
                <w:color w:val="000000" w:themeColor="text1"/>
              </w:rPr>
              <w:t xml:space="preserve"> (</w:t>
            </w:r>
            <w:r w:rsidR="003A224A" w:rsidRPr="00683FF0">
              <w:rPr>
                <w:rFonts w:eastAsia="Calibri" w:cs="Calibri"/>
                <w:color w:val="000000" w:themeColor="text1"/>
              </w:rPr>
              <w:t>c</w:t>
            </w:r>
            <w:r w:rsidRPr="00683FF0">
              <w:rPr>
                <w:rFonts w:eastAsia="Calibri" w:cs="Calibri"/>
                <w:color w:val="000000" w:themeColor="text1"/>
              </w:rPr>
              <w:t>hapter 11</w:t>
            </w:r>
            <w:r w:rsidR="003A224A" w:rsidRPr="00683FF0">
              <w:rPr>
                <w:rFonts w:eastAsia="Calibri" w:cs="Calibri"/>
                <w:color w:val="000000" w:themeColor="text1"/>
              </w:rPr>
              <w:t>:</w:t>
            </w:r>
            <w:r w:rsidRPr="00683FF0">
              <w:rPr>
                <w:rFonts w:eastAsia="Calibri" w:cs="Calibri"/>
                <w:color w:val="000000" w:themeColor="text1"/>
              </w:rPr>
              <w:t xml:space="preserve"> Energy and </w:t>
            </w:r>
            <w:r w:rsidR="003A224A" w:rsidRPr="00683FF0">
              <w:rPr>
                <w:rFonts w:eastAsia="Calibri" w:cs="Calibri"/>
                <w:color w:val="000000" w:themeColor="text1"/>
              </w:rPr>
              <w:t>i</w:t>
            </w:r>
            <w:r w:rsidRPr="00683FF0">
              <w:rPr>
                <w:rFonts w:eastAsia="Calibri" w:cs="Calibri"/>
                <w:color w:val="000000" w:themeColor="text1"/>
              </w:rPr>
              <w:t>ndustry</w:t>
            </w:r>
            <w:r w:rsidR="003A224A" w:rsidRPr="00683FF0">
              <w:rPr>
                <w:rFonts w:eastAsia="Calibri" w:cs="Calibri"/>
                <w:color w:val="000000" w:themeColor="text1"/>
              </w:rPr>
              <w:t>,</w:t>
            </w:r>
            <w:r w:rsidRPr="00683FF0">
              <w:rPr>
                <w:rFonts w:eastAsia="Calibri" w:cs="Calibri"/>
                <w:color w:val="000000" w:themeColor="text1"/>
              </w:rPr>
              <w:t xml:space="preserve"> </w:t>
            </w:r>
            <w:r w:rsidR="003A224A" w:rsidRPr="00683FF0">
              <w:rPr>
                <w:rFonts w:eastAsia="Calibri" w:cs="Calibri"/>
                <w:color w:val="000000" w:themeColor="text1"/>
              </w:rPr>
              <w:t>a</w:t>
            </w:r>
            <w:r w:rsidRPr="00683FF0">
              <w:rPr>
                <w:rFonts w:eastAsia="Calibri" w:cs="Calibri"/>
                <w:color w:val="000000" w:themeColor="text1"/>
              </w:rPr>
              <w:t xml:space="preserve">ction </w:t>
            </w:r>
            <w:r w:rsidR="000D13D9" w:rsidRPr="00683FF0">
              <w:rPr>
                <w:rFonts w:eastAsia="Calibri" w:cs="Calibri"/>
                <w:color w:val="000000" w:themeColor="text1"/>
              </w:rPr>
              <w:t>11.</w:t>
            </w:r>
            <w:r w:rsidRPr="00683FF0">
              <w:rPr>
                <w:rFonts w:eastAsia="Calibri" w:cs="Calibri"/>
                <w:color w:val="000000" w:themeColor="text1"/>
              </w:rPr>
              <w:t>3.1</w:t>
            </w:r>
            <w:r w:rsidR="003A224A" w:rsidRPr="00683FF0">
              <w:rPr>
                <w:rFonts w:eastAsia="Calibri" w:cs="Calibri"/>
                <w:color w:val="000000" w:themeColor="text1"/>
              </w:rPr>
              <w:t>;</w:t>
            </w:r>
            <w:r w:rsidRPr="00683FF0">
              <w:rPr>
                <w:rFonts w:eastAsia="Calibri" w:cs="Calibri"/>
                <w:color w:val="000000" w:themeColor="text1"/>
              </w:rPr>
              <w:t xml:space="preserve"> </w:t>
            </w:r>
            <w:r w:rsidR="003A224A" w:rsidRPr="00683FF0">
              <w:rPr>
                <w:rFonts w:eastAsia="Calibri" w:cs="Calibri"/>
                <w:color w:val="000000" w:themeColor="text1"/>
              </w:rPr>
              <w:t>c</w:t>
            </w:r>
            <w:r w:rsidRPr="00683FF0">
              <w:rPr>
                <w:rFonts w:eastAsia="Calibri" w:cs="Calibri"/>
                <w:color w:val="000000" w:themeColor="text1"/>
              </w:rPr>
              <w:t>hapter 12</w:t>
            </w:r>
            <w:r w:rsidR="003A224A" w:rsidRPr="00683FF0">
              <w:rPr>
                <w:rFonts w:eastAsia="Calibri" w:cs="Calibri"/>
                <w:color w:val="000000" w:themeColor="text1"/>
              </w:rPr>
              <w:t>:</w:t>
            </w:r>
            <w:r w:rsidRPr="00683FF0">
              <w:rPr>
                <w:rFonts w:eastAsia="Calibri" w:cs="Calibri"/>
                <w:color w:val="000000" w:themeColor="text1"/>
              </w:rPr>
              <w:t xml:space="preserve"> Building and construction</w:t>
            </w:r>
            <w:r w:rsidR="003A224A" w:rsidRPr="00683FF0">
              <w:rPr>
                <w:rFonts w:eastAsia="Calibri" w:cs="Calibri"/>
                <w:color w:val="000000" w:themeColor="text1"/>
              </w:rPr>
              <w:t>,</w:t>
            </w:r>
            <w:r w:rsidRPr="00683FF0">
              <w:rPr>
                <w:rFonts w:eastAsia="Calibri" w:cs="Calibri"/>
                <w:color w:val="000000" w:themeColor="text1"/>
              </w:rPr>
              <w:t xml:space="preserve"> </w:t>
            </w:r>
            <w:r w:rsidR="003A224A" w:rsidRPr="00683FF0">
              <w:rPr>
                <w:rFonts w:eastAsia="Calibri" w:cs="Calibri"/>
                <w:color w:val="000000" w:themeColor="text1"/>
              </w:rPr>
              <w:t>a</w:t>
            </w:r>
            <w:r w:rsidRPr="00683FF0">
              <w:rPr>
                <w:rFonts w:eastAsia="Calibri" w:cs="Calibri"/>
                <w:color w:val="000000" w:themeColor="text1"/>
              </w:rPr>
              <w:t xml:space="preserve">ction </w:t>
            </w:r>
            <w:r w:rsidR="000D13D9" w:rsidRPr="00683FF0">
              <w:rPr>
                <w:rFonts w:eastAsia="Calibri" w:cs="Calibri"/>
                <w:color w:val="000000" w:themeColor="text1"/>
              </w:rPr>
              <w:t>12.</w:t>
            </w:r>
            <w:r w:rsidRPr="00683FF0">
              <w:rPr>
                <w:rFonts w:eastAsia="Calibri" w:cs="Calibri"/>
                <w:color w:val="000000" w:themeColor="text1"/>
              </w:rPr>
              <w:t>3.1</w:t>
            </w:r>
            <w:r w:rsidR="003A224A" w:rsidRPr="00683FF0">
              <w:rPr>
                <w:rFonts w:eastAsia="Calibri" w:cs="Calibri"/>
                <w:color w:val="000000" w:themeColor="text1"/>
              </w:rPr>
              <w:t>,</w:t>
            </w:r>
            <w:r w:rsidRPr="00683FF0">
              <w:rPr>
                <w:rFonts w:eastAsia="Calibri" w:cs="Calibri"/>
                <w:color w:val="000000" w:themeColor="text1"/>
              </w:rPr>
              <w:t xml:space="preserve"> </w:t>
            </w:r>
            <w:r w:rsidR="003A224A" w:rsidRPr="00683FF0">
              <w:rPr>
                <w:rFonts w:eastAsia="Calibri" w:cs="Calibri"/>
                <w:color w:val="000000" w:themeColor="text1"/>
              </w:rPr>
              <w:t>f</w:t>
            </w:r>
            <w:r w:rsidRPr="00683FF0">
              <w:rPr>
                <w:rFonts w:eastAsia="Calibri" w:cs="Calibri"/>
                <w:color w:val="000000" w:themeColor="text1"/>
              </w:rPr>
              <w:t xml:space="preserve">ocus </w:t>
            </w:r>
            <w:r w:rsidR="003A224A" w:rsidRPr="00683FF0">
              <w:rPr>
                <w:rFonts w:eastAsia="Calibri" w:cs="Calibri"/>
                <w:color w:val="000000" w:themeColor="text1"/>
              </w:rPr>
              <w:t>a</w:t>
            </w:r>
            <w:r w:rsidRPr="00683FF0">
              <w:rPr>
                <w:rFonts w:eastAsia="Calibri" w:cs="Calibri"/>
                <w:color w:val="000000" w:themeColor="text1"/>
              </w:rPr>
              <w:t>rea 4).</w:t>
            </w:r>
          </w:p>
          <w:p w14:paraId="21124DC4" w14:textId="18ECE7D6" w:rsidR="00074D7D" w:rsidRPr="00683FF0" w:rsidRDefault="04323049" w:rsidP="008A6F77">
            <w:pPr>
              <w:pStyle w:val="TableText"/>
              <w:spacing w:after="40"/>
              <w:rPr>
                <w:rFonts w:cstheme="minorHAnsi"/>
              </w:rPr>
            </w:pPr>
            <w:r w:rsidRPr="00683FF0">
              <w:rPr>
                <w:b/>
                <w:bCs/>
              </w:rPr>
              <w:t xml:space="preserve">20.8b. </w:t>
            </w:r>
            <w:r w:rsidR="11F4228F" w:rsidRPr="00683FF0">
              <w:rPr>
                <w:b/>
                <w:bCs/>
              </w:rPr>
              <w:t>The Government agrees with this recommendation.</w:t>
            </w:r>
            <w:r w:rsidRPr="00683FF0">
              <w:rPr>
                <w:b/>
                <w:bCs/>
              </w:rPr>
              <w:t xml:space="preserve"> </w:t>
            </w:r>
            <w:r w:rsidR="32D0D627" w:rsidRPr="00683FF0">
              <w:t xml:space="preserve">Work is underway as outlined in the response </w:t>
            </w:r>
            <w:r w:rsidR="00B62B8D" w:rsidRPr="00683FF0">
              <w:t xml:space="preserve">to </w:t>
            </w:r>
            <w:r w:rsidR="002D757A" w:rsidRPr="00683FF0">
              <w:t xml:space="preserve">recommendation </w:t>
            </w:r>
            <w:r w:rsidR="32D0D627" w:rsidRPr="00683FF0">
              <w:t xml:space="preserve">20.1.d and other parts of </w:t>
            </w:r>
            <w:r w:rsidR="002D757A" w:rsidRPr="00683FF0">
              <w:t xml:space="preserve">recommendation </w:t>
            </w:r>
            <w:r w:rsidR="32D0D627" w:rsidRPr="00683FF0">
              <w:t xml:space="preserve">20.8. </w:t>
            </w:r>
            <w:r w:rsidR="3AD41BF5" w:rsidRPr="00683FF0">
              <w:t>T</w:t>
            </w:r>
            <w:r w:rsidR="0B402ACD" w:rsidRPr="00683FF0">
              <w:t xml:space="preserve">he </w:t>
            </w:r>
            <w:r w:rsidR="56AAD838" w:rsidRPr="00683FF0">
              <w:t>g</w:t>
            </w:r>
            <w:r w:rsidR="0B402ACD" w:rsidRPr="00683FF0">
              <w:t xml:space="preserve">as transition </w:t>
            </w:r>
            <w:r w:rsidR="56AAD838" w:rsidRPr="00683FF0">
              <w:t>p</w:t>
            </w:r>
            <w:r w:rsidR="4CBCC58C" w:rsidRPr="00683FF0">
              <w:t>lan</w:t>
            </w:r>
            <w:r w:rsidR="14817648" w:rsidRPr="00683FF0">
              <w:t xml:space="preserve"> will explore opportunities for renewable gases. The Government will also investigate low-emissions energy supply options for renewable gas to support future emissions reductions </w:t>
            </w:r>
            <w:r w:rsidR="32D0D627" w:rsidRPr="00683FF0">
              <w:t>(</w:t>
            </w:r>
            <w:r w:rsidR="00B62B8D" w:rsidRPr="00683FF0">
              <w:t>c</w:t>
            </w:r>
            <w:r w:rsidR="32D0D627" w:rsidRPr="00683FF0">
              <w:t>hapter 11</w:t>
            </w:r>
            <w:r w:rsidR="00B62B8D" w:rsidRPr="00683FF0">
              <w:t>:</w:t>
            </w:r>
            <w:r w:rsidR="32D0D627" w:rsidRPr="00683FF0">
              <w:t xml:space="preserve"> Energy and </w:t>
            </w:r>
            <w:r w:rsidR="00B62B8D" w:rsidRPr="00683FF0">
              <w:t>i</w:t>
            </w:r>
            <w:r w:rsidR="32D0D627" w:rsidRPr="00683FF0">
              <w:t>ndustry</w:t>
            </w:r>
            <w:r w:rsidR="0073606E" w:rsidRPr="00683FF0">
              <w:t>,</w:t>
            </w:r>
            <w:r w:rsidR="32D0D627" w:rsidRPr="00683FF0">
              <w:t xml:space="preserve"> </w:t>
            </w:r>
            <w:r w:rsidR="0073606E" w:rsidRPr="00683FF0">
              <w:t>a</w:t>
            </w:r>
            <w:r w:rsidR="32D0D627" w:rsidRPr="00683FF0">
              <w:t xml:space="preserve">ctions </w:t>
            </w:r>
            <w:r w:rsidR="006F35F9" w:rsidRPr="00683FF0">
              <w:t>11.</w:t>
            </w:r>
            <w:r w:rsidR="32D0D627" w:rsidRPr="00683FF0">
              <w:t>3.1</w:t>
            </w:r>
            <w:r w:rsidR="0073606E" w:rsidRPr="00683FF0">
              <w:t>,</w:t>
            </w:r>
            <w:r w:rsidR="32D0D627" w:rsidRPr="00683FF0">
              <w:t xml:space="preserve"> </w:t>
            </w:r>
            <w:r w:rsidR="006F35F9" w:rsidRPr="00683FF0">
              <w:t>11.</w:t>
            </w:r>
            <w:r w:rsidR="32D0D627" w:rsidRPr="00683FF0">
              <w:t>3.2).</w:t>
            </w:r>
          </w:p>
          <w:p w14:paraId="737FDC54" w14:textId="4BD846BA" w:rsidR="004F67DD" w:rsidRPr="00683FF0" w:rsidRDefault="3F5E634E" w:rsidP="008A6F77">
            <w:pPr>
              <w:pStyle w:val="TableText"/>
              <w:spacing w:after="40"/>
            </w:pPr>
            <w:r w:rsidRPr="00683FF0">
              <w:rPr>
                <w:b/>
                <w:bCs/>
              </w:rPr>
              <w:t xml:space="preserve">20.8c. </w:t>
            </w:r>
            <w:r w:rsidR="37B90DEC" w:rsidRPr="00683FF0">
              <w:rPr>
                <w:b/>
                <w:bCs/>
              </w:rPr>
              <w:t>The Government agrees with this recommendation.</w:t>
            </w:r>
            <w:r w:rsidRPr="00683FF0">
              <w:rPr>
                <w:b/>
                <w:bCs/>
              </w:rPr>
              <w:t xml:space="preserve"> </w:t>
            </w:r>
            <w:r w:rsidR="2A950349" w:rsidRPr="00683FF0">
              <w:t xml:space="preserve">Work is underway as outlined in the response </w:t>
            </w:r>
            <w:r w:rsidR="001143B8" w:rsidRPr="00683FF0">
              <w:t xml:space="preserve">to </w:t>
            </w:r>
            <w:r w:rsidR="002D757A" w:rsidRPr="00683FF0">
              <w:t xml:space="preserve">recommendation </w:t>
            </w:r>
            <w:r w:rsidR="2A950349" w:rsidRPr="00683FF0">
              <w:t xml:space="preserve">20.1.d and other parts of </w:t>
            </w:r>
            <w:r w:rsidR="002D757A" w:rsidRPr="00683FF0">
              <w:t xml:space="preserve">recommendation </w:t>
            </w:r>
            <w:r w:rsidR="2A950349" w:rsidRPr="00683FF0">
              <w:t>20.8 (</w:t>
            </w:r>
            <w:r w:rsidR="001143B8" w:rsidRPr="00683FF0">
              <w:t>c</w:t>
            </w:r>
            <w:r w:rsidR="2A950349" w:rsidRPr="00683FF0">
              <w:t>hapter 11</w:t>
            </w:r>
            <w:r w:rsidR="001143B8" w:rsidRPr="00683FF0">
              <w:t>:</w:t>
            </w:r>
            <w:r w:rsidR="2A950349" w:rsidRPr="00683FF0">
              <w:t xml:space="preserve"> Energy and </w:t>
            </w:r>
            <w:r w:rsidR="001143B8" w:rsidRPr="00683FF0">
              <w:t>i</w:t>
            </w:r>
            <w:r w:rsidR="2A950349" w:rsidRPr="00683FF0">
              <w:t>ndustry</w:t>
            </w:r>
            <w:r w:rsidR="001143B8" w:rsidRPr="00683FF0">
              <w:t>,</w:t>
            </w:r>
            <w:r w:rsidR="2A950349" w:rsidRPr="00683FF0">
              <w:t xml:space="preserve"> </w:t>
            </w:r>
            <w:r w:rsidR="001143B8" w:rsidRPr="00683FF0">
              <w:t>a</w:t>
            </w:r>
            <w:r w:rsidR="2A950349" w:rsidRPr="00683FF0">
              <w:t xml:space="preserve">ction </w:t>
            </w:r>
            <w:r w:rsidR="006F35F9" w:rsidRPr="00683FF0">
              <w:t>11.</w:t>
            </w:r>
            <w:r w:rsidR="2A950349" w:rsidRPr="00683FF0">
              <w:t>3.1</w:t>
            </w:r>
            <w:r w:rsidR="001143B8" w:rsidRPr="00683FF0">
              <w:t>;</w:t>
            </w:r>
            <w:r w:rsidR="2A950349" w:rsidRPr="00683FF0">
              <w:t xml:space="preserve"> </w:t>
            </w:r>
            <w:r w:rsidR="001143B8" w:rsidRPr="00683FF0">
              <w:t>c</w:t>
            </w:r>
            <w:r w:rsidR="2A950349" w:rsidRPr="00683FF0">
              <w:t>hapter 12</w:t>
            </w:r>
            <w:r w:rsidR="001143B8" w:rsidRPr="00683FF0">
              <w:t>:</w:t>
            </w:r>
            <w:r w:rsidR="2A950349" w:rsidRPr="00683FF0">
              <w:t xml:space="preserve"> Building and </w:t>
            </w:r>
            <w:r w:rsidR="001143B8" w:rsidRPr="00683FF0">
              <w:t>c</w:t>
            </w:r>
            <w:r w:rsidR="2A950349" w:rsidRPr="00683FF0">
              <w:t>onstruction</w:t>
            </w:r>
            <w:r w:rsidR="001143B8" w:rsidRPr="00683FF0">
              <w:t>,</w:t>
            </w:r>
            <w:r w:rsidR="2A950349" w:rsidRPr="00683FF0">
              <w:t xml:space="preserve"> </w:t>
            </w:r>
            <w:r w:rsidR="001143B8" w:rsidRPr="00683FF0">
              <w:t>a</w:t>
            </w:r>
            <w:r w:rsidR="2A950349" w:rsidRPr="00683FF0">
              <w:t>ctions</w:t>
            </w:r>
            <w:r w:rsidR="002D757A" w:rsidRPr="00683FF0">
              <w:t> </w:t>
            </w:r>
            <w:r w:rsidR="006F35F9" w:rsidRPr="00683FF0">
              <w:t>12.</w:t>
            </w:r>
            <w:r w:rsidR="2A950349" w:rsidRPr="00683FF0">
              <w:t xml:space="preserve">3.1, </w:t>
            </w:r>
            <w:r w:rsidR="006F35F9" w:rsidRPr="00683FF0">
              <w:t>12.</w:t>
            </w:r>
            <w:r w:rsidR="2A950349" w:rsidRPr="00683FF0">
              <w:t xml:space="preserve">3.2 and </w:t>
            </w:r>
            <w:r w:rsidR="001143B8" w:rsidRPr="00683FF0">
              <w:t>f</w:t>
            </w:r>
            <w:r w:rsidR="2A950349" w:rsidRPr="00683FF0">
              <w:t xml:space="preserve">ocus </w:t>
            </w:r>
            <w:r w:rsidR="001143B8" w:rsidRPr="00683FF0">
              <w:t>a</w:t>
            </w:r>
            <w:r w:rsidR="2A950349" w:rsidRPr="00683FF0">
              <w:t>rea 4)</w:t>
            </w:r>
            <w:r w:rsidR="002D757A" w:rsidRPr="00683FF0">
              <w:t>.</w:t>
            </w:r>
          </w:p>
        </w:tc>
      </w:tr>
      <w:tr w:rsidR="00D1668C" w:rsidRPr="00683FF0" w14:paraId="2CD01A59" w14:textId="77777777" w:rsidTr="002D7558">
        <w:tc>
          <w:tcPr>
            <w:tcW w:w="4111" w:type="dxa"/>
          </w:tcPr>
          <w:p w14:paraId="5D9BAE9F" w14:textId="77777777" w:rsidR="00D1668C" w:rsidRPr="00683FF0" w:rsidRDefault="00D1668C" w:rsidP="00AC3040">
            <w:pPr>
              <w:rPr>
                <w:sz w:val="18"/>
                <w:szCs w:val="18"/>
              </w:rPr>
            </w:pPr>
          </w:p>
        </w:tc>
        <w:tc>
          <w:tcPr>
            <w:tcW w:w="4394" w:type="dxa"/>
          </w:tcPr>
          <w:p w14:paraId="47775FD0" w14:textId="197824B3" w:rsidR="00D1668C" w:rsidRPr="00683FF0" w:rsidRDefault="00D1668C" w:rsidP="008A6F77">
            <w:pPr>
              <w:pStyle w:val="TableText"/>
              <w:spacing w:after="40"/>
              <w:rPr>
                <w:b/>
                <w:bCs/>
              </w:rPr>
            </w:pPr>
            <w:r w:rsidRPr="00683FF0">
              <w:rPr>
                <w:b/>
                <w:bCs/>
              </w:rPr>
              <w:t xml:space="preserve">Responsible agency: </w:t>
            </w:r>
            <w:r w:rsidRPr="00683FF0">
              <w:t>Ministry of Business, Innovation and Employment</w:t>
            </w:r>
          </w:p>
          <w:p w14:paraId="49A37871" w14:textId="77777777" w:rsidR="00D1668C" w:rsidRPr="00683FF0" w:rsidRDefault="00D1668C" w:rsidP="008A6F77">
            <w:pPr>
              <w:pStyle w:val="TableText"/>
              <w:spacing w:before="40" w:after="40"/>
            </w:pPr>
            <w:r w:rsidRPr="00683FF0">
              <w:rPr>
                <w:b/>
                <w:bCs/>
              </w:rPr>
              <w:t xml:space="preserve">Responsible Minister: </w:t>
            </w:r>
            <w:r w:rsidRPr="00683FF0">
              <w:t>Minister of Energy and Resources</w:t>
            </w:r>
          </w:p>
          <w:p w14:paraId="44DE297B" w14:textId="4A83476A" w:rsidR="00D1668C" w:rsidRPr="00683FF0" w:rsidRDefault="00D1668C" w:rsidP="008A6F77">
            <w:pPr>
              <w:pStyle w:val="TableTextbold"/>
              <w:spacing w:before="40" w:after="40"/>
            </w:pPr>
            <w:r w:rsidRPr="00683FF0">
              <w:t xml:space="preserve">Timeline: </w:t>
            </w:r>
          </w:p>
          <w:p w14:paraId="48489A88" w14:textId="598665D2" w:rsidR="00D1668C" w:rsidRPr="00683FF0" w:rsidRDefault="2A34D43A" w:rsidP="008A6F77">
            <w:pPr>
              <w:pStyle w:val="TableBullet"/>
            </w:pPr>
            <w:r w:rsidRPr="00683FF0">
              <w:t>20.1. 2022</w:t>
            </w:r>
            <w:r w:rsidR="001143B8" w:rsidRPr="00683FF0">
              <w:t>–</w:t>
            </w:r>
            <w:r w:rsidRPr="00683FF0">
              <w:t xml:space="preserve">25 (EB1) The Government will develop an energy strategy by the end of 2024. </w:t>
            </w:r>
            <w:r w:rsidR="7CAB9579" w:rsidRPr="00683FF0">
              <w:t>A</w:t>
            </w:r>
            <w:r w:rsidRPr="00683FF0">
              <w:t xml:space="preserve"> renewable energy target has been set in the </w:t>
            </w:r>
            <w:r w:rsidR="00FD74DA" w:rsidRPr="00683FF0">
              <w:t>emissions reduction plan</w:t>
            </w:r>
            <w:r w:rsidRPr="00683FF0">
              <w:t xml:space="preserve">. </w:t>
            </w:r>
            <w:r w:rsidR="7CAB9579" w:rsidRPr="00683FF0">
              <w:t>The Government’s aspirational</w:t>
            </w:r>
            <w:r w:rsidR="00C1630D" w:rsidRPr="00683FF0">
              <w:t xml:space="preserve"> </w:t>
            </w:r>
            <w:r w:rsidR="7CAB9579" w:rsidRPr="00683FF0">
              <w:t xml:space="preserve">target for 100 percent renewable electricity </w:t>
            </w:r>
            <w:r w:rsidRPr="00683FF0">
              <w:t xml:space="preserve">will be reviewed in 2024, ahead of setting the next </w:t>
            </w:r>
            <w:r w:rsidR="00FD74DA" w:rsidRPr="00683FF0">
              <w:t>emissions reduction plan</w:t>
            </w:r>
            <w:r w:rsidRPr="00683FF0">
              <w:t xml:space="preserve">. </w:t>
            </w:r>
            <w:r w:rsidR="40C8841E" w:rsidRPr="00683FF0">
              <w:t xml:space="preserve">The </w:t>
            </w:r>
            <w:r w:rsidR="4370C7E6" w:rsidRPr="00683FF0">
              <w:t>g</w:t>
            </w:r>
            <w:r w:rsidR="40C8841E" w:rsidRPr="00683FF0">
              <w:t xml:space="preserve">as transition </w:t>
            </w:r>
            <w:r w:rsidR="4370C7E6" w:rsidRPr="00683FF0">
              <w:t>p</w:t>
            </w:r>
            <w:r w:rsidR="7CAB9579" w:rsidRPr="00683FF0">
              <w:t>lan</w:t>
            </w:r>
            <w:r w:rsidRPr="00683FF0">
              <w:t xml:space="preserve"> will be developed by the end of 2023</w:t>
            </w:r>
          </w:p>
          <w:p w14:paraId="643E5A4B" w14:textId="3A1045C3" w:rsidR="00D1668C" w:rsidRPr="00683FF0" w:rsidRDefault="408CF5D3" w:rsidP="008A6F77">
            <w:pPr>
              <w:pStyle w:val="TableBullet"/>
            </w:pPr>
            <w:r w:rsidRPr="00683FF0">
              <w:t xml:space="preserve">20.2 and 3. </w:t>
            </w:r>
            <w:r w:rsidR="00503FF6" w:rsidRPr="00683FF0">
              <w:t>U</w:t>
            </w:r>
            <w:r w:rsidRPr="00683FF0">
              <w:t xml:space="preserve">nderway </w:t>
            </w:r>
            <w:r w:rsidR="00503FF6" w:rsidRPr="00683FF0">
              <w:t>–</w:t>
            </w:r>
            <w:r w:rsidRPr="00683FF0">
              <w:t xml:space="preserve"> programmes across 2022</w:t>
            </w:r>
            <w:r w:rsidR="00503FF6" w:rsidRPr="00683FF0">
              <w:t>–</w:t>
            </w:r>
            <w:r w:rsidRPr="00683FF0">
              <w:t>25 (EB1) and beyond</w:t>
            </w:r>
          </w:p>
          <w:p w14:paraId="64B92346" w14:textId="303BA7B1" w:rsidR="00DB1AE9" w:rsidRPr="00683FF0" w:rsidRDefault="408CF5D3" w:rsidP="008A6F77">
            <w:pPr>
              <w:pStyle w:val="TableBullet"/>
            </w:pPr>
            <w:r w:rsidRPr="00683FF0">
              <w:t>20.4. Consultation on proposed changes to national direction tools expected in 2022, with changes in place in Budget period 1.</w:t>
            </w:r>
            <w:r w:rsidR="00AC27D3" w:rsidRPr="00683FF0">
              <w:t xml:space="preserve"> The</w:t>
            </w:r>
            <w:r w:rsidRPr="00683FF0">
              <w:t xml:space="preserve"> Māori</w:t>
            </w:r>
            <w:r w:rsidR="00AC27D3" w:rsidRPr="00683FF0">
              <w:t xml:space="preserve"> and Public</w:t>
            </w:r>
            <w:r w:rsidRPr="00683FF0">
              <w:t xml:space="preserve"> Housing Renewable Energy </w:t>
            </w:r>
            <w:r w:rsidR="00AC27D3" w:rsidRPr="00683FF0">
              <w:t>F</w:t>
            </w:r>
            <w:r w:rsidRPr="00683FF0">
              <w:t xml:space="preserve">und is currently being implemented. Electricity Authority programmes are underway and work will </w:t>
            </w:r>
            <w:r w:rsidR="00E95DD1" w:rsidRPr="00683FF0">
              <w:t xml:space="preserve">take place </w:t>
            </w:r>
            <w:r w:rsidRPr="00683FF0">
              <w:t>across 2022</w:t>
            </w:r>
            <w:r w:rsidR="00C94EA8" w:rsidRPr="00683FF0">
              <w:t>–</w:t>
            </w:r>
            <w:r w:rsidRPr="00683FF0">
              <w:t>25 (EB1) and beyond</w:t>
            </w:r>
          </w:p>
          <w:p w14:paraId="22C5B83F" w14:textId="1D9CBF8A" w:rsidR="00D1668C" w:rsidRPr="00683FF0" w:rsidRDefault="12D136E3" w:rsidP="008A6F77">
            <w:pPr>
              <w:pStyle w:val="TableBullet"/>
            </w:pPr>
            <w:r w:rsidRPr="00683FF0">
              <w:t>20.5.</w:t>
            </w:r>
            <w:r w:rsidRPr="00683FF0">
              <w:rPr>
                <w:b/>
                <w:bCs/>
              </w:rPr>
              <w:t xml:space="preserve"> </w:t>
            </w:r>
            <w:r w:rsidRPr="00683FF0">
              <w:t xml:space="preserve">Consultation on proposed changes to national direction tools </w:t>
            </w:r>
            <w:r w:rsidR="00E95DD1" w:rsidRPr="00683FF0">
              <w:t xml:space="preserve">is </w:t>
            </w:r>
            <w:r w:rsidRPr="00683FF0">
              <w:t xml:space="preserve">expected in 2022, with changes in place in Budget period 1. Electricity Authority programmes are underway, and work will </w:t>
            </w:r>
            <w:r w:rsidR="00E95DD1" w:rsidRPr="00683FF0">
              <w:t xml:space="preserve">take place </w:t>
            </w:r>
            <w:r w:rsidRPr="00683FF0">
              <w:t>across 2022</w:t>
            </w:r>
            <w:r w:rsidR="00C94EA8" w:rsidRPr="00683FF0">
              <w:t>–</w:t>
            </w:r>
            <w:r w:rsidRPr="00683FF0">
              <w:t>25 (EB1) and beyond. Transmission system actions will take place in 2022</w:t>
            </w:r>
            <w:r w:rsidR="00E95DD1" w:rsidRPr="00683FF0">
              <w:t>–</w:t>
            </w:r>
            <w:r w:rsidRPr="00683FF0">
              <w:t>25 (EB1)</w:t>
            </w:r>
          </w:p>
          <w:p w14:paraId="662AD0CD" w14:textId="216CCF1A" w:rsidR="00DB1AE9" w:rsidRPr="00683FF0" w:rsidRDefault="5D6B6D64" w:rsidP="008A6F77">
            <w:pPr>
              <w:pStyle w:val="TableBullet"/>
            </w:pPr>
            <w:r w:rsidRPr="00683FF0">
              <w:t xml:space="preserve">20.6. </w:t>
            </w:r>
            <w:r w:rsidR="0960C18C" w:rsidRPr="00683FF0">
              <w:t>The Government will consider the implications of a significant change in supply or demand as and when the opportunity for such a change arises</w:t>
            </w:r>
          </w:p>
          <w:p w14:paraId="54B845F7" w14:textId="05652055" w:rsidR="00DB1AE9" w:rsidRPr="00683FF0" w:rsidRDefault="12D136E3" w:rsidP="008A6F77">
            <w:pPr>
              <w:pStyle w:val="TableBullet"/>
            </w:pPr>
            <w:r w:rsidRPr="00683FF0">
              <w:t>20.7.</w:t>
            </w:r>
            <w:r w:rsidRPr="00683FF0">
              <w:rPr>
                <w:b/>
                <w:bCs/>
              </w:rPr>
              <w:t xml:space="preserve"> </w:t>
            </w:r>
            <w:r w:rsidRPr="00683FF0">
              <w:t>2022</w:t>
            </w:r>
            <w:r w:rsidR="00E95DD1" w:rsidRPr="00683FF0">
              <w:t>–</w:t>
            </w:r>
            <w:r w:rsidRPr="00683FF0">
              <w:t xml:space="preserve">25 (EB1). Work on hydrogen partnerships and standards is underway </w:t>
            </w:r>
            <w:r w:rsidR="00E95DD1" w:rsidRPr="00683FF0">
              <w:t>–</w:t>
            </w:r>
            <w:r w:rsidRPr="00683FF0">
              <w:t xml:space="preserve"> programmes </w:t>
            </w:r>
            <w:r w:rsidR="00E95DD1" w:rsidRPr="00683FF0">
              <w:t xml:space="preserve">will take place </w:t>
            </w:r>
            <w:r w:rsidRPr="00683FF0">
              <w:t>across 2022</w:t>
            </w:r>
            <w:r w:rsidR="00E95DD1" w:rsidRPr="00683FF0">
              <w:t>–</w:t>
            </w:r>
            <w:r w:rsidRPr="00683FF0">
              <w:t>25 (EB1) and beyond</w:t>
            </w:r>
          </w:p>
          <w:p w14:paraId="3886F775" w14:textId="7F1B036F" w:rsidR="00DB1AE9" w:rsidRPr="00683FF0" w:rsidRDefault="12D136E3" w:rsidP="008A6F77">
            <w:pPr>
              <w:pStyle w:val="TableBullet"/>
            </w:pPr>
            <w:r w:rsidRPr="00683FF0">
              <w:t>20.8</w:t>
            </w:r>
            <w:r w:rsidR="00AC27D3" w:rsidRPr="00683FF0">
              <w:t>.</w:t>
            </w:r>
            <w:r w:rsidRPr="00683FF0">
              <w:t xml:space="preserve"> 2022</w:t>
            </w:r>
            <w:r w:rsidR="00E95DD1" w:rsidRPr="00683FF0">
              <w:t>–</w:t>
            </w:r>
            <w:r w:rsidRPr="00683FF0">
              <w:t>25 (EB1)</w:t>
            </w:r>
          </w:p>
        </w:tc>
      </w:tr>
    </w:tbl>
    <w:p w14:paraId="1C96A2DD" w14:textId="3E27821A" w:rsidR="50E302AE" w:rsidRPr="00683FF0" w:rsidRDefault="50E302AE" w:rsidP="00221EB9">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61"/>
        <w:gridCol w:w="4244"/>
      </w:tblGrid>
      <w:tr w:rsidR="002F0FE7" w:rsidRPr="00683FF0" w14:paraId="3F80C846" w14:textId="77777777" w:rsidTr="002F0FE7">
        <w:trPr>
          <w:tblHeader/>
        </w:trPr>
        <w:tc>
          <w:tcPr>
            <w:tcW w:w="4255" w:type="dxa"/>
            <w:tcBorders>
              <w:top w:val="single" w:sz="4" w:space="0" w:color="1B556B" w:themeColor="text2"/>
              <w:bottom w:val="nil"/>
            </w:tcBorders>
            <w:shd w:val="clear" w:color="auto" w:fill="1B556B" w:themeFill="text2"/>
            <w:vAlign w:val="center"/>
          </w:tcPr>
          <w:p w14:paraId="202FE1C5" w14:textId="4A5FB63B" w:rsidR="007563EA" w:rsidRPr="00683FF0" w:rsidRDefault="007563EA" w:rsidP="002F0FE7">
            <w:pPr>
              <w:pStyle w:val="TableTextbold"/>
              <w:keepNext/>
              <w:rPr>
                <w:color w:val="FFFFFF" w:themeColor="background1"/>
              </w:rPr>
            </w:pPr>
            <w:r w:rsidRPr="00683FF0">
              <w:rPr>
                <w:color w:val="FFFFFF" w:themeColor="background1"/>
              </w:rPr>
              <w:t xml:space="preserve">Report </w:t>
            </w:r>
            <w:r w:rsidR="00E95DD1" w:rsidRPr="00683FF0">
              <w:rPr>
                <w:color w:val="FFFFFF" w:themeColor="background1"/>
              </w:rPr>
              <w:t>r</w:t>
            </w:r>
            <w:r w:rsidRPr="00683FF0">
              <w:rPr>
                <w:color w:val="FFFFFF" w:themeColor="background1"/>
              </w:rPr>
              <w:t>ecommendation</w:t>
            </w:r>
          </w:p>
        </w:tc>
        <w:tc>
          <w:tcPr>
            <w:tcW w:w="4239" w:type="dxa"/>
            <w:tcBorders>
              <w:top w:val="single" w:sz="4" w:space="0" w:color="1B556B" w:themeColor="text2"/>
              <w:bottom w:val="nil"/>
            </w:tcBorders>
            <w:shd w:val="clear" w:color="auto" w:fill="1B556B" w:themeFill="text2"/>
            <w:vAlign w:val="center"/>
          </w:tcPr>
          <w:p w14:paraId="67F51057" w14:textId="54DEC77B" w:rsidR="007563EA" w:rsidRPr="00683FF0" w:rsidRDefault="007563EA" w:rsidP="002F0FE7">
            <w:pPr>
              <w:pStyle w:val="TableTextbold"/>
              <w:keepNext/>
              <w:rPr>
                <w:color w:val="FFFFFF" w:themeColor="background1"/>
              </w:rPr>
            </w:pPr>
            <w:r w:rsidRPr="00683FF0">
              <w:rPr>
                <w:color w:val="FFFFFF" w:themeColor="background1"/>
              </w:rPr>
              <w:t xml:space="preserve">Government </w:t>
            </w:r>
            <w:r w:rsidR="00E95DD1" w:rsidRPr="00683FF0">
              <w:rPr>
                <w:color w:val="FFFFFF" w:themeColor="background1"/>
              </w:rPr>
              <w:t>r</w:t>
            </w:r>
            <w:r w:rsidRPr="00683FF0">
              <w:rPr>
                <w:color w:val="FFFFFF" w:themeColor="background1"/>
              </w:rPr>
              <w:t>esponse</w:t>
            </w:r>
          </w:p>
        </w:tc>
      </w:tr>
      <w:tr w:rsidR="007563EA" w:rsidRPr="00683FF0" w14:paraId="4A838D59" w14:textId="77777777" w:rsidTr="002F0FE7">
        <w:tc>
          <w:tcPr>
            <w:tcW w:w="4255" w:type="dxa"/>
            <w:tcBorders>
              <w:top w:val="nil"/>
              <w:bottom w:val="nil"/>
            </w:tcBorders>
            <w:shd w:val="clear" w:color="auto" w:fill="D2DDE1" w:themeFill="background2"/>
          </w:tcPr>
          <w:p w14:paraId="12E198FD" w14:textId="3C236F81" w:rsidR="007563EA" w:rsidRPr="00683FF0" w:rsidRDefault="007563EA" w:rsidP="002F0FE7">
            <w:pPr>
              <w:pStyle w:val="TableTextbold"/>
              <w:keepNext/>
            </w:pPr>
            <w:r w:rsidRPr="00683FF0">
              <w:t xml:space="preserve">Recommendation 20 </w:t>
            </w:r>
            <w:r w:rsidR="00A60AAD" w:rsidRPr="00683FF0">
              <w:t>–</w:t>
            </w:r>
            <w:r w:rsidRPr="00683FF0">
              <w:t xml:space="preserve"> </w:t>
            </w:r>
            <w:r w:rsidR="00A60AAD" w:rsidRPr="00683FF0">
              <w:t>Provisional</w:t>
            </w:r>
            <w:r w:rsidR="00AB7891" w:rsidRPr="00683FF0">
              <w:t xml:space="preserve"> progress</w:t>
            </w:r>
            <w:r w:rsidR="00A60AAD" w:rsidRPr="00683FF0">
              <w:t xml:space="preserve"> indicators </w:t>
            </w:r>
          </w:p>
        </w:tc>
        <w:tc>
          <w:tcPr>
            <w:tcW w:w="4239" w:type="dxa"/>
            <w:tcBorders>
              <w:top w:val="nil"/>
              <w:bottom w:val="nil"/>
            </w:tcBorders>
            <w:shd w:val="clear" w:color="auto" w:fill="D2DDE1" w:themeFill="background2"/>
          </w:tcPr>
          <w:p w14:paraId="73B6E531" w14:textId="77777777" w:rsidR="007563EA" w:rsidRPr="00683FF0" w:rsidRDefault="007563EA" w:rsidP="002F0FE7">
            <w:pPr>
              <w:pStyle w:val="TableTextbold"/>
              <w:keepNext/>
            </w:pPr>
          </w:p>
        </w:tc>
      </w:tr>
      <w:tr w:rsidR="007563EA" w:rsidRPr="00683FF0" w14:paraId="332B4646" w14:textId="77777777" w:rsidTr="002F0FE7">
        <w:tc>
          <w:tcPr>
            <w:tcW w:w="4255" w:type="dxa"/>
            <w:tcBorders>
              <w:top w:val="nil"/>
            </w:tcBorders>
          </w:tcPr>
          <w:p w14:paraId="33D2759C" w14:textId="5F284A09" w:rsidR="007563EA" w:rsidRPr="00683FF0" w:rsidRDefault="00AB7891" w:rsidP="002F0FE7">
            <w:pPr>
              <w:pStyle w:val="TableText"/>
              <w:keepNext/>
            </w:pPr>
            <w:r w:rsidRPr="00683FF0">
              <w:t>20.</w:t>
            </w:r>
            <w:r w:rsidR="0040095A" w:rsidRPr="00683FF0">
              <w:t xml:space="preserve">1. </w:t>
            </w:r>
            <w:r w:rsidR="0083411E" w:rsidRPr="00683FF0">
              <w:t>Government to undertake with urgency, and have published by 31 March 2022, an assessment of the consequences of significant changes in the balance of supply and demand of electricity (such as significant blocks of capacity) on the pace, equitable availability and cost of electrification in Aotearoa.</w:t>
            </w:r>
          </w:p>
        </w:tc>
        <w:tc>
          <w:tcPr>
            <w:tcW w:w="4239" w:type="dxa"/>
            <w:tcBorders>
              <w:top w:val="nil"/>
            </w:tcBorders>
          </w:tcPr>
          <w:p w14:paraId="2BF6B931" w14:textId="582762E1" w:rsidR="00EA1F90" w:rsidRPr="00683FF0" w:rsidRDefault="00AB7891" w:rsidP="002F0FE7">
            <w:pPr>
              <w:pStyle w:val="TableText"/>
              <w:keepNext/>
            </w:pPr>
            <w:r w:rsidRPr="00683FF0">
              <w:rPr>
                <w:b/>
                <w:bCs/>
              </w:rPr>
              <w:t xml:space="preserve">20.1. </w:t>
            </w:r>
            <w:r w:rsidR="0091053B" w:rsidRPr="00683FF0">
              <w:rPr>
                <w:b/>
                <w:bCs/>
              </w:rPr>
              <w:t>The Government agrees in principle with this provisional</w:t>
            </w:r>
            <w:r w:rsidR="00E03880" w:rsidRPr="00683FF0">
              <w:rPr>
                <w:b/>
                <w:bCs/>
              </w:rPr>
              <w:t xml:space="preserve"> progress</w:t>
            </w:r>
            <w:r w:rsidR="0091053B" w:rsidRPr="00683FF0">
              <w:rPr>
                <w:b/>
                <w:bCs/>
              </w:rPr>
              <w:t xml:space="preserve"> indicator.</w:t>
            </w:r>
            <w:r w:rsidR="00E0608A" w:rsidRPr="00683FF0">
              <w:t xml:space="preserve"> </w:t>
            </w:r>
            <w:r w:rsidR="00EA1F90" w:rsidRPr="00683FF0">
              <w:t>The Government will consider the implications of a significant change in supply or demand as and when the opportunity for such a change arises (such as a change in demand due to NZAS closure).</w:t>
            </w:r>
          </w:p>
        </w:tc>
      </w:tr>
      <w:tr w:rsidR="007563EA" w:rsidRPr="00683FF0" w14:paraId="769B0535" w14:textId="77777777" w:rsidTr="002F0FE7">
        <w:tc>
          <w:tcPr>
            <w:tcW w:w="4255" w:type="dxa"/>
          </w:tcPr>
          <w:p w14:paraId="1E33AB1F" w14:textId="2BA9FBD6" w:rsidR="007563EA" w:rsidRPr="00683FF0" w:rsidRDefault="00AB7891" w:rsidP="002F0FE7">
            <w:pPr>
              <w:pStyle w:val="TableText"/>
            </w:pPr>
            <w:r w:rsidRPr="00683FF0">
              <w:t>20.</w:t>
            </w:r>
            <w:r w:rsidR="0040095A" w:rsidRPr="00683FF0">
              <w:t xml:space="preserve">2. </w:t>
            </w:r>
            <w:r w:rsidR="0083411E" w:rsidRPr="00683FF0">
              <w:t>Government to have, by 30 June 2023, delivered a draft strategy to decarbonise the energy system for consultation. To have published the final strategy by 30 June 2024.</w:t>
            </w:r>
          </w:p>
        </w:tc>
        <w:tc>
          <w:tcPr>
            <w:tcW w:w="4239" w:type="dxa"/>
          </w:tcPr>
          <w:p w14:paraId="3F3886E0" w14:textId="263E85A2" w:rsidR="00EA1F90" w:rsidRPr="00683FF0" w:rsidRDefault="00AB7891" w:rsidP="002F0FE7">
            <w:pPr>
              <w:pStyle w:val="TableText"/>
            </w:pPr>
            <w:r w:rsidRPr="00683FF0">
              <w:rPr>
                <w:b/>
                <w:bCs/>
              </w:rPr>
              <w:t xml:space="preserve">20.2. </w:t>
            </w:r>
            <w:r w:rsidR="0091053B" w:rsidRPr="00683FF0">
              <w:rPr>
                <w:b/>
                <w:bCs/>
              </w:rPr>
              <w:t>The Government agrees in part with this provisional</w:t>
            </w:r>
            <w:r w:rsidR="00E03880" w:rsidRPr="00683FF0">
              <w:rPr>
                <w:b/>
                <w:bCs/>
              </w:rPr>
              <w:t xml:space="preserve"> progress</w:t>
            </w:r>
            <w:r w:rsidR="0091053B" w:rsidRPr="00683FF0">
              <w:rPr>
                <w:b/>
                <w:bCs/>
              </w:rPr>
              <w:t xml:space="preserve"> indicator.</w:t>
            </w:r>
            <w:r w:rsidR="00E0608A" w:rsidRPr="00683FF0">
              <w:t xml:space="preserve"> The </w:t>
            </w:r>
            <w:r w:rsidR="001F2609" w:rsidRPr="00683FF0">
              <w:t xml:space="preserve">energy </w:t>
            </w:r>
            <w:r w:rsidR="00E0608A" w:rsidRPr="00683FF0">
              <w:t>s</w:t>
            </w:r>
            <w:r w:rsidR="74FCB0FF" w:rsidRPr="00683FF0">
              <w:t xml:space="preserve">trategy </w:t>
            </w:r>
            <w:r w:rsidR="00E0608A" w:rsidRPr="00683FF0">
              <w:t xml:space="preserve">is </w:t>
            </w:r>
            <w:r w:rsidR="74FCB0FF" w:rsidRPr="00683FF0">
              <w:t xml:space="preserve">to be finalised by </w:t>
            </w:r>
            <w:r w:rsidR="00E0608A" w:rsidRPr="00683FF0">
              <w:t xml:space="preserve">the </w:t>
            </w:r>
            <w:r w:rsidR="74FCB0FF" w:rsidRPr="00683FF0">
              <w:t xml:space="preserve">end </w:t>
            </w:r>
            <w:r w:rsidR="00E0608A" w:rsidRPr="00683FF0">
              <w:t xml:space="preserve">of </w:t>
            </w:r>
            <w:r w:rsidR="74FCB0FF" w:rsidRPr="00683FF0">
              <w:t>2024 (</w:t>
            </w:r>
            <w:r w:rsidR="00E0608A" w:rsidRPr="00683FF0">
              <w:t>c</w:t>
            </w:r>
            <w:r w:rsidR="74FCB0FF" w:rsidRPr="00683FF0">
              <w:t>hapter 11</w:t>
            </w:r>
            <w:r w:rsidR="00E0608A" w:rsidRPr="00683FF0">
              <w:t>:</w:t>
            </w:r>
            <w:r w:rsidR="74FCB0FF" w:rsidRPr="00683FF0">
              <w:t xml:space="preserve"> Energy and </w:t>
            </w:r>
            <w:r w:rsidR="00765EC5" w:rsidRPr="00683FF0">
              <w:t>i</w:t>
            </w:r>
            <w:r w:rsidR="74FCB0FF" w:rsidRPr="00683FF0">
              <w:t>ndustry</w:t>
            </w:r>
            <w:r w:rsidR="00765EC5" w:rsidRPr="00683FF0">
              <w:t>,</w:t>
            </w:r>
            <w:r w:rsidR="74FCB0FF" w:rsidRPr="00683FF0">
              <w:t xml:space="preserve"> </w:t>
            </w:r>
            <w:r w:rsidR="00765EC5" w:rsidRPr="00683FF0">
              <w:t>a</w:t>
            </w:r>
            <w:r w:rsidR="74FCB0FF" w:rsidRPr="00683FF0">
              <w:t xml:space="preserve">ction </w:t>
            </w:r>
            <w:r w:rsidR="006F35F9" w:rsidRPr="00683FF0">
              <w:t>11.</w:t>
            </w:r>
            <w:r w:rsidR="74FCB0FF" w:rsidRPr="00683FF0">
              <w:t>5.2).</w:t>
            </w:r>
          </w:p>
        </w:tc>
      </w:tr>
      <w:tr w:rsidR="007563EA" w:rsidRPr="00683FF0" w14:paraId="5B049CBF" w14:textId="77777777" w:rsidTr="002F0FE7">
        <w:tc>
          <w:tcPr>
            <w:tcW w:w="4255" w:type="dxa"/>
            <w:shd w:val="clear" w:color="auto" w:fill="FFFFFF" w:themeFill="background1"/>
          </w:tcPr>
          <w:p w14:paraId="4AFECFF8" w14:textId="10E6507E" w:rsidR="007563EA" w:rsidRPr="00683FF0" w:rsidRDefault="00AB7891" w:rsidP="002F0FE7">
            <w:pPr>
              <w:pStyle w:val="TableText"/>
            </w:pPr>
            <w:r w:rsidRPr="00683FF0">
              <w:t>20.</w:t>
            </w:r>
            <w:r w:rsidR="0040095A" w:rsidRPr="00683FF0">
              <w:t xml:space="preserve">3. </w:t>
            </w:r>
            <w:r w:rsidR="0083411E" w:rsidRPr="00683FF0">
              <w:t>Government to have, by 30 June 2022, set a renewable energy target of at least 50% total final energy consumption, or equivalent – to be achieved by 31 December 2035.</w:t>
            </w:r>
          </w:p>
        </w:tc>
        <w:tc>
          <w:tcPr>
            <w:tcW w:w="4239" w:type="dxa"/>
            <w:shd w:val="clear" w:color="auto" w:fill="FFFFFF" w:themeFill="background1"/>
          </w:tcPr>
          <w:p w14:paraId="2C7D391B" w14:textId="5E130D06" w:rsidR="009C03D2" w:rsidRPr="00683FF0" w:rsidRDefault="00AB7891" w:rsidP="002F0FE7">
            <w:pPr>
              <w:pStyle w:val="TableText"/>
            </w:pPr>
            <w:r w:rsidRPr="00683FF0">
              <w:rPr>
                <w:b/>
                <w:bCs/>
              </w:rPr>
              <w:t xml:space="preserve">20.3. </w:t>
            </w:r>
            <w:r w:rsidR="0091053B" w:rsidRPr="00683FF0">
              <w:rPr>
                <w:b/>
                <w:bCs/>
              </w:rPr>
              <w:t>The Government agrees with this provisional</w:t>
            </w:r>
            <w:r w:rsidR="00E03880" w:rsidRPr="00683FF0">
              <w:rPr>
                <w:b/>
                <w:bCs/>
              </w:rPr>
              <w:t xml:space="preserve"> progress</w:t>
            </w:r>
            <w:r w:rsidR="0091053B" w:rsidRPr="00683FF0">
              <w:rPr>
                <w:b/>
                <w:bCs/>
              </w:rPr>
              <w:t xml:space="preserve"> indicator.</w:t>
            </w:r>
            <w:r w:rsidR="001F2609" w:rsidRPr="00683FF0">
              <w:t xml:space="preserve"> </w:t>
            </w:r>
            <w:r w:rsidR="74FCB0FF" w:rsidRPr="00683FF0">
              <w:t xml:space="preserve">A target </w:t>
            </w:r>
            <w:r w:rsidR="001F2609" w:rsidRPr="00683FF0">
              <w:t xml:space="preserve">of </w:t>
            </w:r>
            <w:r w:rsidR="74FCB0FF" w:rsidRPr="00683FF0">
              <w:t>50</w:t>
            </w:r>
            <w:r w:rsidR="00A179EB" w:rsidRPr="00683FF0">
              <w:t>%</w:t>
            </w:r>
            <w:r w:rsidR="74FCB0FF" w:rsidRPr="00683FF0">
              <w:t xml:space="preserve"> of total final energy consumption to come from renewable sources by 2035 has been set in the </w:t>
            </w:r>
            <w:r w:rsidR="00FD74DA" w:rsidRPr="00683FF0">
              <w:t>emissions reduction plan</w:t>
            </w:r>
            <w:r w:rsidR="2134FDB0" w:rsidRPr="00683FF0">
              <w:t xml:space="preserve"> (</w:t>
            </w:r>
            <w:r w:rsidR="001F2609" w:rsidRPr="00683FF0">
              <w:t>c</w:t>
            </w:r>
            <w:r w:rsidR="2134FDB0" w:rsidRPr="00683FF0">
              <w:t>hapter 11</w:t>
            </w:r>
            <w:r w:rsidR="001F2609" w:rsidRPr="00683FF0">
              <w:t>:</w:t>
            </w:r>
            <w:r w:rsidR="2134FDB0" w:rsidRPr="00683FF0">
              <w:t xml:space="preserve"> Energy and </w:t>
            </w:r>
            <w:r w:rsidR="001F2609" w:rsidRPr="00683FF0">
              <w:t>i</w:t>
            </w:r>
            <w:r w:rsidR="2134FDB0" w:rsidRPr="00683FF0">
              <w:t>ndustry</w:t>
            </w:r>
            <w:r w:rsidR="001F2609" w:rsidRPr="00683FF0">
              <w:t>,</w:t>
            </w:r>
            <w:r w:rsidR="2134FDB0" w:rsidRPr="00683FF0">
              <w:t xml:space="preserve"> </w:t>
            </w:r>
            <w:r w:rsidR="001F2609" w:rsidRPr="00683FF0">
              <w:t>a</w:t>
            </w:r>
            <w:r w:rsidR="2134FDB0" w:rsidRPr="00683FF0">
              <w:t xml:space="preserve">ction </w:t>
            </w:r>
            <w:r w:rsidR="006F35F9" w:rsidRPr="00683FF0">
              <w:t>11.</w:t>
            </w:r>
            <w:r w:rsidR="2134FDB0" w:rsidRPr="00683FF0">
              <w:t>5.1).</w:t>
            </w:r>
          </w:p>
        </w:tc>
      </w:tr>
      <w:tr w:rsidR="007563EA" w:rsidRPr="00683FF0" w14:paraId="5140B685" w14:textId="77777777" w:rsidTr="002F0FE7">
        <w:tc>
          <w:tcPr>
            <w:tcW w:w="4255" w:type="dxa"/>
          </w:tcPr>
          <w:p w14:paraId="5AFE205B" w14:textId="048296DF" w:rsidR="007563EA" w:rsidRPr="00683FF0" w:rsidRDefault="00AB7891" w:rsidP="002F0FE7">
            <w:pPr>
              <w:pStyle w:val="TableText"/>
            </w:pPr>
            <w:r w:rsidRPr="00683FF0">
              <w:lastRenderedPageBreak/>
              <w:t>20.</w:t>
            </w:r>
            <w:r w:rsidR="0040095A" w:rsidRPr="00683FF0">
              <w:t xml:space="preserve">4. </w:t>
            </w:r>
            <w:r w:rsidR="0083411E" w:rsidRPr="00683FF0">
              <w:t>Government to report, from 31 December 2022, on a suite of indicators annually including the emissions intensity of the electricity grid, annual investment in electricity infrastructure, average retail electricity prices for households, volume of low-carbon fuels produced.</w:t>
            </w:r>
          </w:p>
        </w:tc>
        <w:tc>
          <w:tcPr>
            <w:tcW w:w="4239" w:type="dxa"/>
          </w:tcPr>
          <w:p w14:paraId="622C1C26" w14:textId="66C2A47E" w:rsidR="009C03D2" w:rsidRPr="00683FF0" w:rsidRDefault="00AB7891" w:rsidP="002F0FE7">
            <w:pPr>
              <w:pStyle w:val="TableText"/>
            </w:pPr>
            <w:r w:rsidRPr="00683FF0">
              <w:rPr>
                <w:b/>
                <w:bCs/>
              </w:rPr>
              <w:t xml:space="preserve">20.4. </w:t>
            </w:r>
            <w:r w:rsidR="0091053B" w:rsidRPr="00683FF0">
              <w:rPr>
                <w:b/>
                <w:bCs/>
              </w:rPr>
              <w:t>The Government agrees with this provisional</w:t>
            </w:r>
            <w:r w:rsidR="00E03880" w:rsidRPr="00683FF0">
              <w:rPr>
                <w:b/>
                <w:bCs/>
              </w:rPr>
              <w:t xml:space="preserve"> progress</w:t>
            </w:r>
            <w:r w:rsidR="0091053B" w:rsidRPr="00683FF0">
              <w:rPr>
                <w:b/>
                <w:bCs/>
              </w:rPr>
              <w:t xml:space="preserve"> indicator.</w:t>
            </w:r>
            <w:r w:rsidR="005F7149" w:rsidRPr="00683FF0">
              <w:t xml:space="preserve"> </w:t>
            </w:r>
            <w:r w:rsidR="2134FDB0" w:rsidRPr="00683FF0">
              <w:t>Consideration of a suite of appropriate indicators is underway and</w:t>
            </w:r>
            <w:r w:rsidR="005F7149" w:rsidRPr="00683FF0">
              <w:t xml:space="preserve"> these indicators</w:t>
            </w:r>
            <w:r w:rsidR="2134FDB0" w:rsidRPr="00683FF0">
              <w:t xml:space="preserve"> will be developed to complement the renewable energy and renewable electricity targets (</w:t>
            </w:r>
            <w:r w:rsidR="005F7149" w:rsidRPr="00683FF0">
              <w:t>c</w:t>
            </w:r>
            <w:r w:rsidR="2134FDB0" w:rsidRPr="00683FF0">
              <w:t>hapter 11</w:t>
            </w:r>
            <w:r w:rsidR="005F7149" w:rsidRPr="00683FF0">
              <w:t>:</w:t>
            </w:r>
            <w:r w:rsidR="2134FDB0" w:rsidRPr="00683FF0">
              <w:t xml:space="preserve"> Energy and </w:t>
            </w:r>
            <w:r w:rsidR="005F7149" w:rsidRPr="00683FF0">
              <w:t>i</w:t>
            </w:r>
            <w:r w:rsidR="2134FDB0" w:rsidRPr="00683FF0">
              <w:t>ndustry</w:t>
            </w:r>
            <w:r w:rsidR="005F7149" w:rsidRPr="00683FF0">
              <w:t>,</w:t>
            </w:r>
            <w:r w:rsidR="2134FDB0" w:rsidRPr="00683FF0">
              <w:t xml:space="preserve"> </w:t>
            </w:r>
            <w:r w:rsidR="005F7149" w:rsidRPr="00683FF0">
              <w:t>a</w:t>
            </w:r>
            <w:r w:rsidR="2134FDB0" w:rsidRPr="00683FF0">
              <w:t xml:space="preserve">ction </w:t>
            </w:r>
            <w:r w:rsidR="006F35F9" w:rsidRPr="00683FF0">
              <w:t>11.</w:t>
            </w:r>
            <w:r w:rsidR="2134FDB0" w:rsidRPr="00683FF0">
              <w:t>5.1).</w:t>
            </w:r>
          </w:p>
        </w:tc>
      </w:tr>
      <w:tr w:rsidR="00074D7D" w:rsidRPr="00683FF0" w14:paraId="1B51BBDE" w14:textId="77777777" w:rsidTr="002F0FE7">
        <w:tc>
          <w:tcPr>
            <w:tcW w:w="4255" w:type="dxa"/>
          </w:tcPr>
          <w:p w14:paraId="3D4A8B28" w14:textId="77777777" w:rsidR="00074D7D" w:rsidRPr="00683FF0" w:rsidRDefault="00074D7D" w:rsidP="002F0FE7">
            <w:pPr>
              <w:pStyle w:val="TableText"/>
            </w:pPr>
          </w:p>
        </w:tc>
        <w:tc>
          <w:tcPr>
            <w:tcW w:w="4239" w:type="dxa"/>
          </w:tcPr>
          <w:p w14:paraId="5CEED785" w14:textId="66D77B0C" w:rsidR="00074D7D" w:rsidRPr="00683FF0" w:rsidRDefault="00074D7D" w:rsidP="002F0FE7">
            <w:pPr>
              <w:pStyle w:val="TableText"/>
              <w:rPr>
                <w:b/>
                <w:bCs/>
              </w:rPr>
            </w:pPr>
            <w:r w:rsidRPr="00683FF0">
              <w:rPr>
                <w:b/>
                <w:bCs/>
              </w:rPr>
              <w:t xml:space="preserve">Responsible agency: </w:t>
            </w:r>
            <w:r w:rsidRPr="00683FF0">
              <w:t>Ministry of Business, Innovation and Employment</w:t>
            </w:r>
          </w:p>
          <w:p w14:paraId="51CEE7CD" w14:textId="77777777" w:rsidR="00074D7D" w:rsidRPr="00683FF0" w:rsidRDefault="00074D7D" w:rsidP="00FE215C">
            <w:pPr>
              <w:pStyle w:val="TableText"/>
              <w:spacing w:before="0"/>
              <w:rPr>
                <w:b/>
                <w:bCs/>
              </w:rPr>
            </w:pPr>
            <w:r w:rsidRPr="00683FF0">
              <w:rPr>
                <w:b/>
                <w:bCs/>
              </w:rPr>
              <w:t xml:space="preserve">Responsible Minister: </w:t>
            </w:r>
            <w:r w:rsidRPr="00683FF0">
              <w:t>Minister of Energy and Resources</w:t>
            </w:r>
          </w:p>
          <w:p w14:paraId="2E0D1567" w14:textId="1BA3E6F1" w:rsidR="00074D7D" w:rsidRPr="00683FF0" w:rsidRDefault="6CB788C7" w:rsidP="00FE215C">
            <w:pPr>
              <w:pStyle w:val="TableText"/>
              <w:spacing w:before="0"/>
              <w:rPr>
                <w:b/>
                <w:bCs/>
              </w:rPr>
            </w:pPr>
            <w:r w:rsidRPr="00683FF0">
              <w:rPr>
                <w:b/>
                <w:bCs/>
              </w:rPr>
              <w:t xml:space="preserve">Timeline: </w:t>
            </w:r>
            <w:r w:rsidRPr="00683FF0">
              <w:t>2022</w:t>
            </w:r>
            <w:r w:rsidR="00F12EDA" w:rsidRPr="00683FF0">
              <w:t>–</w:t>
            </w:r>
            <w:r w:rsidRPr="00683FF0">
              <w:t>25 (EB1)</w:t>
            </w:r>
          </w:p>
          <w:p w14:paraId="543FA279" w14:textId="79DF6F22" w:rsidR="00074D7D" w:rsidRPr="00683FF0" w:rsidRDefault="6FEDA7F3" w:rsidP="002F0FE7">
            <w:pPr>
              <w:pStyle w:val="TableBullet"/>
            </w:pPr>
            <w:r w:rsidRPr="00683FF0">
              <w:t xml:space="preserve">20.1. </w:t>
            </w:r>
            <w:r w:rsidR="6A6DDB17" w:rsidRPr="00683FF0">
              <w:t>The Government will consider the implications of a significant change in supply or demand as and when the opportunity for such a change arises</w:t>
            </w:r>
          </w:p>
          <w:p w14:paraId="03762974" w14:textId="0BB7656A" w:rsidR="00074D7D" w:rsidRPr="00683FF0" w:rsidRDefault="6CB788C7" w:rsidP="002F0FE7">
            <w:pPr>
              <w:pStyle w:val="TableBullet"/>
            </w:pPr>
            <w:r w:rsidRPr="00683FF0">
              <w:t xml:space="preserve">20.2. An energy strategy will be finalised by </w:t>
            </w:r>
            <w:r w:rsidR="00F12EDA" w:rsidRPr="00683FF0">
              <w:t xml:space="preserve">the </w:t>
            </w:r>
            <w:r w:rsidRPr="00683FF0">
              <w:t>end</w:t>
            </w:r>
            <w:r w:rsidR="00F12EDA" w:rsidRPr="00683FF0">
              <w:t xml:space="preserve"> of</w:t>
            </w:r>
            <w:r w:rsidRPr="00683FF0">
              <w:t xml:space="preserve"> 2024</w:t>
            </w:r>
          </w:p>
          <w:p w14:paraId="068174D9" w14:textId="25A6CA34" w:rsidR="00074D7D" w:rsidRPr="00683FF0" w:rsidRDefault="6CB788C7" w:rsidP="002F0FE7">
            <w:pPr>
              <w:pStyle w:val="TableBullet"/>
              <w:rPr>
                <w:b/>
                <w:bCs/>
              </w:rPr>
            </w:pPr>
            <w:r w:rsidRPr="00683FF0">
              <w:t>20.3</w:t>
            </w:r>
            <w:r w:rsidR="00F12EDA" w:rsidRPr="00683FF0">
              <w:t>.</w:t>
            </w:r>
            <w:r w:rsidR="14AC4C6D" w:rsidRPr="00683FF0">
              <w:t xml:space="preserve"> A renewable energy target is being set in the </w:t>
            </w:r>
            <w:r w:rsidR="00FD74DA" w:rsidRPr="00683FF0">
              <w:t>emissions reduction plan</w:t>
            </w:r>
          </w:p>
          <w:p w14:paraId="6FC95F16" w14:textId="69E09392" w:rsidR="00074D7D" w:rsidRPr="00683FF0" w:rsidRDefault="24911CC2" w:rsidP="002F0FE7">
            <w:pPr>
              <w:pStyle w:val="TableBullet"/>
              <w:rPr>
                <w:b/>
                <w:bCs/>
              </w:rPr>
            </w:pPr>
            <w:r w:rsidRPr="00683FF0">
              <w:t>20.4</w:t>
            </w:r>
            <w:r w:rsidR="00F12EDA" w:rsidRPr="00683FF0">
              <w:t>.</w:t>
            </w:r>
            <w:r w:rsidRPr="00683FF0">
              <w:t xml:space="preserve"> Appropriate indicators will be developed in EB1</w:t>
            </w:r>
            <w:r w:rsidR="00F12EDA" w:rsidRPr="00683FF0">
              <w:t>;</w:t>
            </w:r>
            <w:r w:rsidRPr="00683FF0">
              <w:t xml:space="preserve"> monitoring will be ongoing</w:t>
            </w:r>
          </w:p>
        </w:tc>
      </w:tr>
    </w:tbl>
    <w:p w14:paraId="1D125448" w14:textId="09189367" w:rsidR="50E302AE" w:rsidRPr="00683FF0" w:rsidRDefault="50E302AE" w:rsidP="002F0FE7">
      <w:pPr>
        <w:pStyle w:val="BodyText"/>
      </w:pPr>
    </w:p>
    <w:p w14:paraId="30D7020C" w14:textId="77777777" w:rsidR="002F0FE7" w:rsidRPr="00683FF0" w:rsidRDefault="002F0FE7" w:rsidP="002F0FE7">
      <w:pPr>
        <w:pStyle w:val="BodyText"/>
      </w:pPr>
      <w:r w:rsidRPr="00683FF0">
        <w:br w:type="page"/>
      </w:r>
    </w:p>
    <w:p w14:paraId="3D5970FD" w14:textId="2878796D" w:rsidR="004C02DA" w:rsidRPr="00683FF0" w:rsidRDefault="004C02DA" w:rsidP="002F0FE7">
      <w:pPr>
        <w:pStyle w:val="Heading2"/>
        <w:spacing w:after="240"/>
      </w:pPr>
      <w:bookmarkStart w:id="44" w:name="_Toc103175836"/>
      <w:bookmarkStart w:id="45" w:name="_Toc103778799"/>
      <w:r w:rsidRPr="00683FF0">
        <w:lastRenderedPageBreak/>
        <w:t>Industry</w:t>
      </w:r>
      <w:bookmarkEnd w:id="44"/>
      <w:bookmarkEnd w:id="45"/>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2F0FE7" w:rsidRPr="00683FF0" w14:paraId="74888338" w14:textId="77777777" w:rsidTr="005B1294">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0C08C5FF" w14:textId="678A3881" w:rsidR="00074667" w:rsidRPr="00683FF0" w:rsidRDefault="00074667" w:rsidP="002F0FE7">
            <w:pPr>
              <w:pStyle w:val="TableTextbold"/>
              <w:rPr>
                <w:color w:val="FFFFFF" w:themeColor="background1"/>
              </w:rPr>
            </w:pPr>
            <w:r w:rsidRPr="00683FF0">
              <w:rPr>
                <w:color w:val="FFFFFF" w:themeColor="background1"/>
              </w:rPr>
              <w:t xml:space="preserve">Report </w:t>
            </w:r>
            <w:r w:rsidR="00F12EDA"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47A087DA" w14:textId="3CA69F5B" w:rsidR="00074667" w:rsidRPr="00683FF0" w:rsidRDefault="00074667" w:rsidP="002F0FE7">
            <w:pPr>
              <w:pStyle w:val="TableTextbold"/>
              <w:rPr>
                <w:color w:val="FFFFFF" w:themeColor="background1"/>
              </w:rPr>
            </w:pPr>
            <w:r w:rsidRPr="00683FF0">
              <w:rPr>
                <w:color w:val="FFFFFF" w:themeColor="background1"/>
              </w:rPr>
              <w:t xml:space="preserve">Government </w:t>
            </w:r>
            <w:r w:rsidR="00F12EDA" w:rsidRPr="00683FF0">
              <w:rPr>
                <w:color w:val="FFFFFF" w:themeColor="background1"/>
              </w:rPr>
              <w:t>r</w:t>
            </w:r>
            <w:r w:rsidRPr="00683FF0">
              <w:rPr>
                <w:color w:val="FFFFFF" w:themeColor="background1"/>
              </w:rPr>
              <w:t>esponse</w:t>
            </w:r>
          </w:p>
        </w:tc>
      </w:tr>
      <w:tr w:rsidR="00992858" w:rsidRPr="00683FF0" w14:paraId="024633C3" w14:textId="77777777" w:rsidTr="005B1294">
        <w:tc>
          <w:tcPr>
            <w:tcW w:w="4508" w:type="dxa"/>
            <w:tcBorders>
              <w:top w:val="single" w:sz="4" w:space="0" w:color="1B556B" w:themeColor="text2"/>
            </w:tcBorders>
            <w:shd w:val="clear" w:color="auto" w:fill="FFFFFF" w:themeFill="background1"/>
          </w:tcPr>
          <w:p w14:paraId="169EA211" w14:textId="77777777" w:rsidR="00992858" w:rsidRPr="00683FF0" w:rsidRDefault="00992858" w:rsidP="00FE215C">
            <w:pPr>
              <w:pStyle w:val="TableTextbold"/>
              <w:spacing w:after="0"/>
            </w:pPr>
            <w:r w:rsidRPr="00683FF0">
              <w:t>Recommendation 21 – Reduce emissions from industry</w:t>
            </w:r>
          </w:p>
          <w:p w14:paraId="5EBC3539" w14:textId="77777777" w:rsidR="00992858" w:rsidRPr="00683FF0" w:rsidRDefault="00992858" w:rsidP="002F0FE7">
            <w:pPr>
              <w:pStyle w:val="TableText"/>
              <w:spacing w:before="0"/>
            </w:pPr>
            <w:r w:rsidRPr="00683FF0">
              <w:t>We recommend that, in the first emissions reduction plan, the Government commit to: Outlining a plan for actions required to decarbonise the industrial sector. This should include:</w:t>
            </w:r>
          </w:p>
        </w:tc>
        <w:tc>
          <w:tcPr>
            <w:tcW w:w="4508" w:type="dxa"/>
            <w:tcBorders>
              <w:top w:val="single" w:sz="4" w:space="0" w:color="1B556B" w:themeColor="text2"/>
            </w:tcBorders>
            <w:shd w:val="clear" w:color="auto" w:fill="FFFFFF" w:themeFill="background1"/>
          </w:tcPr>
          <w:p w14:paraId="7552BDBF" w14:textId="78E9C46C" w:rsidR="009C03D2" w:rsidRPr="00683FF0" w:rsidRDefault="495BF9AE" w:rsidP="00FE215C">
            <w:pPr>
              <w:pStyle w:val="TableText"/>
              <w:spacing w:after="40"/>
            </w:pPr>
            <w:r w:rsidRPr="00683FF0">
              <w:rPr>
                <w:b/>
                <w:bCs/>
              </w:rPr>
              <w:t xml:space="preserve">The Government agrees with this recommendation. </w:t>
            </w:r>
            <w:r w:rsidR="2134FDB0" w:rsidRPr="00683FF0">
              <w:t xml:space="preserve">The Government will set an action plan for decarbonising industry by the end of 2024. </w:t>
            </w:r>
            <w:r w:rsidR="24911CC2" w:rsidRPr="00683FF0">
              <w:t xml:space="preserve">The plan will support existing industries to decarbonise and innovative low-emissions industries to grow. The plan will sit within the energy strategy to align with the broader approach for decarbonising the energy sector, including ensuring competitive energy prices and security of supply </w:t>
            </w:r>
            <w:r w:rsidR="2134FDB0" w:rsidRPr="00683FF0">
              <w:t>(</w:t>
            </w:r>
            <w:r w:rsidR="00450B95" w:rsidRPr="00683FF0">
              <w:t>c</w:t>
            </w:r>
            <w:r w:rsidR="2134FDB0" w:rsidRPr="00683FF0">
              <w:t>hapter 11</w:t>
            </w:r>
            <w:r w:rsidR="00450B95" w:rsidRPr="00683FF0">
              <w:t>:</w:t>
            </w:r>
            <w:r w:rsidR="2134FDB0" w:rsidRPr="00683FF0">
              <w:t xml:space="preserve"> Energy and </w:t>
            </w:r>
            <w:r w:rsidR="00450B95" w:rsidRPr="00683FF0">
              <w:t>i</w:t>
            </w:r>
            <w:r w:rsidR="2134FDB0" w:rsidRPr="00683FF0">
              <w:t>ndustry</w:t>
            </w:r>
            <w:r w:rsidR="00450B95" w:rsidRPr="00683FF0">
              <w:t>,</w:t>
            </w:r>
            <w:r w:rsidR="2134FDB0" w:rsidRPr="00683FF0">
              <w:t xml:space="preserve"> </w:t>
            </w:r>
            <w:r w:rsidR="00450B95" w:rsidRPr="00683FF0">
              <w:t>a</w:t>
            </w:r>
            <w:r w:rsidR="2134FDB0" w:rsidRPr="00683FF0">
              <w:t xml:space="preserve">ction </w:t>
            </w:r>
            <w:r w:rsidR="00CB319C" w:rsidRPr="00683FF0">
              <w:t>11.</w:t>
            </w:r>
            <w:r w:rsidR="2134FDB0" w:rsidRPr="00683FF0">
              <w:t>4.1).</w:t>
            </w:r>
          </w:p>
        </w:tc>
      </w:tr>
      <w:tr w:rsidR="00992858" w:rsidRPr="00683FF0" w14:paraId="0C1F0714" w14:textId="77777777" w:rsidTr="002F0FE7">
        <w:tc>
          <w:tcPr>
            <w:tcW w:w="4508" w:type="dxa"/>
          </w:tcPr>
          <w:p w14:paraId="5A3C7E8E" w14:textId="259129F1" w:rsidR="00992858" w:rsidRPr="00683FF0" w:rsidRDefault="00992858" w:rsidP="002F0FE7">
            <w:pPr>
              <w:pStyle w:val="TableText"/>
            </w:pPr>
            <w:r w:rsidRPr="00683FF0">
              <w:t>21.1. Acting in partnership. To be enduring the policy approach must be created in partnership with Iwi/Māori, give effect to the principles of Te Tiriti o Waitangi/The Treaty of Waitangi, and align with the He Ara Waiora framework.</w:t>
            </w:r>
          </w:p>
        </w:tc>
        <w:tc>
          <w:tcPr>
            <w:tcW w:w="4508" w:type="dxa"/>
          </w:tcPr>
          <w:p w14:paraId="5DCFE8B3" w14:textId="5874F6DB" w:rsidR="009C03D2" w:rsidRPr="00683FF0" w:rsidRDefault="00A1629A" w:rsidP="00FE215C">
            <w:pPr>
              <w:pStyle w:val="TableText"/>
              <w:spacing w:after="40"/>
            </w:pPr>
            <w:r w:rsidRPr="00683FF0">
              <w:rPr>
                <w:b/>
                <w:bCs/>
              </w:rPr>
              <w:t xml:space="preserve">21.1. </w:t>
            </w:r>
            <w:r w:rsidR="495BF9AE" w:rsidRPr="00683FF0">
              <w:rPr>
                <w:b/>
                <w:bCs/>
              </w:rPr>
              <w:t xml:space="preserve">The Government agrees in principle with this recommendation. </w:t>
            </w:r>
            <w:r w:rsidR="2134FDB0" w:rsidRPr="00683FF0">
              <w:t>The action plan for decarbonising industry will be developed in full collaboration and engagement with Māori (</w:t>
            </w:r>
            <w:r w:rsidR="00450B95" w:rsidRPr="00683FF0">
              <w:t>c</w:t>
            </w:r>
            <w:r w:rsidR="2134FDB0" w:rsidRPr="00683FF0">
              <w:t>hapter 11</w:t>
            </w:r>
            <w:r w:rsidR="00450B95" w:rsidRPr="00683FF0">
              <w:t>:</w:t>
            </w:r>
            <w:r w:rsidR="2134FDB0" w:rsidRPr="00683FF0">
              <w:t xml:space="preserve"> Energy and </w:t>
            </w:r>
            <w:r w:rsidR="00450B95" w:rsidRPr="00683FF0">
              <w:t>i</w:t>
            </w:r>
            <w:r w:rsidR="2134FDB0" w:rsidRPr="00683FF0">
              <w:t>ndustry</w:t>
            </w:r>
            <w:r w:rsidR="00450B95" w:rsidRPr="00683FF0">
              <w:t>,</w:t>
            </w:r>
            <w:r w:rsidR="2134FDB0" w:rsidRPr="00683FF0">
              <w:t xml:space="preserve"> </w:t>
            </w:r>
            <w:r w:rsidR="00450B95" w:rsidRPr="00683FF0">
              <w:t>a</w:t>
            </w:r>
            <w:r w:rsidR="2134FDB0" w:rsidRPr="00683FF0">
              <w:t xml:space="preserve">ction </w:t>
            </w:r>
            <w:r w:rsidR="00CB319C" w:rsidRPr="00683FF0">
              <w:t>11.</w:t>
            </w:r>
            <w:r w:rsidR="2134FDB0" w:rsidRPr="00683FF0">
              <w:t>4.1).</w:t>
            </w:r>
          </w:p>
        </w:tc>
      </w:tr>
      <w:tr w:rsidR="00992858" w:rsidRPr="00683FF0" w14:paraId="1E7F9536" w14:textId="77777777" w:rsidTr="002F0FE7">
        <w:tc>
          <w:tcPr>
            <w:tcW w:w="4508" w:type="dxa"/>
          </w:tcPr>
          <w:p w14:paraId="1D5F3AE6" w14:textId="4C0EC440" w:rsidR="00992858" w:rsidRPr="00683FF0" w:rsidRDefault="00992858" w:rsidP="002F0FE7">
            <w:pPr>
              <w:pStyle w:val="TableText"/>
            </w:pPr>
            <w:r w:rsidRPr="00683FF0">
              <w:t>21.2</w:t>
            </w:r>
            <w:r w:rsidR="00CF27B4" w:rsidRPr="00683FF0">
              <w:t>.</w:t>
            </w:r>
            <w:r w:rsidRPr="00683FF0">
              <w:t xml:space="preserve"> Developing the policy approach in collaboration with industrial and manufacturing stakeholders.</w:t>
            </w:r>
          </w:p>
        </w:tc>
        <w:tc>
          <w:tcPr>
            <w:tcW w:w="4508" w:type="dxa"/>
          </w:tcPr>
          <w:p w14:paraId="6963389C" w14:textId="53C9076A" w:rsidR="009C03D2" w:rsidRPr="00683FF0" w:rsidRDefault="00A1629A" w:rsidP="00FE215C">
            <w:pPr>
              <w:pStyle w:val="TableText"/>
              <w:spacing w:after="40"/>
            </w:pPr>
            <w:r w:rsidRPr="00683FF0">
              <w:rPr>
                <w:b/>
                <w:bCs/>
              </w:rPr>
              <w:t xml:space="preserve">21.2. </w:t>
            </w:r>
            <w:r w:rsidR="495BF9AE" w:rsidRPr="00683FF0">
              <w:rPr>
                <w:b/>
                <w:bCs/>
              </w:rPr>
              <w:t xml:space="preserve">The Government agrees with this recommendation. </w:t>
            </w:r>
            <w:r w:rsidR="2134FDB0" w:rsidRPr="00683FF0">
              <w:t>The action plan for decarbonising industry will be developed in collaboration with industry stakeholders (</w:t>
            </w:r>
            <w:r w:rsidR="00DC2E70" w:rsidRPr="00683FF0">
              <w:t>c</w:t>
            </w:r>
            <w:r w:rsidR="2134FDB0" w:rsidRPr="00683FF0">
              <w:t>hapter 11</w:t>
            </w:r>
            <w:r w:rsidR="00DC2E70" w:rsidRPr="00683FF0">
              <w:t>:</w:t>
            </w:r>
            <w:r w:rsidR="2134FDB0" w:rsidRPr="00683FF0">
              <w:t xml:space="preserve"> Energy and </w:t>
            </w:r>
            <w:r w:rsidR="00DC2E70" w:rsidRPr="00683FF0">
              <w:t>i</w:t>
            </w:r>
            <w:r w:rsidR="2134FDB0" w:rsidRPr="00683FF0">
              <w:t>ndustry</w:t>
            </w:r>
            <w:r w:rsidR="00DC2E70" w:rsidRPr="00683FF0">
              <w:t>,</w:t>
            </w:r>
            <w:r w:rsidR="2134FDB0" w:rsidRPr="00683FF0">
              <w:t xml:space="preserve"> </w:t>
            </w:r>
            <w:r w:rsidR="00DC2E70" w:rsidRPr="00683FF0">
              <w:t>a</w:t>
            </w:r>
            <w:r w:rsidR="2134FDB0" w:rsidRPr="00683FF0">
              <w:t xml:space="preserve">ction </w:t>
            </w:r>
            <w:r w:rsidR="00CB319C" w:rsidRPr="00683FF0">
              <w:t>11.</w:t>
            </w:r>
            <w:r w:rsidR="2134FDB0" w:rsidRPr="00683FF0">
              <w:t>4.1).</w:t>
            </w:r>
          </w:p>
        </w:tc>
      </w:tr>
      <w:tr w:rsidR="00992858" w:rsidRPr="00683FF0" w14:paraId="75D5B775" w14:textId="77777777" w:rsidTr="002F0FE7">
        <w:tc>
          <w:tcPr>
            <w:tcW w:w="4508" w:type="dxa"/>
          </w:tcPr>
          <w:p w14:paraId="1F8BF89C" w14:textId="6D8BAD07" w:rsidR="00992858" w:rsidRPr="00683FF0" w:rsidRDefault="00992858" w:rsidP="002F0FE7">
            <w:pPr>
              <w:pStyle w:val="TableText"/>
            </w:pPr>
            <w:r w:rsidRPr="00683FF0">
              <w:t>21.3</w:t>
            </w:r>
            <w:r w:rsidR="00CF27B4" w:rsidRPr="00683FF0">
              <w:t>.</w:t>
            </w:r>
            <w:r w:rsidRPr="00683FF0">
              <w:t xml:space="preserve"> Accelerating industry switching to low-emissions fuels for process heat and uptake of energy efficiency measures. A high NZ ETS price signal is central to delivering this, along with policies that reduce barriers related to access to capital, behaviour change and infrastructure access (see also Recommendation 11 in Chapter 13: Policy direction that cuts across sectors, on the NZ ETS).</w:t>
            </w:r>
          </w:p>
        </w:tc>
        <w:tc>
          <w:tcPr>
            <w:tcW w:w="4508" w:type="dxa"/>
          </w:tcPr>
          <w:p w14:paraId="186CD49D" w14:textId="29C2A5A8" w:rsidR="009C03D2" w:rsidRPr="00683FF0" w:rsidRDefault="00A1629A" w:rsidP="00FE215C">
            <w:pPr>
              <w:pStyle w:val="TableText"/>
              <w:spacing w:before="40" w:after="40"/>
            </w:pPr>
            <w:r w:rsidRPr="00683FF0">
              <w:rPr>
                <w:b/>
                <w:bCs/>
              </w:rPr>
              <w:t xml:space="preserve">21.3. </w:t>
            </w:r>
            <w:r w:rsidR="0091053B" w:rsidRPr="00683FF0">
              <w:rPr>
                <w:b/>
                <w:bCs/>
              </w:rPr>
              <w:t xml:space="preserve">The Government agrees with this recommendation. </w:t>
            </w:r>
            <w:r w:rsidR="009C03D2" w:rsidRPr="00683FF0">
              <w:t>In addition to the price signal set by the NZ ETS, the Government is undertaking significant action to decarbonise process heat and reduce industry emissions. This includes:</w:t>
            </w:r>
          </w:p>
          <w:p w14:paraId="32EA1CD3" w14:textId="566DFB4C" w:rsidR="009C03D2" w:rsidRPr="00683FF0" w:rsidRDefault="2214CFE4" w:rsidP="00FE215C">
            <w:pPr>
              <w:pStyle w:val="TableBullet"/>
              <w:spacing w:after="40"/>
            </w:pPr>
            <w:r w:rsidRPr="00683FF0">
              <w:t xml:space="preserve">expanding and continuing the roll out of </w:t>
            </w:r>
            <w:r w:rsidR="2134FDB0" w:rsidRPr="00683FF0">
              <w:t>the G</w:t>
            </w:r>
            <w:r w:rsidR="00C57402" w:rsidRPr="00683FF0">
              <w:t>IDI</w:t>
            </w:r>
            <w:r w:rsidR="2134FDB0" w:rsidRPr="00683FF0">
              <w:t xml:space="preserve"> fund, which </w:t>
            </w:r>
            <w:r w:rsidR="24911CC2" w:rsidRPr="00683FF0">
              <w:t>provides grants to improve energy efficiency and switch fossil fuel use to low-emissions renewable fuels</w:t>
            </w:r>
          </w:p>
          <w:p w14:paraId="7541FFC7" w14:textId="389296BE" w:rsidR="009C03D2" w:rsidRPr="00683FF0" w:rsidRDefault="009C03D2" w:rsidP="00FE215C">
            <w:pPr>
              <w:pStyle w:val="TableBullet"/>
              <w:spacing w:after="40"/>
            </w:pPr>
            <w:r w:rsidRPr="00683FF0">
              <w:t>supporting businesses to decarbonise through EECA</w:t>
            </w:r>
            <w:r w:rsidR="00C57402" w:rsidRPr="00683FF0">
              <w:t>’</w:t>
            </w:r>
            <w:r w:rsidRPr="00683FF0">
              <w:t xml:space="preserve">s business programmes and funds, including the Energy Transition Accelerator, </w:t>
            </w:r>
            <w:r w:rsidR="52EDB38C" w:rsidRPr="00683FF0">
              <w:t>large energy user</w:t>
            </w:r>
            <w:r w:rsidRPr="00683FF0">
              <w:t xml:space="preserve"> partnerships, </w:t>
            </w:r>
            <w:r w:rsidR="52EDB38C" w:rsidRPr="00683FF0">
              <w:t>sector decarbonisation p</w:t>
            </w:r>
            <w:r w:rsidRPr="00683FF0">
              <w:t xml:space="preserve">lans and </w:t>
            </w:r>
            <w:r w:rsidR="00C57402" w:rsidRPr="00683FF0">
              <w:t>t</w:t>
            </w:r>
            <w:r w:rsidRPr="00683FF0">
              <w:t>echnology demonstration funding</w:t>
            </w:r>
          </w:p>
          <w:p w14:paraId="7611B978" w14:textId="6AADD01C" w:rsidR="009C03D2" w:rsidRPr="00683FF0" w:rsidRDefault="00C57402" w:rsidP="00FE215C">
            <w:pPr>
              <w:pStyle w:val="TableBullet"/>
              <w:spacing w:after="40"/>
            </w:pPr>
            <w:r w:rsidRPr="00683FF0">
              <w:t>f</w:t>
            </w:r>
            <w:r w:rsidR="2134FDB0" w:rsidRPr="00683FF0">
              <w:t>inalising and beginning implementation of the Advanced Manufacturing Industry Transformation Plan by the end of 2022</w:t>
            </w:r>
          </w:p>
          <w:p w14:paraId="51AD8777" w14:textId="1D4E3447" w:rsidR="009C03D2" w:rsidRPr="00683FF0" w:rsidRDefault="2134FDB0" w:rsidP="00FE215C">
            <w:pPr>
              <w:pStyle w:val="TableBullet"/>
              <w:spacing w:after="40"/>
            </w:pPr>
            <w:r w:rsidRPr="00683FF0">
              <w:t xml:space="preserve">implementing </w:t>
            </w:r>
            <w:r w:rsidR="00245094" w:rsidRPr="00683FF0">
              <w:t>n</w:t>
            </w:r>
            <w:r w:rsidRPr="00683FF0">
              <w:t xml:space="preserve">ational </w:t>
            </w:r>
            <w:r w:rsidR="00245094" w:rsidRPr="00683FF0">
              <w:t>d</w:t>
            </w:r>
            <w:r w:rsidRPr="00683FF0">
              <w:t xml:space="preserve">irection for </w:t>
            </w:r>
            <w:r w:rsidR="00245094" w:rsidRPr="00683FF0">
              <w:t>i</w:t>
            </w:r>
            <w:r w:rsidRPr="00683FF0">
              <w:t xml:space="preserve">ndustrial </w:t>
            </w:r>
            <w:r w:rsidR="00245094" w:rsidRPr="00683FF0">
              <w:t>g</w:t>
            </w:r>
            <w:r w:rsidRPr="00683FF0">
              <w:t xml:space="preserve">reenhouse </w:t>
            </w:r>
            <w:r w:rsidR="00245094" w:rsidRPr="00683FF0">
              <w:t>g</w:t>
            </w:r>
            <w:r w:rsidRPr="00683FF0">
              <w:t>as</w:t>
            </w:r>
            <w:r w:rsidR="00245094" w:rsidRPr="00683FF0">
              <w:t xml:space="preserve"> emissions</w:t>
            </w:r>
            <w:r w:rsidRPr="00683FF0">
              <w:t xml:space="preserve"> under the Resource Management Act 1991 </w:t>
            </w:r>
            <w:r w:rsidR="5027C05D" w:rsidRPr="00683FF0">
              <w:t>in the third quarter of</w:t>
            </w:r>
            <w:r w:rsidR="3193222A" w:rsidRPr="00683FF0">
              <w:t xml:space="preserve"> </w:t>
            </w:r>
            <w:r w:rsidRPr="00683FF0">
              <w:t>2022</w:t>
            </w:r>
          </w:p>
          <w:p w14:paraId="57CD30CB" w14:textId="347939EE" w:rsidR="009C03D2" w:rsidRPr="00683FF0" w:rsidRDefault="2134FDB0" w:rsidP="002F0FE7">
            <w:pPr>
              <w:pStyle w:val="TableBullet"/>
            </w:pPr>
            <w:r w:rsidRPr="00683FF0">
              <w:t xml:space="preserve">developing a mandatory </w:t>
            </w:r>
            <w:r w:rsidR="3193222A" w:rsidRPr="00683FF0">
              <w:t>energy</w:t>
            </w:r>
            <w:r w:rsidRPr="00683FF0">
              <w:t xml:space="preserve"> and </w:t>
            </w:r>
            <w:r w:rsidR="3193222A" w:rsidRPr="00683FF0">
              <w:t>emissions reporting scheme</w:t>
            </w:r>
            <w:r w:rsidRPr="00683FF0">
              <w:t xml:space="preserve"> for large energy users by mid-2024</w:t>
            </w:r>
            <w:r w:rsidR="00245094" w:rsidRPr="00683FF0">
              <w:rPr>
                <w:sz w:val="14"/>
                <w:szCs w:val="14"/>
              </w:rPr>
              <w:t xml:space="preserve"> </w:t>
            </w:r>
            <w:r w:rsidRPr="00683FF0">
              <w:t>(</w:t>
            </w:r>
            <w:r w:rsidR="00245094" w:rsidRPr="00683FF0">
              <w:t>c</w:t>
            </w:r>
            <w:r w:rsidRPr="00683FF0">
              <w:t>hapter 11</w:t>
            </w:r>
            <w:r w:rsidR="00245094" w:rsidRPr="00683FF0">
              <w:t>:</w:t>
            </w:r>
            <w:r w:rsidRPr="00683FF0">
              <w:t xml:space="preserve"> Energy and </w:t>
            </w:r>
            <w:r w:rsidR="00245094" w:rsidRPr="00683FF0">
              <w:t>i</w:t>
            </w:r>
            <w:r w:rsidRPr="00683FF0">
              <w:t>ndustry</w:t>
            </w:r>
            <w:r w:rsidR="00245094" w:rsidRPr="00683FF0">
              <w:t>,</w:t>
            </w:r>
            <w:r w:rsidRPr="00683FF0">
              <w:t xml:space="preserve"> </w:t>
            </w:r>
            <w:r w:rsidR="00245094" w:rsidRPr="00683FF0">
              <w:t>a</w:t>
            </w:r>
            <w:r w:rsidRPr="00683FF0">
              <w:t xml:space="preserve">ction </w:t>
            </w:r>
            <w:r w:rsidR="00CB319C" w:rsidRPr="00683FF0">
              <w:t>11.</w:t>
            </w:r>
            <w:r w:rsidRPr="00683FF0">
              <w:t>4.1).</w:t>
            </w:r>
          </w:p>
        </w:tc>
      </w:tr>
      <w:tr w:rsidR="00992858" w:rsidRPr="00683FF0" w14:paraId="1E4FAC79" w14:textId="77777777" w:rsidTr="002F0FE7">
        <w:tc>
          <w:tcPr>
            <w:tcW w:w="4508" w:type="dxa"/>
          </w:tcPr>
          <w:p w14:paraId="22EBE9EF" w14:textId="2279E752" w:rsidR="00992858" w:rsidRPr="00683FF0" w:rsidRDefault="00992858" w:rsidP="002F0FE7">
            <w:pPr>
              <w:pStyle w:val="TableText"/>
            </w:pPr>
            <w:r w:rsidRPr="00683FF0">
              <w:t>21.4</w:t>
            </w:r>
            <w:r w:rsidR="00CF27B4" w:rsidRPr="00683FF0">
              <w:t>.</w:t>
            </w:r>
            <w:r w:rsidRPr="00683FF0">
              <w:t xml:space="preserve"> Ensuring no new coal boilers are installed and setting a timetable for the phase out of fossil fuels used in boilers (see also Recommendation 20, on energy).</w:t>
            </w:r>
          </w:p>
        </w:tc>
        <w:tc>
          <w:tcPr>
            <w:tcW w:w="4508" w:type="dxa"/>
          </w:tcPr>
          <w:p w14:paraId="5164CF32" w14:textId="73AB5EB8" w:rsidR="009C03D2" w:rsidRPr="00683FF0" w:rsidRDefault="00BC3CA0" w:rsidP="002F0FE7">
            <w:pPr>
              <w:pStyle w:val="TableText"/>
            </w:pPr>
            <w:r w:rsidRPr="00683FF0">
              <w:rPr>
                <w:b/>
                <w:bCs/>
              </w:rPr>
              <w:t xml:space="preserve">21.4. </w:t>
            </w:r>
            <w:r w:rsidR="495BF9AE" w:rsidRPr="00683FF0">
              <w:rPr>
                <w:b/>
                <w:bCs/>
              </w:rPr>
              <w:t xml:space="preserve">The Government agrees in principle with this recommendation. </w:t>
            </w:r>
            <w:r w:rsidR="2134FDB0" w:rsidRPr="00683FF0">
              <w:t xml:space="preserve">The Government will implement national direction for industrial greenhouse gas emissions </w:t>
            </w:r>
            <w:r w:rsidR="5027C05D" w:rsidRPr="00683FF0">
              <w:t>in the third quarter of</w:t>
            </w:r>
            <w:r w:rsidR="3193222A" w:rsidRPr="00683FF0">
              <w:t xml:space="preserve"> </w:t>
            </w:r>
            <w:r w:rsidR="2134FDB0" w:rsidRPr="00683FF0">
              <w:t>2022 and ensure that this can be carried through to the National Planning Framework</w:t>
            </w:r>
            <w:r w:rsidR="3193222A" w:rsidRPr="00683FF0">
              <w:t xml:space="preserve"> </w:t>
            </w:r>
            <w:r w:rsidR="31FDDEF1" w:rsidRPr="00683FF0">
              <w:t>under the proposed Natural and Built Environments Act</w:t>
            </w:r>
            <w:r w:rsidR="3193222A" w:rsidRPr="00683FF0">
              <w:t>.</w:t>
            </w:r>
            <w:r w:rsidR="2134FDB0" w:rsidRPr="00683FF0">
              <w:t xml:space="preserve"> </w:t>
            </w:r>
            <w:r w:rsidR="24911CC2" w:rsidRPr="00683FF0">
              <w:t xml:space="preserve">The national direction will ban new low and medium temperature coal boilers, and phase out existing coal boilers by 2037. </w:t>
            </w:r>
          </w:p>
          <w:p w14:paraId="4F7A34FD" w14:textId="55A33E23" w:rsidR="009C03D2" w:rsidRPr="00683FF0" w:rsidRDefault="2134FDB0" w:rsidP="002F0FE7">
            <w:pPr>
              <w:pStyle w:val="TableText"/>
            </w:pPr>
            <w:r w:rsidRPr="00683FF0">
              <w:lastRenderedPageBreak/>
              <w:t>Further work is required on setting a timetable for phasing out fossil fuel use in boilers. This will be considered as part of work to develop an action plan for decarbonising industry (</w:t>
            </w:r>
            <w:r w:rsidR="00C10B23" w:rsidRPr="00683FF0">
              <w:t>c</w:t>
            </w:r>
            <w:r w:rsidRPr="00683FF0">
              <w:t>hapter 11</w:t>
            </w:r>
            <w:r w:rsidR="00C10B23" w:rsidRPr="00683FF0">
              <w:t>:</w:t>
            </w:r>
            <w:r w:rsidRPr="00683FF0">
              <w:t xml:space="preserve"> Energy and </w:t>
            </w:r>
            <w:r w:rsidR="00C10B23" w:rsidRPr="00683FF0">
              <w:t>i</w:t>
            </w:r>
            <w:r w:rsidRPr="00683FF0">
              <w:t>ndustry</w:t>
            </w:r>
            <w:r w:rsidR="00C10B23" w:rsidRPr="00683FF0">
              <w:t>,</w:t>
            </w:r>
            <w:r w:rsidRPr="00683FF0">
              <w:t xml:space="preserve"> </w:t>
            </w:r>
            <w:r w:rsidR="00C10B23" w:rsidRPr="00683FF0">
              <w:t>a</w:t>
            </w:r>
            <w:r w:rsidRPr="00683FF0">
              <w:t xml:space="preserve">ction </w:t>
            </w:r>
            <w:r w:rsidR="00CB319C" w:rsidRPr="00683FF0">
              <w:t>11.</w:t>
            </w:r>
            <w:r w:rsidRPr="00683FF0">
              <w:t>4.1).</w:t>
            </w:r>
          </w:p>
        </w:tc>
      </w:tr>
      <w:tr w:rsidR="00992858" w:rsidRPr="00683FF0" w14:paraId="656F82C4" w14:textId="77777777" w:rsidTr="002F0FE7">
        <w:tc>
          <w:tcPr>
            <w:tcW w:w="4508" w:type="dxa"/>
          </w:tcPr>
          <w:p w14:paraId="761A1593" w14:textId="4FEDF0E2" w:rsidR="0040095A" w:rsidRPr="00683FF0" w:rsidRDefault="00992858" w:rsidP="002F0FE7">
            <w:pPr>
              <w:pStyle w:val="TableText"/>
            </w:pPr>
            <w:r w:rsidRPr="00683FF0">
              <w:lastRenderedPageBreak/>
              <w:t xml:space="preserve">21.5 Supporting innovation for decarbonising hard-to-abate industrial sectors. This will require accounting for sector-specific circumstances and their interdependencies and investigating the need for bespoke solutions requiring research, development and demonstration specific to Aotearoa. </w:t>
            </w:r>
          </w:p>
          <w:p w14:paraId="7CCC11BB" w14:textId="4039B7D5" w:rsidR="00992858" w:rsidRPr="00683FF0" w:rsidRDefault="00992858" w:rsidP="00FE215C">
            <w:pPr>
              <w:pStyle w:val="TableText"/>
              <w:spacing w:after="0"/>
            </w:pPr>
            <w:r w:rsidRPr="00683FF0">
              <w:t>This recommendation should be considered alongside Recommendation 15, in Chapter 13: Policy direction that cuts across sectors (bioeconomy strategy), and Recommendation 20 (national energy strategy).</w:t>
            </w:r>
          </w:p>
        </w:tc>
        <w:tc>
          <w:tcPr>
            <w:tcW w:w="4508" w:type="dxa"/>
          </w:tcPr>
          <w:p w14:paraId="3BD13F20" w14:textId="22ADB906" w:rsidR="009C03D2" w:rsidRPr="00683FF0" w:rsidRDefault="00BC3CA0" w:rsidP="00FE215C">
            <w:pPr>
              <w:pStyle w:val="TableText"/>
              <w:spacing w:after="0"/>
            </w:pPr>
            <w:r w:rsidRPr="00683FF0">
              <w:rPr>
                <w:b/>
                <w:bCs/>
              </w:rPr>
              <w:t xml:space="preserve">21.5. </w:t>
            </w:r>
            <w:r w:rsidR="0091053B" w:rsidRPr="00683FF0">
              <w:rPr>
                <w:b/>
                <w:bCs/>
              </w:rPr>
              <w:t>The Government agrees in principle with this recommendation.</w:t>
            </w:r>
            <w:r w:rsidR="00656301" w:rsidRPr="00683FF0">
              <w:t xml:space="preserve"> </w:t>
            </w:r>
            <w:r w:rsidR="2134FDB0" w:rsidRPr="00683FF0">
              <w:t xml:space="preserve">The Government will develop a strategic approach or framework for addressing emissions from single-firm industries with emissions that are hard to abate. This will consider how to support innovation, and the role these industries play in Aotearoa New Zealand’s economic resilience and </w:t>
            </w:r>
            <w:r w:rsidR="5027C05D" w:rsidRPr="00683FF0">
              <w:t xml:space="preserve">in </w:t>
            </w:r>
            <w:r w:rsidR="2134FDB0" w:rsidRPr="00683FF0">
              <w:t>the economic and social wellbeing of our regions (</w:t>
            </w:r>
            <w:r w:rsidR="00656301" w:rsidRPr="00683FF0">
              <w:t>c</w:t>
            </w:r>
            <w:r w:rsidR="2134FDB0" w:rsidRPr="00683FF0">
              <w:t>hapter 11</w:t>
            </w:r>
            <w:r w:rsidR="00656301" w:rsidRPr="00683FF0">
              <w:t>:</w:t>
            </w:r>
            <w:r w:rsidR="2134FDB0" w:rsidRPr="00683FF0">
              <w:t xml:space="preserve"> Energy and </w:t>
            </w:r>
            <w:r w:rsidR="00656301" w:rsidRPr="00683FF0">
              <w:t>i</w:t>
            </w:r>
            <w:r w:rsidR="2134FDB0" w:rsidRPr="00683FF0">
              <w:t>ndustry</w:t>
            </w:r>
            <w:r w:rsidR="00656301" w:rsidRPr="00683FF0">
              <w:t>,</w:t>
            </w:r>
            <w:r w:rsidR="2134FDB0" w:rsidRPr="00683FF0">
              <w:t xml:space="preserve"> </w:t>
            </w:r>
            <w:r w:rsidR="00656301" w:rsidRPr="00683FF0">
              <w:t>a</w:t>
            </w:r>
            <w:r w:rsidR="2134FDB0" w:rsidRPr="00683FF0">
              <w:t xml:space="preserve">ction </w:t>
            </w:r>
            <w:r w:rsidR="00CB319C" w:rsidRPr="00683FF0">
              <w:t>11.</w:t>
            </w:r>
            <w:r w:rsidR="2134FDB0" w:rsidRPr="00683FF0">
              <w:t>4.2).</w:t>
            </w:r>
          </w:p>
        </w:tc>
      </w:tr>
      <w:tr w:rsidR="009F5C58" w:rsidRPr="00683FF0" w14:paraId="44E4F237" w14:textId="77777777" w:rsidTr="002F0FE7">
        <w:tc>
          <w:tcPr>
            <w:tcW w:w="4508" w:type="dxa"/>
          </w:tcPr>
          <w:p w14:paraId="57E569FE" w14:textId="77777777" w:rsidR="009F5C58" w:rsidRPr="00683FF0" w:rsidRDefault="009F5C58" w:rsidP="002F0FE7">
            <w:pPr>
              <w:pStyle w:val="TableText"/>
            </w:pPr>
          </w:p>
        </w:tc>
        <w:tc>
          <w:tcPr>
            <w:tcW w:w="4508" w:type="dxa"/>
          </w:tcPr>
          <w:p w14:paraId="3745A607" w14:textId="38E3765A" w:rsidR="009F5C58" w:rsidRPr="00683FF0" w:rsidRDefault="009F5C58" w:rsidP="00FE215C">
            <w:pPr>
              <w:pStyle w:val="TableText"/>
              <w:spacing w:before="0"/>
              <w:rPr>
                <w:b/>
                <w:bCs/>
              </w:rPr>
            </w:pPr>
            <w:r w:rsidRPr="00683FF0">
              <w:rPr>
                <w:b/>
                <w:bCs/>
              </w:rPr>
              <w:t xml:space="preserve">Responsible agency: </w:t>
            </w:r>
            <w:r w:rsidRPr="00683FF0">
              <w:t>Ministry of Business, Innovation and Employment</w:t>
            </w:r>
          </w:p>
          <w:p w14:paraId="05FF32AA" w14:textId="77777777" w:rsidR="009F5C58" w:rsidRPr="00683FF0" w:rsidRDefault="009F5C58" w:rsidP="00FE215C">
            <w:pPr>
              <w:pStyle w:val="TableText"/>
              <w:spacing w:before="0"/>
              <w:rPr>
                <w:b/>
                <w:bCs/>
              </w:rPr>
            </w:pPr>
            <w:r w:rsidRPr="00683FF0">
              <w:rPr>
                <w:b/>
                <w:bCs/>
              </w:rPr>
              <w:t xml:space="preserve">Responsible Minister: </w:t>
            </w:r>
            <w:r w:rsidRPr="00683FF0">
              <w:t>Minister of Energy and Resources</w:t>
            </w:r>
          </w:p>
          <w:p w14:paraId="3598DACD" w14:textId="4FBBF3F5" w:rsidR="009F5C58" w:rsidRPr="00683FF0" w:rsidRDefault="262932D4" w:rsidP="00FE215C">
            <w:pPr>
              <w:pStyle w:val="TableText"/>
              <w:spacing w:before="0"/>
              <w:rPr>
                <w:b/>
                <w:bCs/>
              </w:rPr>
            </w:pPr>
            <w:r w:rsidRPr="00683FF0">
              <w:rPr>
                <w:b/>
                <w:bCs/>
              </w:rPr>
              <w:t xml:space="preserve">Timeline: </w:t>
            </w:r>
            <w:r w:rsidRPr="00683FF0">
              <w:t>2022</w:t>
            </w:r>
            <w:r w:rsidR="00656301" w:rsidRPr="00683FF0">
              <w:t>–</w:t>
            </w:r>
            <w:r w:rsidRPr="00683FF0">
              <w:t>25 (EB1)</w:t>
            </w:r>
          </w:p>
          <w:p w14:paraId="06552DC2" w14:textId="788AD811" w:rsidR="009F5C58" w:rsidRPr="00683FF0" w:rsidRDefault="24911CC2" w:rsidP="002F0FE7">
            <w:pPr>
              <w:pStyle w:val="TableBullet"/>
            </w:pPr>
            <w:r w:rsidRPr="00683FF0">
              <w:t xml:space="preserve">2.1, 2.2 and 2.3. </w:t>
            </w:r>
            <w:r w:rsidR="2134FDB0" w:rsidRPr="00683FF0">
              <w:t>The Government will set an action plan for decarbonising industry by the end of 2024</w:t>
            </w:r>
          </w:p>
          <w:p w14:paraId="26CB5537" w14:textId="755A6112" w:rsidR="009F5C58" w:rsidRPr="00683FF0" w:rsidRDefault="24911CC2" w:rsidP="002F0FE7">
            <w:pPr>
              <w:pStyle w:val="TableBullet"/>
            </w:pPr>
            <w:r w:rsidRPr="00683FF0">
              <w:t xml:space="preserve">2.4. </w:t>
            </w:r>
            <w:r w:rsidR="2134FDB0" w:rsidRPr="00683FF0">
              <w:t xml:space="preserve">The Government will implement national direction for industrial greenhouse gas emissions </w:t>
            </w:r>
            <w:r w:rsidR="5027C05D" w:rsidRPr="00683FF0">
              <w:t>in the third quarter of</w:t>
            </w:r>
            <w:r w:rsidR="7DA7EDB2" w:rsidRPr="00683FF0">
              <w:t xml:space="preserve"> </w:t>
            </w:r>
            <w:r w:rsidR="5027C05D" w:rsidRPr="00683FF0">
              <w:t>2022.</w:t>
            </w:r>
            <w:r w:rsidR="2134FDB0" w:rsidRPr="00683FF0">
              <w:t xml:space="preserve"> Setting a timetable for phasing out fossil fuel use in boilers will be considered as part of work to develop an action plan for decarbonising industry</w:t>
            </w:r>
          </w:p>
          <w:p w14:paraId="1720157C" w14:textId="1218A5F5" w:rsidR="009F5C58" w:rsidRPr="00683FF0" w:rsidRDefault="24911CC2" w:rsidP="002F0FE7">
            <w:pPr>
              <w:pStyle w:val="TableBullet"/>
              <w:rPr>
                <w:rFonts w:eastAsia="Times New Roman"/>
                <w:szCs w:val="18"/>
              </w:rPr>
            </w:pPr>
            <w:r w:rsidRPr="00683FF0">
              <w:t>2.5. Development of a strategic approach or framework for addressing emissions from single-firm industries with emissions that are hard to abate will begin in late 2023</w:t>
            </w:r>
          </w:p>
        </w:tc>
      </w:tr>
    </w:tbl>
    <w:p w14:paraId="44C34E21" w14:textId="00D20939" w:rsidR="004C02DA" w:rsidRPr="00683FF0" w:rsidRDefault="004C02DA" w:rsidP="005B1294">
      <w:pPr>
        <w:pStyle w:val="BodyText"/>
      </w:pPr>
    </w:p>
    <w:p w14:paraId="2DDFBFDB" w14:textId="77777777" w:rsidR="004412FC" w:rsidRPr="00683FF0" w:rsidRDefault="004412FC" w:rsidP="004412FC">
      <w:pPr>
        <w:pStyle w:val="BodyText"/>
      </w:pPr>
      <w:r w:rsidRPr="00683FF0">
        <w:br w:type="page"/>
      </w:r>
    </w:p>
    <w:p w14:paraId="72A86B39" w14:textId="16935991" w:rsidR="004C02DA" w:rsidRPr="00683FF0" w:rsidRDefault="00AB6168" w:rsidP="005B1294">
      <w:pPr>
        <w:pStyle w:val="Heading2"/>
        <w:spacing w:after="240"/>
      </w:pPr>
      <w:bookmarkStart w:id="46" w:name="_Toc103175837"/>
      <w:bookmarkStart w:id="47" w:name="_Toc103778800"/>
      <w:r w:rsidRPr="00683FF0">
        <w:lastRenderedPageBreak/>
        <w:t>Buildings</w:t>
      </w:r>
      <w:bookmarkEnd w:id="46"/>
      <w:bookmarkEnd w:id="47"/>
      <w:r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111"/>
        <w:gridCol w:w="4394"/>
      </w:tblGrid>
      <w:tr w:rsidR="005B1294" w:rsidRPr="00683FF0" w14:paraId="5FAB8889" w14:textId="77777777" w:rsidTr="004412FC">
        <w:trPr>
          <w:tblHeader/>
        </w:trPr>
        <w:tc>
          <w:tcPr>
            <w:tcW w:w="4111" w:type="dxa"/>
            <w:tcBorders>
              <w:top w:val="single" w:sz="4" w:space="0" w:color="1B556B" w:themeColor="text2"/>
              <w:bottom w:val="single" w:sz="4" w:space="0" w:color="1B556B" w:themeColor="text2"/>
            </w:tcBorders>
            <w:shd w:val="clear" w:color="auto" w:fill="1B556B" w:themeFill="text2"/>
            <w:vAlign w:val="center"/>
          </w:tcPr>
          <w:p w14:paraId="3CD360F9" w14:textId="3A74034D" w:rsidR="00074667" w:rsidRPr="00683FF0" w:rsidRDefault="00074667" w:rsidP="005B1294">
            <w:pPr>
              <w:pStyle w:val="TableTextbold"/>
              <w:rPr>
                <w:color w:val="FFFFFF" w:themeColor="background1"/>
              </w:rPr>
            </w:pPr>
            <w:r w:rsidRPr="00683FF0">
              <w:rPr>
                <w:color w:val="FFFFFF" w:themeColor="background1"/>
              </w:rPr>
              <w:t xml:space="preserve">Report </w:t>
            </w:r>
            <w:r w:rsidR="00067428" w:rsidRPr="00683FF0">
              <w:rPr>
                <w:color w:val="FFFFFF" w:themeColor="background1"/>
              </w:rPr>
              <w:t>r</w:t>
            </w:r>
            <w:r w:rsidRPr="00683FF0">
              <w:rPr>
                <w:color w:val="FFFFFF" w:themeColor="background1"/>
              </w:rPr>
              <w:t>ecommendation</w:t>
            </w:r>
          </w:p>
        </w:tc>
        <w:tc>
          <w:tcPr>
            <w:tcW w:w="4394" w:type="dxa"/>
            <w:tcBorders>
              <w:top w:val="single" w:sz="4" w:space="0" w:color="1B556B" w:themeColor="text2"/>
              <w:bottom w:val="single" w:sz="4" w:space="0" w:color="1B556B" w:themeColor="text2"/>
            </w:tcBorders>
            <w:shd w:val="clear" w:color="auto" w:fill="1B556B" w:themeFill="text2"/>
            <w:vAlign w:val="center"/>
          </w:tcPr>
          <w:p w14:paraId="143C12D7" w14:textId="4D0C86CE" w:rsidR="00074667" w:rsidRPr="00683FF0" w:rsidRDefault="00074667" w:rsidP="005B1294">
            <w:pPr>
              <w:pStyle w:val="TableTextbold"/>
              <w:rPr>
                <w:color w:val="FFFFFF" w:themeColor="background1"/>
              </w:rPr>
            </w:pPr>
            <w:r w:rsidRPr="00683FF0">
              <w:rPr>
                <w:color w:val="FFFFFF" w:themeColor="background1"/>
              </w:rPr>
              <w:t xml:space="preserve">Government </w:t>
            </w:r>
            <w:r w:rsidR="00067428" w:rsidRPr="00683FF0">
              <w:rPr>
                <w:color w:val="FFFFFF" w:themeColor="background1"/>
              </w:rPr>
              <w:t>r</w:t>
            </w:r>
            <w:r w:rsidRPr="00683FF0">
              <w:rPr>
                <w:color w:val="FFFFFF" w:themeColor="background1"/>
              </w:rPr>
              <w:t>esponse</w:t>
            </w:r>
          </w:p>
        </w:tc>
      </w:tr>
      <w:tr w:rsidR="00992858" w:rsidRPr="00683FF0" w14:paraId="365CB02F" w14:textId="77777777" w:rsidTr="004412FC">
        <w:tc>
          <w:tcPr>
            <w:tcW w:w="4111" w:type="dxa"/>
            <w:tcBorders>
              <w:top w:val="single" w:sz="4" w:space="0" w:color="1B556B" w:themeColor="text2"/>
            </w:tcBorders>
            <w:shd w:val="clear" w:color="auto" w:fill="FFFFFF" w:themeFill="background1"/>
          </w:tcPr>
          <w:p w14:paraId="4F167B5F" w14:textId="77777777" w:rsidR="00992858" w:rsidRPr="00683FF0" w:rsidRDefault="00992858" w:rsidP="005B1294">
            <w:pPr>
              <w:pStyle w:val="TableTextbold"/>
            </w:pPr>
            <w:r w:rsidRPr="00683FF0">
              <w:t>Recommendation 22 – Upgrading existing buildings and constructing new buildings that are low emissions</w:t>
            </w:r>
          </w:p>
          <w:p w14:paraId="2C87CDD2" w14:textId="77777777" w:rsidR="00992858" w:rsidRPr="00683FF0" w:rsidRDefault="00992858" w:rsidP="005B1294">
            <w:pPr>
              <w:pStyle w:val="TableText"/>
              <w:spacing w:before="0"/>
            </w:pPr>
            <w:r w:rsidRPr="00683FF0">
              <w:t>We recommend that, in the first emissions reduction plan, the Government commit to: Developing a plan to transform buildings to be low emissions and climate resilient. This should include Government:</w:t>
            </w:r>
          </w:p>
        </w:tc>
        <w:tc>
          <w:tcPr>
            <w:tcW w:w="4394" w:type="dxa"/>
            <w:tcBorders>
              <w:top w:val="single" w:sz="4" w:space="0" w:color="1B556B" w:themeColor="text2"/>
            </w:tcBorders>
            <w:shd w:val="clear" w:color="auto" w:fill="FFFFFF" w:themeFill="background1"/>
          </w:tcPr>
          <w:p w14:paraId="70EFB0C0" w14:textId="4EC1352C" w:rsidR="00992858" w:rsidRPr="00683FF0" w:rsidRDefault="24911CC2" w:rsidP="005B1294">
            <w:pPr>
              <w:pStyle w:val="TableText"/>
            </w:pPr>
            <w:r w:rsidRPr="00683FF0">
              <w:rPr>
                <w:b/>
                <w:bCs/>
              </w:rPr>
              <w:t xml:space="preserve">The Government agrees with this recommendation. </w:t>
            </w:r>
            <w:r w:rsidRPr="00683FF0">
              <w:t xml:space="preserve">A variety of actions in the </w:t>
            </w:r>
            <w:r w:rsidR="00FD74DA" w:rsidRPr="00683FF0">
              <w:t>e</w:t>
            </w:r>
            <w:r w:rsidRPr="00683FF0">
              <w:t xml:space="preserve">missions </w:t>
            </w:r>
            <w:r w:rsidR="00FD74DA" w:rsidRPr="00683FF0">
              <w:t>r</w:t>
            </w:r>
            <w:r w:rsidRPr="00683FF0">
              <w:t xml:space="preserve">eduction </w:t>
            </w:r>
            <w:r w:rsidR="00FD74DA" w:rsidRPr="00683FF0">
              <w:t>p</w:t>
            </w:r>
            <w:r w:rsidRPr="00683FF0">
              <w:t xml:space="preserve">lan will support the development of an approach to reduce emissions across the building and construction sector, while managing potential distributional impacts. </w:t>
            </w:r>
          </w:p>
        </w:tc>
      </w:tr>
      <w:tr w:rsidR="00992858" w:rsidRPr="00683FF0" w14:paraId="1AD81D89" w14:textId="77777777" w:rsidTr="004412FC">
        <w:tc>
          <w:tcPr>
            <w:tcW w:w="4111" w:type="dxa"/>
          </w:tcPr>
          <w:p w14:paraId="1CDFCD6C" w14:textId="2A0238D2" w:rsidR="00992858" w:rsidRPr="00683FF0" w:rsidRDefault="00992858" w:rsidP="005B1294">
            <w:pPr>
              <w:pStyle w:val="TableText"/>
            </w:pPr>
            <w:r w:rsidRPr="00683FF0">
              <w:t>22.1</w:t>
            </w:r>
            <w:r w:rsidR="00BC3CA0" w:rsidRPr="00683FF0">
              <w:t>.</w:t>
            </w:r>
            <w:r w:rsidRPr="00683FF0">
              <w:t xml:space="preserve"> Acting in partnership. To be enduring the policy approach must be created in partnership with Iwi/Māori, give effect to the principles of Te Tiriti o Waitangi/The Treaty of Waitangi, and align with the He Ara Waiora framework.</w:t>
            </w:r>
          </w:p>
        </w:tc>
        <w:tc>
          <w:tcPr>
            <w:tcW w:w="4394" w:type="dxa"/>
          </w:tcPr>
          <w:p w14:paraId="50D8739D" w14:textId="7CD51D59" w:rsidR="001E68F7" w:rsidRPr="00683FF0" w:rsidRDefault="00BC3CA0" w:rsidP="005B1294">
            <w:pPr>
              <w:pStyle w:val="TableText"/>
            </w:pPr>
            <w:r w:rsidRPr="00683FF0">
              <w:rPr>
                <w:b/>
                <w:bCs/>
              </w:rPr>
              <w:t xml:space="preserve">22.1. </w:t>
            </w:r>
            <w:r w:rsidR="495BF9AE" w:rsidRPr="00683FF0">
              <w:rPr>
                <w:b/>
                <w:bCs/>
              </w:rPr>
              <w:t>The Government agrees with this recommendation as intended by the Commission.</w:t>
            </w:r>
            <w:r w:rsidR="262932D4" w:rsidRPr="00683FF0">
              <w:rPr>
                <w:b/>
                <w:bCs/>
              </w:rPr>
              <w:t xml:space="preserve"> </w:t>
            </w:r>
            <w:r w:rsidR="262932D4" w:rsidRPr="00683FF0">
              <w:t xml:space="preserve">The </w:t>
            </w:r>
            <w:r w:rsidR="2D486DDE" w:rsidRPr="00683FF0">
              <w:t xml:space="preserve">Government will work with Māori to shape the building and construction sector’s climate transition. This will include engagement and exploring cross-government partnerships with Māori and iwi, where appropriate. </w:t>
            </w:r>
            <w:r w:rsidR="00714FB1" w:rsidRPr="00683FF0">
              <w:t>The</w:t>
            </w:r>
            <w:r w:rsidR="00FE215C" w:rsidRPr="00683FF0">
              <w:t> </w:t>
            </w:r>
            <w:r w:rsidR="2D486DDE" w:rsidRPr="00683FF0">
              <w:t xml:space="preserve">Government will explore establishing systems such as a </w:t>
            </w:r>
            <w:r w:rsidR="00F45E2E" w:rsidRPr="00683FF0">
              <w:t>m</w:t>
            </w:r>
            <w:r w:rsidR="2D486DDE" w:rsidRPr="00683FF0">
              <w:t xml:space="preserve">ātauranga Māori </w:t>
            </w:r>
            <w:r w:rsidR="00F45E2E" w:rsidRPr="00683FF0">
              <w:t>r</w:t>
            </w:r>
            <w:r w:rsidR="2D486DDE" w:rsidRPr="00683FF0">
              <w:t xml:space="preserve">eference </w:t>
            </w:r>
            <w:r w:rsidR="00F45E2E" w:rsidRPr="00683FF0">
              <w:t>g</w:t>
            </w:r>
            <w:r w:rsidR="2D486DDE" w:rsidRPr="00683FF0">
              <w:t>roup to enable Māori</w:t>
            </w:r>
            <w:r w:rsidR="00FE215C" w:rsidRPr="00683FF0">
              <w:t> </w:t>
            </w:r>
            <w:r w:rsidR="2D486DDE" w:rsidRPr="00683FF0">
              <w:t>views to be represented effectively and on an ongoing basis (</w:t>
            </w:r>
            <w:r w:rsidR="00F45E2E" w:rsidRPr="00683FF0">
              <w:t>c</w:t>
            </w:r>
            <w:r w:rsidR="2D486DDE" w:rsidRPr="00683FF0">
              <w:t>hapter 12</w:t>
            </w:r>
            <w:r w:rsidR="00F45E2E" w:rsidRPr="00683FF0">
              <w:t>:</w:t>
            </w:r>
            <w:r w:rsidR="2D486DDE" w:rsidRPr="00683FF0">
              <w:t xml:space="preserve"> Building and </w:t>
            </w:r>
            <w:r w:rsidR="00F45E2E" w:rsidRPr="00683FF0">
              <w:t>c</w:t>
            </w:r>
            <w:r w:rsidR="2D486DDE" w:rsidRPr="00683FF0">
              <w:t>onstruction</w:t>
            </w:r>
            <w:r w:rsidR="00F45E2E" w:rsidRPr="00683FF0">
              <w:t>,</w:t>
            </w:r>
            <w:r w:rsidR="2D486DDE" w:rsidRPr="00683FF0">
              <w:t xml:space="preserve"> </w:t>
            </w:r>
            <w:r w:rsidR="00F45E2E" w:rsidRPr="00683FF0">
              <w:t>a</w:t>
            </w:r>
            <w:r w:rsidR="2D486DDE" w:rsidRPr="00683FF0">
              <w:t xml:space="preserve">ction </w:t>
            </w:r>
            <w:r w:rsidR="00B15EC0" w:rsidRPr="00683FF0">
              <w:t>12.</w:t>
            </w:r>
            <w:r w:rsidR="2D486DDE" w:rsidRPr="00683FF0">
              <w:t>5.1).</w:t>
            </w:r>
          </w:p>
        </w:tc>
      </w:tr>
      <w:tr w:rsidR="00992858" w:rsidRPr="00683FF0" w14:paraId="5209C711" w14:textId="77777777" w:rsidTr="004412FC">
        <w:tc>
          <w:tcPr>
            <w:tcW w:w="4111" w:type="dxa"/>
          </w:tcPr>
          <w:p w14:paraId="6FF1DFE4" w14:textId="43830F75" w:rsidR="00992858" w:rsidRPr="00683FF0" w:rsidRDefault="00992858" w:rsidP="005B1294">
            <w:pPr>
              <w:pStyle w:val="TableText"/>
            </w:pPr>
            <w:r w:rsidRPr="00683FF0">
              <w:t>22.2</w:t>
            </w:r>
            <w:r w:rsidR="00BC3CA0" w:rsidRPr="00683FF0">
              <w:t>.</w:t>
            </w:r>
            <w:r w:rsidRPr="00683FF0">
              <w:t xml:space="preserve"> Developing the policy approach in collaboration with the building and construction sector.</w:t>
            </w:r>
          </w:p>
        </w:tc>
        <w:tc>
          <w:tcPr>
            <w:tcW w:w="4394" w:type="dxa"/>
          </w:tcPr>
          <w:p w14:paraId="2D2726D7" w14:textId="30FB6396" w:rsidR="001E68F7" w:rsidRPr="00683FF0" w:rsidRDefault="00BC3CA0" w:rsidP="005B1294">
            <w:pPr>
              <w:pStyle w:val="TableText"/>
            </w:pPr>
            <w:r w:rsidRPr="00683FF0">
              <w:rPr>
                <w:b/>
                <w:bCs/>
              </w:rPr>
              <w:t xml:space="preserve">22.2. </w:t>
            </w:r>
            <w:r w:rsidR="495BF9AE" w:rsidRPr="00683FF0">
              <w:rPr>
                <w:b/>
                <w:bCs/>
              </w:rPr>
              <w:t>The Government agrees with this recommendation as intended by the Commission.</w:t>
            </w:r>
            <w:r w:rsidR="0C9AE077" w:rsidRPr="00683FF0">
              <w:rPr>
                <w:b/>
                <w:bCs/>
              </w:rPr>
              <w:t xml:space="preserve"> </w:t>
            </w:r>
            <w:r w:rsidR="0C9AE077" w:rsidRPr="00683FF0">
              <w:t>The</w:t>
            </w:r>
            <w:r w:rsidR="00FE215C" w:rsidRPr="00683FF0">
              <w:t> </w:t>
            </w:r>
            <w:r w:rsidR="2D486DDE" w:rsidRPr="00683FF0">
              <w:t>Government will partner with the building and construction sector and Construction Sector Accord to</w:t>
            </w:r>
            <w:r w:rsidR="00FE215C" w:rsidRPr="00683FF0">
              <w:t> </w:t>
            </w:r>
            <w:r w:rsidR="2D486DDE" w:rsidRPr="00683FF0">
              <w:t>develop and deliver actions across all emissions reduction plans. Potential actions to be conducted with</w:t>
            </w:r>
            <w:r w:rsidR="00FE215C" w:rsidRPr="00683FF0">
              <w:t> </w:t>
            </w:r>
            <w:r w:rsidR="2D486DDE" w:rsidRPr="00683FF0">
              <w:t>the sector include exploring workforce transition supports, establishing innovation supports and developing and delivering a behaviour change programme (</w:t>
            </w:r>
            <w:r w:rsidR="001C2B0B" w:rsidRPr="00683FF0">
              <w:t>c</w:t>
            </w:r>
            <w:r w:rsidR="2D486DDE" w:rsidRPr="00683FF0">
              <w:t>hapter 12</w:t>
            </w:r>
            <w:r w:rsidR="001C2B0B" w:rsidRPr="00683FF0">
              <w:t>:</w:t>
            </w:r>
            <w:r w:rsidR="2D486DDE" w:rsidRPr="00683FF0">
              <w:t xml:space="preserve"> Building and </w:t>
            </w:r>
            <w:r w:rsidR="001C2B0B" w:rsidRPr="00683FF0">
              <w:t>c</w:t>
            </w:r>
            <w:r w:rsidR="2D486DDE" w:rsidRPr="00683FF0">
              <w:t>onstruction</w:t>
            </w:r>
            <w:r w:rsidR="001C2B0B" w:rsidRPr="00683FF0">
              <w:t>,</w:t>
            </w:r>
            <w:r w:rsidR="2D486DDE" w:rsidRPr="00683FF0">
              <w:t xml:space="preserve"> </w:t>
            </w:r>
            <w:r w:rsidR="001C2B0B" w:rsidRPr="00683FF0">
              <w:t>a</w:t>
            </w:r>
            <w:r w:rsidR="2D486DDE" w:rsidRPr="00683FF0">
              <w:t xml:space="preserve">ctions including, but not limited to, </w:t>
            </w:r>
            <w:r w:rsidR="00B15EC0" w:rsidRPr="00683FF0">
              <w:t>12.</w:t>
            </w:r>
            <w:r w:rsidR="2D486DDE" w:rsidRPr="00683FF0">
              <w:t xml:space="preserve">1.2, </w:t>
            </w:r>
            <w:r w:rsidR="00B15EC0" w:rsidRPr="00683FF0">
              <w:t>12.</w:t>
            </w:r>
            <w:r w:rsidR="2D486DDE" w:rsidRPr="00683FF0">
              <w:t xml:space="preserve">4.1, </w:t>
            </w:r>
            <w:r w:rsidR="00B15EC0" w:rsidRPr="00683FF0">
              <w:t>12.</w:t>
            </w:r>
            <w:r w:rsidR="2D486DDE" w:rsidRPr="00683FF0">
              <w:t xml:space="preserve">5.3, </w:t>
            </w:r>
            <w:r w:rsidR="00B15EC0" w:rsidRPr="00683FF0">
              <w:t>12.</w:t>
            </w:r>
            <w:r w:rsidR="2D486DDE" w:rsidRPr="00683FF0">
              <w:t>5.4).</w:t>
            </w:r>
          </w:p>
        </w:tc>
      </w:tr>
      <w:tr w:rsidR="00992858" w:rsidRPr="00683FF0" w14:paraId="0386F7CB" w14:textId="77777777" w:rsidTr="004412FC">
        <w:tc>
          <w:tcPr>
            <w:tcW w:w="4111" w:type="dxa"/>
          </w:tcPr>
          <w:p w14:paraId="5C26C385" w14:textId="5BBB4FBA" w:rsidR="00992858" w:rsidRPr="00683FF0" w:rsidRDefault="00992858" w:rsidP="005B1294">
            <w:pPr>
              <w:pStyle w:val="TableText"/>
            </w:pPr>
            <w:r w:rsidRPr="00683FF0">
              <w:t>22.3</w:t>
            </w:r>
            <w:r w:rsidR="00BC3CA0" w:rsidRPr="00683FF0">
              <w:t>.</w:t>
            </w:r>
            <w:r w:rsidRPr="00683FF0">
              <w:t xml:space="preserve"> Upgrading existing buildings and constructing new buildings that are low emissions, healthier and climate resilient. Measures should include: </w:t>
            </w:r>
          </w:p>
          <w:p w14:paraId="5627B82E" w14:textId="77777777" w:rsidR="00992858" w:rsidRPr="00683FF0" w:rsidRDefault="00992858" w:rsidP="00D21268">
            <w:pPr>
              <w:pStyle w:val="TableText"/>
              <w:numPr>
                <w:ilvl w:val="0"/>
                <w:numId w:val="32"/>
              </w:numPr>
              <w:spacing w:before="0"/>
              <w:ind w:left="284" w:hanging="284"/>
            </w:pPr>
            <w:r w:rsidRPr="00683FF0">
              <w:t xml:space="preserve">Continuous improvements to minimum Building Code requirements such as energy efficiency standards. </w:t>
            </w:r>
          </w:p>
          <w:p w14:paraId="4CD1A802" w14:textId="77777777" w:rsidR="00992858" w:rsidRPr="00683FF0" w:rsidRDefault="00992858" w:rsidP="00D21268">
            <w:pPr>
              <w:pStyle w:val="TableText"/>
              <w:numPr>
                <w:ilvl w:val="0"/>
                <w:numId w:val="32"/>
              </w:numPr>
              <w:spacing w:before="0"/>
              <w:ind w:left="284" w:hanging="284"/>
            </w:pPr>
            <w:r w:rsidRPr="00683FF0">
              <w:t xml:space="preserve">Encouraging construction based on low-emissions designs and practices to reduce building energy use and embodied emissions. </w:t>
            </w:r>
          </w:p>
          <w:p w14:paraId="222732C4" w14:textId="77777777" w:rsidR="00992858" w:rsidRPr="00683FF0" w:rsidRDefault="00992858" w:rsidP="00D21268">
            <w:pPr>
              <w:pStyle w:val="TableText"/>
              <w:numPr>
                <w:ilvl w:val="0"/>
                <w:numId w:val="32"/>
              </w:numPr>
              <w:spacing w:before="0"/>
              <w:ind w:left="284" w:hanging="284"/>
            </w:pPr>
            <w:r w:rsidRPr="00683FF0">
              <w:t xml:space="preserve">Scaling up energy efficiency assistance to low-income households to enable them to benefit from lower emissions, lower energy costs and healthier buildings. </w:t>
            </w:r>
          </w:p>
          <w:p w14:paraId="54D33B1B" w14:textId="77777777" w:rsidR="00992858" w:rsidRPr="00683FF0" w:rsidRDefault="00992858" w:rsidP="00D21268">
            <w:pPr>
              <w:pStyle w:val="TableText"/>
              <w:numPr>
                <w:ilvl w:val="0"/>
                <w:numId w:val="32"/>
              </w:numPr>
              <w:spacing w:before="0"/>
              <w:ind w:left="284" w:hanging="284"/>
            </w:pPr>
            <w:r w:rsidRPr="00683FF0">
              <w:t>Mandating participation in energy performance programmes for existing commercial and public buildings.</w:t>
            </w:r>
          </w:p>
        </w:tc>
        <w:tc>
          <w:tcPr>
            <w:tcW w:w="4394" w:type="dxa"/>
          </w:tcPr>
          <w:p w14:paraId="0C339C15" w14:textId="1BDDC7E9" w:rsidR="001E68F7" w:rsidRPr="00683FF0" w:rsidRDefault="00BC3CA0" w:rsidP="005B1294">
            <w:pPr>
              <w:pStyle w:val="TableText"/>
            </w:pPr>
            <w:r w:rsidRPr="00683FF0">
              <w:rPr>
                <w:b/>
                <w:bCs/>
              </w:rPr>
              <w:t xml:space="preserve">22.3. </w:t>
            </w:r>
            <w:r w:rsidR="0091053B" w:rsidRPr="00683FF0">
              <w:rPr>
                <w:b/>
                <w:bCs/>
              </w:rPr>
              <w:t>The Government agrees with this recommendation as intended by the Commission.</w:t>
            </w:r>
            <w:r w:rsidR="00246D08" w:rsidRPr="00683FF0">
              <w:t xml:space="preserve"> The</w:t>
            </w:r>
            <w:r w:rsidR="00FE215C" w:rsidRPr="00683FF0">
              <w:t> </w:t>
            </w:r>
            <w:r w:rsidR="2D486DDE" w:rsidRPr="00683FF0">
              <w:t>Government is progressing regulatory and non</w:t>
            </w:r>
            <w:r w:rsidR="00FE215C" w:rsidRPr="00683FF0">
              <w:noBreakHyphen/>
            </w:r>
            <w:r w:rsidR="2D486DDE" w:rsidRPr="00683FF0">
              <w:t xml:space="preserve">regulatory actions in the first emissions reduction plan to support emissions reduction from new and existing buildings. Actions include updating the New Zealand Building Code, introducing mandatory </w:t>
            </w:r>
            <w:r w:rsidR="00B82240" w:rsidRPr="00683FF0">
              <w:t>e</w:t>
            </w:r>
            <w:r w:rsidR="2D486DDE" w:rsidRPr="00683FF0">
              <w:t xml:space="preserve">nergy </w:t>
            </w:r>
            <w:r w:rsidR="00B82240" w:rsidRPr="00683FF0">
              <w:t>p</w:t>
            </w:r>
            <w:r w:rsidR="2D486DDE" w:rsidRPr="00683FF0">
              <w:t xml:space="preserve">erformance </w:t>
            </w:r>
            <w:r w:rsidR="00B82240" w:rsidRPr="00683FF0">
              <w:t>c</w:t>
            </w:r>
            <w:r w:rsidR="2D486DDE" w:rsidRPr="00683FF0">
              <w:t>ertificates for certain building types and exploring options to expand the existing Warmer Kiwi Homes programme (</w:t>
            </w:r>
            <w:r w:rsidR="006E6F7F" w:rsidRPr="00683FF0">
              <w:t>c</w:t>
            </w:r>
            <w:r w:rsidR="2D486DDE" w:rsidRPr="00683FF0">
              <w:t>hapter 12</w:t>
            </w:r>
            <w:r w:rsidR="006E6F7F" w:rsidRPr="00683FF0">
              <w:t>:</w:t>
            </w:r>
            <w:r w:rsidR="2D486DDE" w:rsidRPr="00683FF0">
              <w:t xml:space="preserve"> Building and </w:t>
            </w:r>
            <w:r w:rsidR="006E6F7F" w:rsidRPr="00683FF0">
              <w:t>c</w:t>
            </w:r>
            <w:r w:rsidR="2D486DDE" w:rsidRPr="00683FF0">
              <w:t>onstruction</w:t>
            </w:r>
            <w:r w:rsidR="006E6F7F" w:rsidRPr="00683FF0">
              <w:t>,</w:t>
            </w:r>
            <w:r w:rsidR="2D486DDE" w:rsidRPr="00683FF0">
              <w:t xml:space="preserve"> </w:t>
            </w:r>
            <w:r w:rsidR="006E6F7F" w:rsidRPr="00683FF0">
              <w:t>a</w:t>
            </w:r>
            <w:r w:rsidR="2D486DDE" w:rsidRPr="00683FF0">
              <w:t xml:space="preserve">ctions </w:t>
            </w:r>
            <w:r w:rsidR="00B15EC0" w:rsidRPr="00683FF0">
              <w:t>12.</w:t>
            </w:r>
            <w:r w:rsidR="2D486DDE" w:rsidRPr="00683FF0">
              <w:t xml:space="preserve">1.1, </w:t>
            </w:r>
            <w:r w:rsidR="00B15EC0" w:rsidRPr="00683FF0">
              <w:t>12.</w:t>
            </w:r>
            <w:r w:rsidR="2D486DDE" w:rsidRPr="00683FF0">
              <w:t xml:space="preserve">2.1, </w:t>
            </w:r>
            <w:r w:rsidR="00B15EC0" w:rsidRPr="00683FF0">
              <w:t>12.</w:t>
            </w:r>
            <w:r w:rsidR="2D486DDE" w:rsidRPr="00683FF0">
              <w:t xml:space="preserve">3.1, </w:t>
            </w:r>
            <w:r w:rsidR="00B15EC0" w:rsidRPr="00683FF0">
              <w:t>12.</w:t>
            </w:r>
            <w:r w:rsidR="2D486DDE" w:rsidRPr="00683FF0">
              <w:t xml:space="preserve">3.2, </w:t>
            </w:r>
            <w:r w:rsidR="00B15EC0" w:rsidRPr="00683FF0">
              <w:t>12.</w:t>
            </w:r>
            <w:r w:rsidR="2D486DDE" w:rsidRPr="00683FF0">
              <w:t>5.3).</w:t>
            </w:r>
          </w:p>
          <w:p w14:paraId="461A52E1" w14:textId="2795659E" w:rsidR="001E68F7" w:rsidRPr="00683FF0" w:rsidRDefault="262932D4" w:rsidP="005B1294">
            <w:pPr>
              <w:pStyle w:val="TableText"/>
              <w:rPr>
                <w:rFonts w:cstheme="minorHAnsi"/>
                <w:b/>
                <w:bCs/>
              </w:rPr>
            </w:pPr>
            <w:r w:rsidRPr="00683FF0">
              <w:rPr>
                <w:b/>
                <w:bCs/>
              </w:rPr>
              <w:t xml:space="preserve">22.3a. </w:t>
            </w:r>
            <w:r w:rsidR="0388228D" w:rsidRPr="00683FF0">
              <w:rPr>
                <w:b/>
                <w:bCs/>
              </w:rPr>
              <w:t>The Government agrees with this recommendation as intended by the Commission.</w:t>
            </w:r>
            <w:r w:rsidRPr="00683FF0">
              <w:rPr>
                <w:b/>
                <w:bCs/>
              </w:rPr>
              <w:t xml:space="preserve"> </w:t>
            </w:r>
            <w:r w:rsidR="2D486DDE" w:rsidRPr="00683FF0">
              <w:t>The</w:t>
            </w:r>
            <w:r w:rsidR="00FE215C" w:rsidRPr="00683FF0">
              <w:t> </w:t>
            </w:r>
            <w:r w:rsidR="2D486DDE" w:rsidRPr="00683FF0">
              <w:t xml:space="preserve">2021 Building Code update included changes to compliance documents </w:t>
            </w:r>
            <w:r w:rsidR="00284F9C" w:rsidRPr="00683FF0">
              <w:t xml:space="preserve">that </w:t>
            </w:r>
            <w:r w:rsidR="2D486DDE" w:rsidRPr="00683FF0">
              <w:t>will lift minimum insulation requirements for new buildings. As part of the annual cycle of updates to the Building Code, further changes will be progressed to support emissions reduction and improve efficiency (for example, introducing new regulatory requirements to cap embodied carbon and operational emissions) (</w:t>
            </w:r>
            <w:r w:rsidR="00284F9C" w:rsidRPr="00683FF0">
              <w:t>c</w:t>
            </w:r>
            <w:r w:rsidR="2D486DDE" w:rsidRPr="00683FF0">
              <w:t>hapter 12</w:t>
            </w:r>
            <w:r w:rsidR="00284F9C" w:rsidRPr="00683FF0">
              <w:t>:</w:t>
            </w:r>
            <w:r w:rsidR="2D486DDE" w:rsidRPr="00683FF0">
              <w:t xml:space="preserve"> Building and </w:t>
            </w:r>
            <w:r w:rsidR="00284F9C" w:rsidRPr="00683FF0">
              <w:t>c</w:t>
            </w:r>
            <w:r w:rsidR="2D486DDE" w:rsidRPr="00683FF0">
              <w:t>onstruction</w:t>
            </w:r>
            <w:r w:rsidR="00284F9C" w:rsidRPr="00683FF0">
              <w:t>,</w:t>
            </w:r>
            <w:r w:rsidR="2D486DDE" w:rsidRPr="00683FF0">
              <w:t xml:space="preserve"> </w:t>
            </w:r>
            <w:r w:rsidR="00284F9C" w:rsidRPr="00683FF0">
              <w:t>a</w:t>
            </w:r>
            <w:r w:rsidR="2D486DDE" w:rsidRPr="00683FF0">
              <w:t xml:space="preserve">ctions </w:t>
            </w:r>
            <w:r w:rsidR="00346C49" w:rsidRPr="00683FF0">
              <w:t>12.</w:t>
            </w:r>
            <w:r w:rsidR="2D486DDE" w:rsidRPr="00683FF0">
              <w:t>1.1</w:t>
            </w:r>
            <w:r w:rsidR="00284F9C" w:rsidRPr="00683FF0">
              <w:t>,</w:t>
            </w:r>
            <w:r w:rsidR="2D486DDE" w:rsidRPr="00683FF0">
              <w:t xml:space="preserve"> </w:t>
            </w:r>
            <w:r w:rsidR="00346C49" w:rsidRPr="00683FF0">
              <w:t>12.</w:t>
            </w:r>
            <w:r w:rsidR="2D486DDE" w:rsidRPr="00683FF0">
              <w:t>3.1).</w:t>
            </w:r>
          </w:p>
          <w:p w14:paraId="390BB0E5" w14:textId="0FC2C232" w:rsidR="001E68F7" w:rsidRPr="00683FF0" w:rsidRDefault="262932D4" w:rsidP="004412FC">
            <w:pPr>
              <w:pStyle w:val="TableText"/>
              <w:rPr>
                <w:b/>
                <w:bCs/>
                <w:szCs w:val="18"/>
              </w:rPr>
            </w:pPr>
            <w:r w:rsidRPr="00683FF0">
              <w:rPr>
                <w:b/>
                <w:bCs/>
              </w:rPr>
              <w:lastRenderedPageBreak/>
              <w:t xml:space="preserve">22.3b. </w:t>
            </w:r>
            <w:r w:rsidR="0388228D" w:rsidRPr="00683FF0">
              <w:rPr>
                <w:b/>
                <w:bCs/>
              </w:rPr>
              <w:t>The Government agrees with this recommendation as intended by the Commission.</w:t>
            </w:r>
            <w:r w:rsidRPr="00683FF0">
              <w:rPr>
                <w:b/>
                <w:bCs/>
              </w:rPr>
              <w:t xml:space="preserve"> </w:t>
            </w:r>
            <w:r w:rsidRPr="00683FF0">
              <w:t>The</w:t>
            </w:r>
            <w:r w:rsidR="00FE215C" w:rsidRPr="00683FF0">
              <w:t> </w:t>
            </w:r>
            <w:r w:rsidR="2D486DDE" w:rsidRPr="00683FF0">
              <w:t>Government is progressing regulatory and non</w:t>
            </w:r>
            <w:r w:rsidR="00FE215C" w:rsidRPr="00683FF0">
              <w:noBreakHyphen/>
            </w:r>
            <w:r w:rsidR="2D486DDE" w:rsidRPr="00683FF0">
              <w:t>regulatory actions to encourage construction based on low-emissions designs and practices. Actions include developing and delivering a behaviour change programme, progressing regulatory changes that will require new buildings to meet whole-of-life embodied carbon reduction and operational efficiency caps, and work</w:t>
            </w:r>
            <w:r w:rsidR="00DF453C" w:rsidRPr="00683FF0">
              <w:t>ing</w:t>
            </w:r>
            <w:r w:rsidR="2D486DDE" w:rsidRPr="00683FF0">
              <w:t xml:space="preserve"> to support medium</w:t>
            </w:r>
            <w:r w:rsidR="00DF453C" w:rsidRPr="00683FF0">
              <w:t>-</w:t>
            </w:r>
            <w:r w:rsidR="2D486DDE" w:rsidRPr="00683FF0">
              <w:t>density housing and modular design and manufacturing processes (</w:t>
            </w:r>
            <w:r w:rsidR="00DF453C" w:rsidRPr="00683FF0">
              <w:t>c</w:t>
            </w:r>
            <w:r w:rsidR="2D486DDE" w:rsidRPr="00683FF0">
              <w:t>hapter 12</w:t>
            </w:r>
            <w:r w:rsidR="00DF453C" w:rsidRPr="00683FF0">
              <w:t>:</w:t>
            </w:r>
            <w:r w:rsidR="2D486DDE" w:rsidRPr="00683FF0">
              <w:t xml:space="preserve"> Building and </w:t>
            </w:r>
            <w:r w:rsidR="00DF453C" w:rsidRPr="00683FF0">
              <w:t>c</w:t>
            </w:r>
            <w:r w:rsidR="2D486DDE" w:rsidRPr="00683FF0">
              <w:t>onstruction</w:t>
            </w:r>
            <w:r w:rsidR="00DF453C" w:rsidRPr="00683FF0">
              <w:t>,</w:t>
            </w:r>
            <w:r w:rsidR="2D486DDE" w:rsidRPr="00683FF0">
              <w:t xml:space="preserve"> </w:t>
            </w:r>
            <w:r w:rsidR="00DF453C" w:rsidRPr="00683FF0">
              <w:t>a</w:t>
            </w:r>
            <w:r w:rsidR="2D486DDE" w:rsidRPr="00683FF0">
              <w:t xml:space="preserve">ctions </w:t>
            </w:r>
            <w:r w:rsidR="00346C49" w:rsidRPr="00683FF0">
              <w:t>12.</w:t>
            </w:r>
            <w:r w:rsidR="2D486DDE" w:rsidRPr="00683FF0">
              <w:t>1.1</w:t>
            </w:r>
            <w:r w:rsidR="00DF453C" w:rsidRPr="00683FF0">
              <w:t>–</w:t>
            </w:r>
            <w:r w:rsidR="00346C49" w:rsidRPr="00683FF0">
              <w:t>12.</w:t>
            </w:r>
            <w:r w:rsidR="2D486DDE" w:rsidRPr="00683FF0">
              <w:t xml:space="preserve">1.3, </w:t>
            </w:r>
            <w:r w:rsidR="00346C49" w:rsidRPr="00683FF0">
              <w:t>12.</w:t>
            </w:r>
            <w:r w:rsidR="2D486DDE" w:rsidRPr="00683FF0">
              <w:t>2.1</w:t>
            </w:r>
            <w:r w:rsidR="00DF453C" w:rsidRPr="00683FF0">
              <w:t>,</w:t>
            </w:r>
            <w:r w:rsidR="2D486DDE" w:rsidRPr="00683FF0">
              <w:t xml:space="preserve"> </w:t>
            </w:r>
            <w:r w:rsidR="00346C49" w:rsidRPr="00683FF0">
              <w:t>12.</w:t>
            </w:r>
            <w:r w:rsidR="2D486DDE" w:rsidRPr="00683FF0">
              <w:t>5.3).</w:t>
            </w:r>
          </w:p>
          <w:p w14:paraId="6DC73314" w14:textId="61418220" w:rsidR="001E68F7" w:rsidRPr="00683FF0" w:rsidRDefault="009F5C58" w:rsidP="004412FC">
            <w:pPr>
              <w:pStyle w:val="TableText"/>
              <w:rPr>
                <w:rFonts w:eastAsia="Times New Roman" w:cstheme="minorHAnsi"/>
                <w:b/>
                <w:bCs/>
                <w:szCs w:val="18"/>
              </w:rPr>
            </w:pPr>
            <w:r w:rsidRPr="00683FF0">
              <w:rPr>
                <w:b/>
                <w:bCs/>
              </w:rPr>
              <w:t xml:space="preserve">22.3c. </w:t>
            </w:r>
            <w:r w:rsidR="009121D5" w:rsidRPr="00683FF0">
              <w:rPr>
                <w:b/>
                <w:bCs/>
              </w:rPr>
              <w:t>The Government agrees with this recommendation as intended by the Commission.</w:t>
            </w:r>
            <w:r w:rsidR="00405AEF" w:rsidRPr="00683FF0">
              <w:t xml:space="preserve"> </w:t>
            </w:r>
            <w:r w:rsidR="262932D4" w:rsidRPr="00683FF0">
              <w:t>The</w:t>
            </w:r>
            <w:r w:rsidR="007C3531" w:rsidRPr="00683FF0">
              <w:rPr>
                <w:b/>
                <w:bCs/>
              </w:rPr>
              <w:t> </w:t>
            </w:r>
            <w:r w:rsidR="2D486DDE" w:rsidRPr="00683FF0">
              <w:t>Government is working to understand and mitigate the</w:t>
            </w:r>
            <w:r w:rsidR="00FE215C" w:rsidRPr="00683FF0">
              <w:t> </w:t>
            </w:r>
            <w:r w:rsidR="2D486DDE" w:rsidRPr="00683FF0">
              <w:t>costs and impacts that the move to lower</w:t>
            </w:r>
            <w:r w:rsidR="00FE651A" w:rsidRPr="00683FF0">
              <w:t>-</w:t>
            </w:r>
            <w:r w:rsidR="2D486DDE" w:rsidRPr="00683FF0">
              <w:t>emissions building and construction might have for low-income households. Actions include exploring options to expand the Warmer Kiwi Homes programme, continu</w:t>
            </w:r>
            <w:r w:rsidR="00FE651A" w:rsidRPr="00683FF0">
              <w:t>ing to</w:t>
            </w:r>
            <w:r w:rsidR="2D486DDE" w:rsidRPr="00683FF0">
              <w:t xml:space="preserve"> implement and enforce the Healthy Homes Standards, and work</w:t>
            </w:r>
            <w:r w:rsidR="00FE651A" w:rsidRPr="00683FF0">
              <w:t>ing</w:t>
            </w:r>
            <w:r w:rsidR="2D486DDE" w:rsidRPr="00683FF0">
              <w:t xml:space="preserve"> to grow and mainstream the low</w:t>
            </w:r>
            <w:r w:rsidR="007F2F1E" w:rsidRPr="00683FF0">
              <w:t>-</w:t>
            </w:r>
            <w:r w:rsidR="2D486DDE" w:rsidRPr="00683FF0">
              <w:t>emission</w:t>
            </w:r>
            <w:r w:rsidR="007F2F1E" w:rsidRPr="00683FF0">
              <w:t>s</w:t>
            </w:r>
            <w:r w:rsidR="2D486DDE" w:rsidRPr="00683FF0">
              <w:t xml:space="preserve"> building market</w:t>
            </w:r>
            <w:r w:rsidR="00FE651A" w:rsidRPr="00683FF0">
              <w:t>,</w:t>
            </w:r>
            <w:r w:rsidR="2D486DDE" w:rsidRPr="00683FF0">
              <w:t xml:space="preserve"> which will drive down the cost of low</w:t>
            </w:r>
            <w:r w:rsidR="007F2F1E" w:rsidRPr="00683FF0">
              <w:t>-</w:t>
            </w:r>
            <w:r w:rsidR="2D486DDE" w:rsidRPr="00683FF0">
              <w:t>emissions building (</w:t>
            </w:r>
            <w:r w:rsidR="00FE651A" w:rsidRPr="00683FF0">
              <w:t>c</w:t>
            </w:r>
            <w:r w:rsidR="2D486DDE" w:rsidRPr="00683FF0">
              <w:t>hapter 12</w:t>
            </w:r>
            <w:r w:rsidR="00FE651A" w:rsidRPr="00683FF0">
              <w:t>:</w:t>
            </w:r>
            <w:r w:rsidR="2D486DDE" w:rsidRPr="00683FF0">
              <w:t xml:space="preserve"> Building and </w:t>
            </w:r>
            <w:r w:rsidR="00FE651A" w:rsidRPr="00683FF0">
              <w:t>c</w:t>
            </w:r>
            <w:r w:rsidR="2D486DDE" w:rsidRPr="00683FF0">
              <w:t>onstruction</w:t>
            </w:r>
            <w:r w:rsidR="00FE651A" w:rsidRPr="00683FF0">
              <w:t>,</w:t>
            </w:r>
            <w:r w:rsidR="2D486DDE" w:rsidRPr="00683FF0">
              <w:t xml:space="preserve"> </w:t>
            </w:r>
            <w:r w:rsidR="00FE651A" w:rsidRPr="00683FF0">
              <w:t>a</w:t>
            </w:r>
            <w:r w:rsidR="2D486DDE" w:rsidRPr="00683FF0">
              <w:t>ctions including, but not limited to</w:t>
            </w:r>
            <w:r w:rsidR="00FE651A" w:rsidRPr="00683FF0">
              <w:t>,</w:t>
            </w:r>
            <w:r w:rsidR="2D486DDE" w:rsidRPr="00683FF0">
              <w:t xml:space="preserve"> </w:t>
            </w:r>
            <w:r w:rsidR="00346C49" w:rsidRPr="00683FF0">
              <w:t>12.</w:t>
            </w:r>
            <w:r w:rsidR="5C69F0AA" w:rsidRPr="00683FF0">
              <w:t xml:space="preserve">1.2, </w:t>
            </w:r>
            <w:r w:rsidR="00346C49" w:rsidRPr="00683FF0">
              <w:t>12.</w:t>
            </w:r>
            <w:r w:rsidR="5C69F0AA" w:rsidRPr="00683FF0">
              <w:t>3.2</w:t>
            </w:r>
            <w:r w:rsidR="00FE651A" w:rsidRPr="00683FF0">
              <w:t>,</w:t>
            </w:r>
            <w:r w:rsidR="5C69F0AA" w:rsidRPr="00683FF0">
              <w:t xml:space="preserve"> </w:t>
            </w:r>
            <w:r w:rsidR="00346C49" w:rsidRPr="00683FF0">
              <w:t>12.</w:t>
            </w:r>
            <w:r w:rsidR="5C69F0AA" w:rsidRPr="00683FF0">
              <w:t>4.1</w:t>
            </w:r>
            <w:r w:rsidR="00FE651A" w:rsidRPr="00683FF0">
              <w:t>;</w:t>
            </w:r>
            <w:r w:rsidR="5C69F0AA" w:rsidRPr="00683FF0">
              <w:t xml:space="preserve"> </w:t>
            </w:r>
            <w:r w:rsidR="00FE651A" w:rsidRPr="00683FF0">
              <w:t>c</w:t>
            </w:r>
            <w:r w:rsidR="5C69F0AA" w:rsidRPr="00683FF0">
              <w:t>hapter</w:t>
            </w:r>
            <w:r w:rsidR="00C273CD" w:rsidRPr="00683FF0">
              <w:t> </w:t>
            </w:r>
            <w:r w:rsidR="5C69F0AA" w:rsidRPr="00683FF0">
              <w:t>11</w:t>
            </w:r>
            <w:r w:rsidR="00FE651A" w:rsidRPr="00683FF0">
              <w:t>:</w:t>
            </w:r>
            <w:r w:rsidR="5C69F0AA" w:rsidRPr="00683FF0">
              <w:t xml:space="preserve"> Energy and </w:t>
            </w:r>
            <w:r w:rsidR="00FE651A" w:rsidRPr="00683FF0">
              <w:t>i</w:t>
            </w:r>
            <w:r w:rsidR="5C69F0AA" w:rsidRPr="00683FF0">
              <w:t>ndustry</w:t>
            </w:r>
            <w:r w:rsidR="00FE651A" w:rsidRPr="00683FF0">
              <w:t>,</w:t>
            </w:r>
            <w:r w:rsidR="5C69F0AA" w:rsidRPr="00683FF0">
              <w:t xml:space="preserve"> </w:t>
            </w:r>
            <w:r w:rsidR="00FE651A" w:rsidRPr="00683FF0">
              <w:t>a</w:t>
            </w:r>
            <w:r w:rsidR="5C69F0AA" w:rsidRPr="00683FF0">
              <w:t xml:space="preserve">ction </w:t>
            </w:r>
            <w:r w:rsidR="00346C49" w:rsidRPr="00683FF0">
              <w:t>11.</w:t>
            </w:r>
            <w:r w:rsidR="5C69F0AA" w:rsidRPr="00683FF0">
              <w:t>1.1</w:t>
            </w:r>
            <w:r w:rsidR="2D486DDE" w:rsidRPr="00683FF0">
              <w:t>)</w:t>
            </w:r>
            <w:r w:rsidR="00FE651A" w:rsidRPr="00683FF0">
              <w:t>.</w:t>
            </w:r>
          </w:p>
          <w:p w14:paraId="468F5399" w14:textId="55C50231" w:rsidR="001E68F7" w:rsidRPr="00683FF0" w:rsidRDefault="009F5C58" w:rsidP="004412FC">
            <w:pPr>
              <w:pStyle w:val="TableText"/>
            </w:pPr>
            <w:r w:rsidRPr="00683FF0">
              <w:rPr>
                <w:b/>
                <w:bCs/>
              </w:rPr>
              <w:t xml:space="preserve">22.3d. </w:t>
            </w:r>
            <w:r w:rsidR="009121D5" w:rsidRPr="00683FF0">
              <w:rPr>
                <w:b/>
                <w:bCs/>
              </w:rPr>
              <w:t>The Government agrees with this recommendation as intended by the Commission.</w:t>
            </w:r>
            <w:r w:rsidR="00405AEF" w:rsidRPr="00683FF0">
              <w:t xml:space="preserve"> </w:t>
            </w:r>
            <w:r w:rsidR="262932D4" w:rsidRPr="00683FF0">
              <w:t>The</w:t>
            </w:r>
            <w:r w:rsidR="004412FC" w:rsidRPr="00683FF0">
              <w:rPr>
                <w:b/>
                <w:bCs/>
              </w:rPr>
              <w:t> </w:t>
            </w:r>
            <w:r w:rsidR="5C69F0AA" w:rsidRPr="00683FF0">
              <w:t xml:space="preserve">Government will introduce mandatory </w:t>
            </w:r>
            <w:r w:rsidR="009F2A9F" w:rsidRPr="00683FF0">
              <w:t>e</w:t>
            </w:r>
            <w:r w:rsidR="5C69F0AA" w:rsidRPr="00683FF0">
              <w:t xml:space="preserve">nergy </w:t>
            </w:r>
            <w:r w:rsidR="009F2A9F" w:rsidRPr="00683FF0">
              <w:t>p</w:t>
            </w:r>
            <w:r w:rsidR="5C69F0AA" w:rsidRPr="00683FF0">
              <w:t xml:space="preserve">erformance </w:t>
            </w:r>
            <w:r w:rsidR="009F2A9F" w:rsidRPr="00683FF0">
              <w:t>c</w:t>
            </w:r>
            <w:r w:rsidR="5C69F0AA" w:rsidRPr="00683FF0">
              <w:t xml:space="preserve">ertificates for specific types of existing buildings, starting with commercial and </w:t>
            </w:r>
            <w:r w:rsidR="009F2A9F" w:rsidRPr="00683FF0">
              <w:t>g</w:t>
            </w:r>
            <w:r w:rsidR="5C69F0AA" w:rsidRPr="00683FF0">
              <w:t xml:space="preserve">overnment buildings. </w:t>
            </w:r>
            <w:r w:rsidR="009F2A9F" w:rsidRPr="00683FF0">
              <w:t xml:space="preserve">The </w:t>
            </w:r>
            <w:r w:rsidR="5C69F0AA" w:rsidRPr="00683FF0">
              <w:t>Government also supports the Carbon Neutral Government Programme, which requires some</w:t>
            </w:r>
            <w:r w:rsidR="007C3531" w:rsidRPr="00683FF0">
              <w:t> </w:t>
            </w:r>
            <w:r w:rsidR="5C69F0AA" w:rsidRPr="00683FF0">
              <w:t>agencies’ larger office buildings to meet third</w:t>
            </w:r>
            <w:r w:rsidR="00187B22" w:rsidRPr="00683FF0">
              <w:t>-</w:t>
            </w:r>
            <w:r w:rsidR="5C69F0AA" w:rsidRPr="00683FF0">
              <w:t>party energy efficiency requirements. Actions that apply</w:t>
            </w:r>
            <w:r w:rsidR="007C3531" w:rsidRPr="00683FF0">
              <w:t> </w:t>
            </w:r>
            <w:r w:rsidR="5C69F0AA" w:rsidRPr="00683FF0">
              <w:t>to existing buildings may have significant distributional impacts and complexities, so this work will</w:t>
            </w:r>
            <w:r w:rsidR="007C3531" w:rsidRPr="00683FF0">
              <w:t> </w:t>
            </w:r>
            <w:r w:rsidR="5C69F0AA" w:rsidRPr="00683FF0">
              <w:t>be progressed carefully and in partnership with the sector (</w:t>
            </w:r>
            <w:r w:rsidR="00187B22" w:rsidRPr="00683FF0">
              <w:t>c</w:t>
            </w:r>
            <w:r w:rsidR="5C69F0AA" w:rsidRPr="00683FF0">
              <w:t>hapter 12</w:t>
            </w:r>
            <w:r w:rsidR="00187B22" w:rsidRPr="00683FF0">
              <w:t>:</w:t>
            </w:r>
            <w:r w:rsidR="5C69F0AA" w:rsidRPr="00683FF0">
              <w:t xml:space="preserve"> Building and </w:t>
            </w:r>
            <w:r w:rsidR="00187B22" w:rsidRPr="00683FF0">
              <w:t>c</w:t>
            </w:r>
            <w:r w:rsidR="5C69F0AA" w:rsidRPr="00683FF0">
              <w:t>onstruction</w:t>
            </w:r>
            <w:r w:rsidR="00187B22" w:rsidRPr="00683FF0">
              <w:t>,</w:t>
            </w:r>
            <w:r w:rsidR="5C69F0AA" w:rsidRPr="00683FF0">
              <w:t xml:space="preserve"> </w:t>
            </w:r>
            <w:r w:rsidR="00187B22" w:rsidRPr="00683FF0">
              <w:t>a</w:t>
            </w:r>
            <w:r w:rsidR="5C69F0AA" w:rsidRPr="00683FF0">
              <w:t>ctions</w:t>
            </w:r>
            <w:r w:rsidR="004412FC" w:rsidRPr="00683FF0">
              <w:t xml:space="preserve"> </w:t>
            </w:r>
            <w:r w:rsidR="00346C49" w:rsidRPr="00683FF0">
              <w:t>12.</w:t>
            </w:r>
            <w:r w:rsidR="5C69F0AA" w:rsidRPr="00683FF0">
              <w:t>2.2</w:t>
            </w:r>
            <w:r w:rsidR="00187B22" w:rsidRPr="00683FF0">
              <w:t>,</w:t>
            </w:r>
            <w:r w:rsidR="5C69F0AA" w:rsidRPr="00683FF0">
              <w:t xml:space="preserve"> </w:t>
            </w:r>
            <w:r w:rsidR="00346C49" w:rsidRPr="00683FF0">
              <w:t>12.</w:t>
            </w:r>
            <w:r w:rsidR="5C69F0AA" w:rsidRPr="00683FF0">
              <w:t>3.2).</w:t>
            </w:r>
          </w:p>
        </w:tc>
      </w:tr>
      <w:tr w:rsidR="009F5C58" w:rsidRPr="00683FF0" w14:paraId="558B5187" w14:textId="77777777" w:rsidTr="004412FC">
        <w:tc>
          <w:tcPr>
            <w:tcW w:w="4111" w:type="dxa"/>
          </w:tcPr>
          <w:p w14:paraId="4A77C35E" w14:textId="77777777" w:rsidR="009F5C58" w:rsidRPr="00683FF0" w:rsidRDefault="009F5C58" w:rsidP="0083411E">
            <w:pPr>
              <w:rPr>
                <w:sz w:val="18"/>
                <w:szCs w:val="18"/>
              </w:rPr>
            </w:pPr>
          </w:p>
        </w:tc>
        <w:tc>
          <w:tcPr>
            <w:tcW w:w="4394" w:type="dxa"/>
          </w:tcPr>
          <w:p w14:paraId="5CC3822E" w14:textId="7D775118" w:rsidR="009F5C58" w:rsidRPr="00683FF0" w:rsidRDefault="009F5C58" w:rsidP="007C3531">
            <w:pPr>
              <w:pStyle w:val="TableText"/>
              <w:spacing w:before="0"/>
            </w:pPr>
            <w:r w:rsidRPr="00683FF0">
              <w:rPr>
                <w:b/>
                <w:bCs/>
              </w:rPr>
              <w:t xml:space="preserve">Responsible agency: </w:t>
            </w:r>
            <w:r w:rsidRPr="00683FF0">
              <w:t>Ministry of Business, Innovation and Employment</w:t>
            </w:r>
          </w:p>
          <w:p w14:paraId="53660C41" w14:textId="77777777" w:rsidR="009F5C58" w:rsidRPr="00683FF0" w:rsidRDefault="009F5C58" w:rsidP="007C3531">
            <w:pPr>
              <w:pStyle w:val="TableText"/>
              <w:spacing w:before="0"/>
            </w:pPr>
            <w:r w:rsidRPr="00683FF0">
              <w:rPr>
                <w:b/>
                <w:bCs/>
              </w:rPr>
              <w:t xml:space="preserve">Responsible Minister: </w:t>
            </w:r>
            <w:r w:rsidRPr="00683FF0">
              <w:t>Minister of Building and Construction</w:t>
            </w:r>
          </w:p>
          <w:p w14:paraId="6F8ED4EC" w14:textId="24892851" w:rsidR="009F5C58" w:rsidRPr="00683FF0" w:rsidRDefault="009F5C58" w:rsidP="007C3531">
            <w:pPr>
              <w:pStyle w:val="TableText"/>
              <w:spacing w:before="0"/>
            </w:pPr>
            <w:r w:rsidRPr="00683FF0">
              <w:rPr>
                <w:b/>
                <w:bCs/>
              </w:rPr>
              <w:t xml:space="preserve">Timeline: </w:t>
            </w:r>
            <w:r w:rsidRPr="00683FF0">
              <w:t>2022</w:t>
            </w:r>
            <w:r w:rsidR="00187B22" w:rsidRPr="00683FF0">
              <w:t>–</w:t>
            </w:r>
            <w:r w:rsidRPr="00683FF0">
              <w:t>25 (EB1) and ongoing</w:t>
            </w:r>
          </w:p>
        </w:tc>
      </w:tr>
    </w:tbl>
    <w:p w14:paraId="54137FE9" w14:textId="67A90D49" w:rsidR="004C02DA" w:rsidRPr="00683FF0" w:rsidRDefault="004C02DA" w:rsidP="004412FC">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4412FC" w:rsidRPr="00683FF0" w14:paraId="6DD165ED" w14:textId="77777777" w:rsidTr="004412FC">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60964C04" w14:textId="739A2BEB" w:rsidR="00074667" w:rsidRPr="00683FF0" w:rsidRDefault="00074667" w:rsidP="004412FC">
            <w:pPr>
              <w:pStyle w:val="TableTextbold"/>
              <w:rPr>
                <w:color w:val="FFFFFF" w:themeColor="background1"/>
              </w:rPr>
            </w:pPr>
            <w:r w:rsidRPr="00683FF0">
              <w:rPr>
                <w:color w:val="FFFFFF" w:themeColor="background1"/>
              </w:rPr>
              <w:lastRenderedPageBreak/>
              <w:t xml:space="preserve">Report </w:t>
            </w:r>
            <w:r w:rsidR="00187B22"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00EF0CF9" w14:textId="7C93C736" w:rsidR="00074667" w:rsidRPr="00683FF0" w:rsidRDefault="00074667" w:rsidP="004412FC">
            <w:pPr>
              <w:pStyle w:val="TableTextbold"/>
              <w:rPr>
                <w:color w:val="FFFFFF" w:themeColor="background1"/>
              </w:rPr>
            </w:pPr>
            <w:r w:rsidRPr="00683FF0">
              <w:rPr>
                <w:color w:val="FFFFFF" w:themeColor="background1"/>
              </w:rPr>
              <w:t xml:space="preserve">Government </w:t>
            </w:r>
            <w:r w:rsidR="00187B22" w:rsidRPr="00683FF0">
              <w:rPr>
                <w:color w:val="FFFFFF" w:themeColor="background1"/>
              </w:rPr>
              <w:t>r</w:t>
            </w:r>
            <w:r w:rsidRPr="00683FF0">
              <w:rPr>
                <w:color w:val="FFFFFF" w:themeColor="background1"/>
              </w:rPr>
              <w:t>esponse</w:t>
            </w:r>
          </w:p>
        </w:tc>
      </w:tr>
      <w:tr w:rsidR="00074667" w:rsidRPr="00683FF0" w14:paraId="1300FF79" w14:textId="77777777" w:rsidTr="004412FC">
        <w:tc>
          <w:tcPr>
            <w:tcW w:w="4508" w:type="dxa"/>
            <w:tcBorders>
              <w:top w:val="single" w:sz="4" w:space="0" w:color="1B556B" w:themeColor="text2"/>
              <w:bottom w:val="nil"/>
            </w:tcBorders>
            <w:shd w:val="clear" w:color="auto" w:fill="D2DDE1" w:themeFill="background2"/>
          </w:tcPr>
          <w:p w14:paraId="0AC0DDB4" w14:textId="2CAEDBED" w:rsidR="00074667" w:rsidRPr="00683FF0" w:rsidRDefault="00074667" w:rsidP="004412FC">
            <w:pPr>
              <w:pStyle w:val="TableTextbold"/>
              <w:keepNext/>
            </w:pPr>
            <w:r w:rsidRPr="00683FF0">
              <w:t xml:space="preserve">Recommendation 22 – Provisional </w:t>
            </w:r>
            <w:r w:rsidR="00C273CD" w:rsidRPr="00683FF0">
              <w:t xml:space="preserve">progress </w:t>
            </w:r>
            <w:r w:rsidRPr="00683FF0">
              <w:t>indicators</w:t>
            </w:r>
          </w:p>
        </w:tc>
        <w:tc>
          <w:tcPr>
            <w:tcW w:w="4508" w:type="dxa"/>
            <w:tcBorders>
              <w:top w:val="single" w:sz="4" w:space="0" w:color="1B556B" w:themeColor="text2"/>
              <w:bottom w:val="nil"/>
            </w:tcBorders>
            <w:shd w:val="clear" w:color="auto" w:fill="D2DDE1" w:themeFill="background2"/>
          </w:tcPr>
          <w:p w14:paraId="2405F126" w14:textId="77777777" w:rsidR="00074667" w:rsidRPr="00683FF0" w:rsidRDefault="00074667" w:rsidP="004412FC">
            <w:pPr>
              <w:pStyle w:val="TableTextbold"/>
              <w:keepNext/>
            </w:pPr>
          </w:p>
        </w:tc>
      </w:tr>
      <w:tr w:rsidR="00074667" w:rsidRPr="00683FF0" w14:paraId="48495AB1" w14:textId="77777777" w:rsidTr="004412FC">
        <w:tc>
          <w:tcPr>
            <w:tcW w:w="4508" w:type="dxa"/>
            <w:tcBorders>
              <w:top w:val="nil"/>
            </w:tcBorders>
            <w:shd w:val="clear" w:color="auto" w:fill="FFFFFF" w:themeFill="background1"/>
          </w:tcPr>
          <w:p w14:paraId="28556F12" w14:textId="0F1A1262" w:rsidR="00074667" w:rsidRPr="00683FF0" w:rsidRDefault="00C273CD" w:rsidP="004412FC">
            <w:pPr>
              <w:pStyle w:val="TableText"/>
              <w:keepNext/>
            </w:pPr>
            <w:r w:rsidRPr="00683FF0">
              <w:t>22.</w:t>
            </w:r>
            <w:r w:rsidR="0040095A" w:rsidRPr="00683FF0">
              <w:t xml:space="preserve">1. </w:t>
            </w:r>
            <w:r w:rsidR="0083411E" w:rsidRPr="00683FF0">
              <w:t>Government to have, by 31 December 2022, implemented measures to improve the energy performance of existing buildings, such as mandating participation in energy performance programmes</w:t>
            </w:r>
            <w:r w:rsidR="00831565" w:rsidRPr="00683FF0">
              <w:t>.</w:t>
            </w:r>
          </w:p>
        </w:tc>
        <w:tc>
          <w:tcPr>
            <w:tcW w:w="4508" w:type="dxa"/>
            <w:tcBorders>
              <w:top w:val="nil"/>
            </w:tcBorders>
            <w:shd w:val="clear" w:color="auto" w:fill="FFFFFF" w:themeFill="background1"/>
          </w:tcPr>
          <w:p w14:paraId="7092BC29" w14:textId="2D39FB3C" w:rsidR="0093229B" w:rsidRPr="00683FF0" w:rsidRDefault="00C273CD" w:rsidP="004412FC">
            <w:pPr>
              <w:pStyle w:val="TableText"/>
              <w:keepNext/>
            </w:pPr>
            <w:r w:rsidRPr="00683FF0">
              <w:rPr>
                <w:b/>
                <w:bCs/>
              </w:rPr>
              <w:t xml:space="preserve">22.1. </w:t>
            </w:r>
            <w:r w:rsidR="0388228D" w:rsidRPr="00683FF0">
              <w:rPr>
                <w:b/>
                <w:bCs/>
              </w:rPr>
              <w:t>The Government agrees in part with this provisional</w:t>
            </w:r>
            <w:r w:rsidRPr="00683FF0">
              <w:rPr>
                <w:b/>
                <w:bCs/>
              </w:rPr>
              <w:t xml:space="preserve"> progress</w:t>
            </w:r>
            <w:r w:rsidR="0388228D" w:rsidRPr="00683FF0">
              <w:rPr>
                <w:b/>
                <w:bCs/>
              </w:rPr>
              <w:t xml:space="preserve"> indicator – deviating from the advice.</w:t>
            </w:r>
            <w:r w:rsidR="14AC4C6D" w:rsidRPr="00683FF0">
              <w:rPr>
                <w:b/>
                <w:bCs/>
              </w:rPr>
              <w:t xml:space="preserve"> </w:t>
            </w:r>
            <w:r w:rsidR="5C69F0AA" w:rsidRPr="00683FF0">
              <w:t>Enabling legislation to introduce mandatory participation in energy performance programming will be introduced to the House before the end of 2022. Full implementation of requirements will take place over a longer timeframe to ensure that the system is well</w:t>
            </w:r>
            <w:r w:rsidR="00831565" w:rsidRPr="00683FF0">
              <w:t xml:space="preserve"> </w:t>
            </w:r>
            <w:r w:rsidR="5C69F0AA" w:rsidRPr="00683FF0">
              <w:t>designed</w:t>
            </w:r>
            <w:r w:rsidR="001E500D" w:rsidRPr="00683FF0">
              <w:t>,</w:t>
            </w:r>
            <w:r w:rsidR="5C69F0AA" w:rsidRPr="00683FF0">
              <w:t xml:space="preserve"> and complexities and impacts for businesses and building owners are considered and managed.</w:t>
            </w:r>
            <w:r w:rsidR="14AC4C6D" w:rsidRPr="00683FF0">
              <w:t xml:space="preserve"> </w:t>
            </w:r>
            <w:r w:rsidR="5C69F0AA" w:rsidRPr="00683FF0">
              <w:t>Energy performance measures are already in place for some public buildings through the Carbon Neutral Government Programme</w:t>
            </w:r>
            <w:r w:rsidR="14AC4C6D" w:rsidRPr="00683FF0">
              <w:t xml:space="preserve"> </w:t>
            </w:r>
            <w:r w:rsidR="5C69F0AA" w:rsidRPr="00683FF0">
              <w:t>(</w:t>
            </w:r>
            <w:r w:rsidR="00831565" w:rsidRPr="00683FF0">
              <w:t>c</w:t>
            </w:r>
            <w:r w:rsidR="5C69F0AA" w:rsidRPr="00683FF0">
              <w:t>hapter 12</w:t>
            </w:r>
            <w:r w:rsidR="00831565" w:rsidRPr="00683FF0">
              <w:t>:</w:t>
            </w:r>
            <w:r w:rsidR="5C69F0AA" w:rsidRPr="00683FF0">
              <w:t xml:space="preserve"> Building and </w:t>
            </w:r>
            <w:r w:rsidR="00831565" w:rsidRPr="00683FF0">
              <w:t>c</w:t>
            </w:r>
            <w:r w:rsidR="5C69F0AA" w:rsidRPr="00683FF0">
              <w:t>onstruction</w:t>
            </w:r>
            <w:r w:rsidR="00831565" w:rsidRPr="00683FF0">
              <w:t>,</w:t>
            </w:r>
            <w:r w:rsidR="5C69F0AA" w:rsidRPr="00683FF0">
              <w:t xml:space="preserve"> </w:t>
            </w:r>
            <w:r w:rsidR="00831565" w:rsidRPr="00683FF0">
              <w:t>a</w:t>
            </w:r>
            <w:r w:rsidR="5C69F0AA" w:rsidRPr="00683FF0">
              <w:t>ction</w:t>
            </w:r>
            <w:r w:rsidR="001E500D" w:rsidRPr="00683FF0">
              <w:t> </w:t>
            </w:r>
            <w:r w:rsidR="5C69F0AA" w:rsidRPr="00683FF0">
              <w:t>3.2).</w:t>
            </w:r>
          </w:p>
        </w:tc>
      </w:tr>
      <w:tr w:rsidR="00074667" w:rsidRPr="00683FF0" w14:paraId="29714C77" w14:textId="77777777" w:rsidTr="004412FC">
        <w:tc>
          <w:tcPr>
            <w:tcW w:w="4508" w:type="dxa"/>
          </w:tcPr>
          <w:p w14:paraId="4129246C" w14:textId="4171BE7C" w:rsidR="00074667" w:rsidRPr="00683FF0" w:rsidRDefault="00C273CD" w:rsidP="004412FC">
            <w:pPr>
              <w:pStyle w:val="TableText"/>
            </w:pPr>
            <w:r w:rsidRPr="00683FF0">
              <w:t>22.</w:t>
            </w:r>
            <w:r w:rsidR="0040095A" w:rsidRPr="00683FF0">
              <w:t xml:space="preserve">2. </w:t>
            </w:r>
            <w:r w:rsidR="0083411E" w:rsidRPr="00683FF0">
              <w:t>Government to have, by 30 June 2022, scaled up energy efficiency assistance to low-income households.</w:t>
            </w:r>
          </w:p>
        </w:tc>
        <w:tc>
          <w:tcPr>
            <w:tcW w:w="4508" w:type="dxa"/>
          </w:tcPr>
          <w:p w14:paraId="62672131" w14:textId="546C10B1" w:rsidR="0093229B" w:rsidRPr="00683FF0" w:rsidRDefault="00C273CD" w:rsidP="004412FC">
            <w:pPr>
              <w:pStyle w:val="TableText"/>
            </w:pPr>
            <w:r w:rsidRPr="00683FF0">
              <w:rPr>
                <w:b/>
                <w:bCs/>
              </w:rPr>
              <w:t xml:space="preserve">22.2. </w:t>
            </w:r>
            <w:r w:rsidR="0388228D" w:rsidRPr="00683FF0">
              <w:rPr>
                <w:b/>
                <w:bCs/>
              </w:rPr>
              <w:t>The Government agrees in principle with this provisional</w:t>
            </w:r>
            <w:r w:rsidRPr="00683FF0">
              <w:rPr>
                <w:b/>
                <w:bCs/>
              </w:rPr>
              <w:t xml:space="preserve"> progress</w:t>
            </w:r>
            <w:r w:rsidR="0388228D" w:rsidRPr="00683FF0">
              <w:rPr>
                <w:b/>
                <w:bCs/>
              </w:rPr>
              <w:t xml:space="preserve"> indicator.</w:t>
            </w:r>
            <w:r w:rsidR="5C69F0AA" w:rsidRPr="00683FF0">
              <w:t xml:space="preserve"> Further energy efficiency assistance for low-income households will</w:t>
            </w:r>
            <w:r w:rsidR="007C3531" w:rsidRPr="00683FF0">
              <w:t> </w:t>
            </w:r>
            <w:r w:rsidR="5C69F0AA" w:rsidRPr="00683FF0">
              <w:t>be explored and built upon throughout EB1, taking</w:t>
            </w:r>
            <w:r w:rsidR="007C3531" w:rsidRPr="00683FF0">
              <w:t> </w:t>
            </w:r>
            <w:r w:rsidR="5C69F0AA" w:rsidRPr="00683FF0">
              <w:t>into account distributional impacts, data from implementation and other pressures in the sector</w:t>
            </w:r>
            <w:r w:rsidR="14AC4C6D" w:rsidRPr="00683FF0">
              <w:t xml:space="preserve"> </w:t>
            </w:r>
            <w:r w:rsidR="5C69F0AA" w:rsidRPr="00683FF0">
              <w:t>(</w:t>
            </w:r>
            <w:r w:rsidR="00314147" w:rsidRPr="00683FF0">
              <w:t xml:space="preserve">chapter 11: Energy and industry, action </w:t>
            </w:r>
            <w:r w:rsidR="00B73B78" w:rsidRPr="00683FF0">
              <w:t>11.</w:t>
            </w:r>
            <w:r w:rsidR="00314147" w:rsidRPr="00683FF0">
              <w:t xml:space="preserve">1.1; </w:t>
            </w:r>
            <w:r w:rsidR="5C69F0AA" w:rsidRPr="00683FF0">
              <w:t>Chapter 12</w:t>
            </w:r>
            <w:r w:rsidR="00314147" w:rsidRPr="00683FF0">
              <w:t>:</w:t>
            </w:r>
            <w:r w:rsidR="5C69F0AA" w:rsidRPr="00683FF0">
              <w:t xml:space="preserve"> Building and </w:t>
            </w:r>
            <w:r w:rsidR="00314147" w:rsidRPr="00683FF0">
              <w:t>c</w:t>
            </w:r>
            <w:r w:rsidR="5C69F0AA" w:rsidRPr="00683FF0">
              <w:t>onstruction</w:t>
            </w:r>
            <w:r w:rsidR="00314147" w:rsidRPr="00683FF0">
              <w:t>,</w:t>
            </w:r>
            <w:r w:rsidR="5C69F0AA" w:rsidRPr="00683FF0">
              <w:t xml:space="preserve"> </w:t>
            </w:r>
            <w:r w:rsidR="00314147" w:rsidRPr="00683FF0">
              <w:t>a</w:t>
            </w:r>
            <w:r w:rsidR="5C69F0AA" w:rsidRPr="00683FF0">
              <w:t xml:space="preserve">ctions </w:t>
            </w:r>
            <w:r w:rsidR="00B73B78" w:rsidRPr="00683FF0">
              <w:t>12.</w:t>
            </w:r>
            <w:r w:rsidR="5C69F0AA" w:rsidRPr="00683FF0">
              <w:t>3.2</w:t>
            </w:r>
            <w:r w:rsidR="00314147" w:rsidRPr="00683FF0">
              <w:t>,</w:t>
            </w:r>
            <w:r w:rsidR="007C3531" w:rsidRPr="00683FF0">
              <w:t> </w:t>
            </w:r>
            <w:r w:rsidR="00B73B78" w:rsidRPr="00683FF0">
              <w:t>12.</w:t>
            </w:r>
            <w:r w:rsidR="5C69F0AA" w:rsidRPr="00683FF0">
              <w:t>4.1).</w:t>
            </w:r>
          </w:p>
        </w:tc>
      </w:tr>
      <w:tr w:rsidR="00074667" w:rsidRPr="00683FF0" w14:paraId="53A3F594" w14:textId="77777777" w:rsidTr="004412FC">
        <w:tc>
          <w:tcPr>
            <w:tcW w:w="4508" w:type="dxa"/>
          </w:tcPr>
          <w:p w14:paraId="7A8F27C6" w14:textId="1A1876D3" w:rsidR="00074667" w:rsidRPr="00683FF0" w:rsidRDefault="00C273CD" w:rsidP="004412FC">
            <w:pPr>
              <w:pStyle w:val="TableText"/>
            </w:pPr>
            <w:r w:rsidRPr="00683FF0">
              <w:t>22.</w:t>
            </w:r>
            <w:r w:rsidR="0040095A" w:rsidRPr="00683FF0">
              <w:t xml:space="preserve">3. </w:t>
            </w:r>
            <w:r w:rsidR="0083411E" w:rsidRPr="00683FF0">
              <w:t>Government to report annually, from 31 December 2022, on a suite of indicators, including residential and commercial energy intensity.</w:t>
            </w:r>
          </w:p>
        </w:tc>
        <w:tc>
          <w:tcPr>
            <w:tcW w:w="4508" w:type="dxa"/>
          </w:tcPr>
          <w:p w14:paraId="60F5E01F" w14:textId="345BFA7C" w:rsidR="0093229B" w:rsidRPr="00683FF0" w:rsidRDefault="00C273CD" w:rsidP="004412FC">
            <w:pPr>
              <w:pStyle w:val="TableText"/>
            </w:pPr>
            <w:r w:rsidRPr="00683FF0">
              <w:rPr>
                <w:b/>
                <w:bCs/>
              </w:rPr>
              <w:t xml:space="preserve">22.3. </w:t>
            </w:r>
            <w:r w:rsidR="0388228D" w:rsidRPr="00683FF0">
              <w:rPr>
                <w:b/>
                <w:bCs/>
              </w:rPr>
              <w:t>The Government agrees in principle with this provisional</w:t>
            </w:r>
            <w:r w:rsidRPr="00683FF0">
              <w:rPr>
                <w:b/>
                <w:bCs/>
              </w:rPr>
              <w:t xml:space="preserve"> progress</w:t>
            </w:r>
            <w:r w:rsidR="0388228D" w:rsidRPr="00683FF0">
              <w:rPr>
                <w:b/>
                <w:bCs/>
              </w:rPr>
              <w:t xml:space="preserve"> indicator.</w:t>
            </w:r>
            <w:r w:rsidR="14AC4C6D" w:rsidRPr="00683FF0">
              <w:rPr>
                <w:b/>
                <w:bCs/>
              </w:rPr>
              <w:t xml:space="preserve"> </w:t>
            </w:r>
            <w:r w:rsidR="00C85307" w:rsidRPr="00683FF0">
              <w:t xml:space="preserve">The </w:t>
            </w:r>
            <w:r w:rsidR="5C69F0AA" w:rsidRPr="00683FF0">
              <w:t xml:space="preserve">Government agrees </w:t>
            </w:r>
            <w:r w:rsidR="00C85307" w:rsidRPr="00683FF0">
              <w:t>that it is</w:t>
            </w:r>
            <w:r w:rsidR="5C69F0AA" w:rsidRPr="00683FF0">
              <w:t xml:space="preserve"> importan</w:t>
            </w:r>
            <w:r w:rsidR="00C85307" w:rsidRPr="00683FF0">
              <w:t>t to</w:t>
            </w:r>
            <w:r w:rsidR="5C69F0AA" w:rsidRPr="00683FF0">
              <w:t xml:space="preserve"> measur</w:t>
            </w:r>
            <w:r w:rsidR="00C85307" w:rsidRPr="00683FF0">
              <w:t>e</w:t>
            </w:r>
            <w:r w:rsidR="5C69F0AA" w:rsidRPr="00683FF0">
              <w:t xml:space="preserve"> and report on the transition to a lower-emissions building and construction sector. Data and evidence will be collected and reported to inform effective policy development, monitoring and decision making (</w:t>
            </w:r>
            <w:r w:rsidR="00C85307" w:rsidRPr="00683FF0">
              <w:t>c</w:t>
            </w:r>
            <w:r w:rsidR="5C69F0AA" w:rsidRPr="00683FF0">
              <w:t>hapter 12</w:t>
            </w:r>
            <w:r w:rsidR="00C85307" w:rsidRPr="00683FF0">
              <w:t>:</w:t>
            </w:r>
            <w:r w:rsidR="5C69F0AA" w:rsidRPr="00683FF0">
              <w:t xml:space="preserve"> Building and </w:t>
            </w:r>
            <w:r w:rsidR="00C85307" w:rsidRPr="00683FF0">
              <w:t>c</w:t>
            </w:r>
            <w:r w:rsidR="5C69F0AA" w:rsidRPr="00683FF0">
              <w:t>onstruction</w:t>
            </w:r>
            <w:r w:rsidR="00C85307" w:rsidRPr="00683FF0">
              <w:t>,</w:t>
            </w:r>
            <w:r w:rsidR="5C69F0AA" w:rsidRPr="00683FF0">
              <w:t xml:space="preserve"> </w:t>
            </w:r>
            <w:r w:rsidR="00C85307" w:rsidRPr="00683FF0">
              <w:t>a</w:t>
            </w:r>
            <w:r w:rsidR="5C69F0AA" w:rsidRPr="00683FF0">
              <w:t xml:space="preserve">ction </w:t>
            </w:r>
            <w:r w:rsidR="00133304" w:rsidRPr="00683FF0">
              <w:t>12.</w:t>
            </w:r>
            <w:r w:rsidR="5C69F0AA" w:rsidRPr="00683FF0">
              <w:t>5.2).</w:t>
            </w:r>
          </w:p>
        </w:tc>
      </w:tr>
      <w:tr w:rsidR="0040095A" w:rsidRPr="00683FF0" w14:paraId="11B4579B" w14:textId="77777777" w:rsidTr="004412FC">
        <w:tc>
          <w:tcPr>
            <w:tcW w:w="4508" w:type="dxa"/>
          </w:tcPr>
          <w:p w14:paraId="4FF15C32" w14:textId="77777777" w:rsidR="0040095A" w:rsidRPr="00683FF0" w:rsidRDefault="0040095A" w:rsidP="004412FC">
            <w:pPr>
              <w:pStyle w:val="TableText"/>
            </w:pPr>
          </w:p>
        </w:tc>
        <w:tc>
          <w:tcPr>
            <w:tcW w:w="4508" w:type="dxa"/>
          </w:tcPr>
          <w:p w14:paraId="5DD494BF" w14:textId="7114AB87" w:rsidR="0040095A" w:rsidRPr="00683FF0" w:rsidRDefault="0040095A" w:rsidP="004412FC">
            <w:pPr>
              <w:pStyle w:val="TableText"/>
            </w:pPr>
            <w:r w:rsidRPr="00683FF0">
              <w:rPr>
                <w:b/>
                <w:bCs/>
              </w:rPr>
              <w:t xml:space="preserve">Responsible agency: </w:t>
            </w:r>
            <w:r w:rsidRPr="00683FF0">
              <w:t>Ministry of Business, Innovation and Employment</w:t>
            </w:r>
          </w:p>
          <w:p w14:paraId="3F5B4A57" w14:textId="77777777" w:rsidR="0040095A" w:rsidRPr="00683FF0" w:rsidRDefault="0040095A" w:rsidP="007C3531">
            <w:pPr>
              <w:pStyle w:val="TableText"/>
              <w:spacing w:before="0"/>
            </w:pPr>
            <w:r w:rsidRPr="00683FF0">
              <w:rPr>
                <w:b/>
                <w:bCs/>
              </w:rPr>
              <w:t xml:space="preserve">Responsible Minister: </w:t>
            </w:r>
            <w:r w:rsidRPr="00683FF0">
              <w:t>Minister of Building and Construction</w:t>
            </w:r>
          </w:p>
          <w:p w14:paraId="796ACFD7" w14:textId="47A5277C" w:rsidR="0040095A" w:rsidRPr="00683FF0" w:rsidRDefault="0040095A" w:rsidP="007C3531">
            <w:pPr>
              <w:pStyle w:val="TableText"/>
              <w:spacing w:before="0"/>
              <w:rPr>
                <w:rFonts w:cstheme="minorHAnsi"/>
              </w:rPr>
            </w:pPr>
            <w:r w:rsidRPr="00683FF0">
              <w:rPr>
                <w:b/>
                <w:bCs/>
              </w:rPr>
              <w:t xml:space="preserve">Timeline: </w:t>
            </w:r>
            <w:r w:rsidRPr="00683FF0">
              <w:rPr>
                <w:rFonts w:cstheme="minorHAnsi"/>
              </w:rPr>
              <w:t>2022</w:t>
            </w:r>
            <w:r w:rsidR="005C74E6" w:rsidRPr="00683FF0">
              <w:rPr>
                <w:rFonts w:cstheme="minorHAnsi"/>
              </w:rPr>
              <w:t>–</w:t>
            </w:r>
            <w:r w:rsidRPr="00683FF0">
              <w:rPr>
                <w:rFonts w:cstheme="minorHAnsi"/>
              </w:rPr>
              <w:t>25 (EB1) and ongoing</w:t>
            </w:r>
          </w:p>
        </w:tc>
      </w:tr>
    </w:tbl>
    <w:p w14:paraId="4226E210" w14:textId="52FDACBC" w:rsidR="50E302AE" w:rsidRPr="00683FF0" w:rsidRDefault="50E302AE" w:rsidP="004412FC">
      <w:pPr>
        <w:pStyle w:val="BodyText"/>
      </w:pPr>
    </w:p>
    <w:p w14:paraId="0A652218" w14:textId="77777777" w:rsidR="0040095A" w:rsidRPr="00683FF0" w:rsidRDefault="0040095A" w:rsidP="004412FC">
      <w:pPr>
        <w:pStyle w:val="BodyText"/>
      </w:pPr>
      <w:r w:rsidRPr="00683FF0">
        <w:br w:type="page"/>
      </w:r>
    </w:p>
    <w:p w14:paraId="56498A4B" w14:textId="116A232F" w:rsidR="004C02DA" w:rsidRPr="00683FF0" w:rsidRDefault="00B64191" w:rsidP="004C02DA">
      <w:pPr>
        <w:pStyle w:val="Heading1"/>
      </w:pPr>
      <w:bookmarkStart w:id="48" w:name="_Toc103175838"/>
      <w:bookmarkStart w:id="49" w:name="_Toc103778801"/>
      <w:r w:rsidRPr="00683FF0">
        <w:lastRenderedPageBreak/>
        <w:t xml:space="preserve">Recommendation 23: </w:t>
      </w:r>
      <w:r w:rsidR="004412FC" w:rsidRPr="00683FF0">
        <w:br/>
      </w:r>
      <w:r w:rsidR="00AB6168" w:rsidRPr="00683FF0">
        <w:t>Policy direction for w</w:t>
      </w:r>
      <w:r w:rsidR="004C02DA" w:rsidRPr="00683FF0">
        <w:t>aste</w:t>
      </w:r>
      <w:r w:rsidR="00AB6168" w:rsidRPr="00683FF0">
        <w:t xml:space="preserve"> and fluorinated gases</w:t>
      </w:r>
      <w:bookmarkEnd w:id="48"/>
      <w:bookmarkEnd w:id="49"/>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4412FC" w:rsidRPr="00683FF0" w14:paraId="26C75B47" w14:textId="77777777" w:rsidTr="003A6358">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509D32CF" w14:textId="76D16520" w:rsidR="00074667" w:rsidRPr="00683FF0" w:rsidRDefault="00074667" w:rsidP="004412FC">
            <w:pPr>
              <w:pStyle w:val="TableTextbold"/>
              <w:rPr>
                <w:color w:val="FFFFFF" w:themeColor="background1"/>
              </w:rPr>
            </w:pPr>
            <w:r w:rsidRPr="00683FF0">
              <w:rPr>
                <w:color w:val="FFFFFF" w:themeColor="background1"/>
              </w:rPr>
              <w:t xml:space="preserve">Report </w:t>
            </w:r>
            <w:r w:rsidR="005C74E6"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39B318B3" w14:textId="28107BA8" w:rsidR="00074667" w:rsidRPr="00683FF0" w:rsidRDefault="00074667" w:rsidP="004412FC">
            <w:pPr>
              <w:pStyle w:val="TableTextbold"/>
              <w:rPr>
                <w:color w:val="FFFFFF" w:themeColor="background1"/>
              </w:rPr>
            </w:pPr>
            <w:r w:rsidRPr="00683FF0">
              <w:rPr>
                <w:color w:val="FFFFFF" w:themeColor="background1"/>
              </w:rPr>
              <w:t xml:space="preserve">Government </w:t>
            </w:r>
            <w:r w:rsidR="005C74E6" w:rsidRPr="00683FF0">
              <w:rPr>
                <w:color w:val="FFFFFF" w:themeColor="background1"/>
              </w:rPr>
              <w:t>r</w:t>
            </w:r>
            <w:r w:rsidRPr="00683FF0">
              <w:rPr>
                <w:color w:val="FFFFFF" w:themeColor="background1"/>
              </w:rPr>
              <w:t>esponse</w:t>
            </w:r>
          </w:p>
        </w:tc>
      </w:tr>
      <w:tr w:rsidR="00074667" w:rsidRPr="00683FF0" w14:paraId="52B83B32" w14:textId="77777777" w:rsidTr="004412FC">
        <w:tc>
          <w:tcPr>
            <w:tcW w:w="4508" w:type="dxa"/>
            <w:tcBorders>
              <w:top w:val="single" w:sz="4" w:space="0" w:color="1B556B" w:themeColor="text2"/>
            </w:tcBorders>
          </w:tcPr>
          <w:p w14:paraId="49AAE871" w14:textId="77777777" w:rsidR="00074667" w:rsidRPr="00683FF0" w:rsidRDefault="00074667" w:rsidP="004412FC">
            <w:pPr>
              <w:pStyle w:val="TableTextbold"/>
            </w:pPr>
            <w:r w:rsidRPr="00683FF0">
              <w:t xml:space="preserve">Recommendation 23 – Revise the waste strategy so it will deliver emissions reductions in the waste sector </w:t>
            </w:r>
          </w:p>
          <w:p w14:paraId="3CA40666" w14:textId="79185A57" w:rsidR="00074667" w:rsidRPr="00683FF0" w:rsidRDefault="00074667" w:rsidP="004412FC">
            <w:pPr>
              <w:pStyle w:val="TableText"/>
              <w:spacing w:before="0"/>
            </w:pPr>
            <w:r w:rsidRPr="00683FF0">
              <w:t>We recommend that, in the first emissions reduction plan, the Government commits to: Revising the New Zealand Waste Strategy so that it will deliver emissions reductions, and implement measures to reduce HFC emissions.</w:t>
            </w:r>
          </w:p>
        </w:tc>
        <w:tc>
          <w:tcPr>
            <w:tcW w:w="4508" w:type="dxa"/>
            <w:tcBorders>
              <w:top w:val="single" w:sz="4" w:space="0" w:color="1B556B" w:themeColor="text2"/>
            </w:tcBorders>
          </w:tcPr>
          <w:p w14:paraId="7B965E9A" w14:textId="25E8A1FB" w:rsidR="00952DFB" w:rsidRPr="00683FF0" w:rsidRDefault="009A37B2" w:rsidP="004412FC">
            <w:pPr>
              <w:pStyle w:val="TableText"/>
            </w:pPr>
            <w:r w:rsidRPr="00683FF0">
              <w:rPr>
                <w:b/>
                <w:bCs/>
              </w:rPr>
              <w:t xml:space="preserve">The Government agrees with this recommendation. </w:t>
            </w:r>
            <w:r w:rsidRPr="00683FF0">
              <w:t xml:space="preserve">The </w:t>
            </w:r>
            <w:r w:rsidR="00EB3BB8" w:rsidRPr="00683FF0">
              <w:t xml:space="preserve">Government </w:t>
            </w:r>
            <w:r w:rsidR="008F1648" w:rsidRPr="00683FF0">
              <w:t>is already</w:t>
            </w:r>
            <w:r w:rsidR="00EB3BB8" w:rsidRPr="00683FF0">
              <w:t xml:space="preserve"> </w:t>
            </w:r>
            <w:r w:rsidRPr="00683FF0">
              <w:t>commit</w:t>
            </w:r>
            <w:r w:rsidR="008F1648" w:rsidRPr="00683FF0">
              <w:t>ted</w:t>
            </w:r>
            <w:r w:rsidRPr="00683FF0">
              <w:t xml:space="preserve"> to </w:t>
            </w:r>
            <w:r w:rsidR="00EE39B0" w:rsidRPr="00683FF0">
              <w:t xml:space="preserve">revising the </w:t>
            </w:r>
            <w:r w:rsidR="00CF1F8D" w:rsidRPr="00683FF0">
              <w:t>New Zealand</w:t>
            </w:r>
            <w:r w:rsidRPr="00683FF0">
              <w:t xml:space="preserve"> </w:t>
            </w:r>
            <w:r w:rsidR="00CF1F8D" w:rsidRPr="00683FF0">
              <w:t>w</w:t>
            </w:r>
            <w:r w:rsidRPr="00683FF0">
              <w:t xml:space="preserve">aste </w:t>
            </w:r>
            <w:r w:rsidR="00521665" w:rsidRPr="00683FF0" w:rsidDel="00594E48">
              <w:t>s</w:t>
            </w:r>
            <w:r w:rsidRPr="00683FF0">
              <w:t>trategy</w:t>
            </w:r>
            <w:r w:rsidR="00062E03" w:rsidRPr="00683FF0">
              <w:t xml:space="preserve"> </w:t>
            </w:r>
            <w:r w:rsidR="00513481" w:rsidRPr="00683FF0">
              <w:t xml:space="preserve">to </w:t>
            </w:r>
            <w:r w:rsidR="00017DDD" w:rsidRPr="00683FF0">
              <w:t>reduce waste and associated</w:t>
            </w:r>
            <w:r w:rsidR="00513481" w:rsidRPr="00683FF0">
              <w:t xml:space="preserve"> emission</w:t>
            </w:r>
            <w:r w:rsidR="007E7822" w:rsidRPr="00683FF0">
              <w:t>s</w:t>
            </w:r>
            <w:r w:rsidR="00A357AC" w:rsidRPr="00683FF0">
              <w:t>.</w:t>
            </w:r>
            <w:r w:rsidR="00513481" w:rsidRPr="00683FF0">
              <w:t xml:space="preserve"> </w:t>
            </w:r>
            <w:r w:rsidR="00E07A0E" w:rsidRPr="00683FF0">
              <w:t>The</w:t>
            </w:r>
            <w:r w:rsidR="002E1CD0" w:rsidRPr="00683FF0">
              <w:t xml:space="preserve"> </w:t>
            </w:r>
            <w:r w:rsidR="00AE7CD9" w:rsidRPr="00683FF0">
              <w:t>e</w:t>
            </w:r>
            <w:r w:rsidR="00646E30" w:rsidRPr="00683FF0">
              <w:t xml:space="preserve">missions </w:t>
            </w:r>
            <w:r w:rsidR="00AE7CD9" w:rsidRPr="00683FF0">
              <w:t>r</w:t>
            </w:r>
            <w:r w:rsidR="00646E30" w:rsidRPr="00683FF0">
              <w:t xml:space="preserve">eduction </w:t>
            </w:r>
            <w:r w:rsidR="00AE7CD9" w:rsidRPr="00683FF0">
              <w:t>p</w:t>
            </w:r>
            <w:r w:rsidR="00646E30" w:rsidRPr="00683FF0">
              <w:t xml:space="preserve">lan </w:t>
            </w:r>
            <w:r w:rsidR="002E1CD0" w:rsidRPr="00683FF0">
              <w:t xml:space="preserve">commits to </w:t>
            </w:r>
            <w:r w:rsidR="00677168" w:rsidRPr="00683FF0">
              <w:t xml:space="preserve">implementing measures to reduce </w:t>
            </w:r>
            <w:r w:rsidR="00AC7520" w:rsidRPr="00683FF0">
              <w:t>hydrofluorocarbon (</w:t>
            </w:r>
            <w:r w:rsidR="00677168" w:rsidRPr="00683FF0">
              <w:t>HFC</w:t>
            </w:r>
            <w:r w:rsidR="00AC7520" w:rsidRPr="00683FF0">
              <w:t>)</w:t>
            </w:r>
            <w:r w:rsidR="00677168" w:rsidRPr="00683FF0">
              <w:t xml:space="preserve"> emissions and </w:t>
            </w:r>
            <w:r w:rsidR="002E1CD0" w:rsidRPr="00683FF0">
              <w:t xml:space="preserve">a suite </w:t>
            </w:r>
            <w:r w:rsidR="00952DFB" w:rsidRPr="00683FF0">
              <w:t xml:space="preserve">of actions </w:t>
            </w:r>
            <w:r w:rsidR="000D5259" w:rsidRPr="00683FF0">
              <w:t xml:space="preserve">to </w:t>
            </w:r>
            <w:r w:rsidR="00952DFB" w:rsidRPr="00683FF0">
              <w:t xml:space="preserve">support emissions </w:t>
            </w:r>
            <w:r w:rsidR="0053275E" w:rsidRPr="00683FF0">
              <w:t xml:space="preserve">reductions </w:t>
            </w:r>
            <w:r w:rsidR="00952DFB" w:rsidRPr="00683FF0">
              <w:t xml:space="preserve">across the </w:t>
            </w:r>
            <w:r w:rsidR="0053275E" w:rsidRPr="00683FF0">
              <w:t xml:space="preserve">waste </w:t>
            </w:r>
            <w:r w:rsidR="00952DFB" w:rsidRPr="00683FF0">
              <w:t>sector</w:t>
            </w:r>
            <w:r w:rsidR="000D5259" w:rsidRPr="00683FF0">
              <w:t>.</w:t>
            </w:r>
          </w:p>
        </w:tc>
      </w:tr>
      <w:tr w:rsidR="00074667" w:rsidRPr="00683FF0" w14:paraId="32F8DB13" w14:textId="77777777" w:rsidTr="004412FC">
        <w:tc>
          <w:tcPr>
            <w:tcW w:w="4508" w:type="dxa"/>
          </w:tcPr>
          <w:p w14:paraId="01DE3AB9" w14:textId="49C630D9" w:rsidR="00074667" w:rsidRPr="00683FF0" w:rsidRDefault="00074667" w:rsidP="004412FC">
            <w:pPr>
              <w:pStyle w:val="TableText"/>
            </w:pPr>
            <w:r w:rsidRPr="00683FF0">
              <w:t>23.1</w:t>
            </w:r>
            <w:r w:rsidR="00A96880" w:rsidRPr="00683FF0">
              <w:t>.</w:t>
            </w:r>
            <w:r w:rsidRPr="00683FF0">
              <w:t xml:space="preserve"> The revised New Zealand Waste Strategy should include: </w:t>
            </w:r>
          </w:p>
          <w:p w14:paraId="6C1F40AB" w14:textId="689ADD2B" w:rsidR="00074667" w:rsidRPr="00683FF0" w:rsidRDefault="00074667" w:rsidP="00D21268">
            <w:pPr>
              <w:pStyle w:val="TableText"/>
              <w:numPr>
                <w:ilvl w:val="0"/>
                <w:numId w:val="33"/>
              </w:numPr>
              <w:spacing w:before="0"/>
              <w:ind w:left="284" w:hanging="284"/>
            </w:pPr>
            <w:r w:rsidRPr="00683FF0">
              <w:t xml:space="preserve">Acting in partnership with Iwi/Māori, giving effect to the principles of Te Tiriti o Waitangi/The Treaty of Waitangi, and aligning with He Ara Waiora framework. </w:t>
            </w:r>
          </w:p>
          <w:p w14:paraId="65947C8F" w14:textId="33D05A83" w:rsidR="00074667" w:rsidRPr="00683FF0" w:rsidRDefault="00074667" w:rsidP="00D21268">
            <w:pPr>
              <w:pStyle w:val="TableText"/>
              <w:numPr>
                <w:ilvl w:val="0"/>
                <w:numId w:val="33"/>
              </w:numPr>
              <w:spacing w:before="0"/>
              <w:ind w:left="284" w:hanging="284"/>
            </w:pPr>
            <w:r w:rsidRPr="00683FF0">
              <w:t xml:space="preserve">Acting in collaboration with local government, community groups and industry to leverage cross-sector action and finance. </w:t>
            </w:r>
          </w:p>
          <w:p w14:paraId="2F04A6CC" w14:textId="7F83C817" w:rsidR="0083411E" w:rsidRPr="00683FF0" w:rsidRDefault="00074667" w:rsidP="00D21268">
            <w:pPr>
              <w:pStyle w:val="TableText"/>
              <w:numPr>
                <w:ilvl w:val="0"/>
                <w:numId w:val="33"/>
              </w:numPr>
              <w:spacing w:before="0"/>
              <w:ind w:left="284" w:hanging="284"/>
            </w:pPr>
            <w:r w:rsidRPr="00683FF0">
              <w:t xml:space="preserve">Shaping plans in line with the ‘waste hierarchy’ to: </w:t>
            </w:r>
          </w:p>
          <w:p w14:paraId="1C221294" w14:textId="66B06052" w:rsidR="0083411E" w:rsidRPr="00683FF0" w:rsidRDefault="00074667" w:rsidP="00D21268">
            <w:pPr>
              <w:pStyle w:val="TableText"/>
              <w:numPr>
                <w:ilvl w:val="0"/>
                <w:numId w:val="34"/>
              </w:numPr>
              <w:spacing w:before="0"/>
              <w:ind w:left="568" w:hanging="284"/>
            </w:pPr>
            <w:r w:rsidRPr="00683FF0">
              <w:t xml:space="preserve">Significantly decrease waste generation and increase resource recovery across waste streams. </w:t>
            </w:r>
          </w:p>
          <w:p w14:paraId="4FB940A0" w14:textId="6F17F89E" w:rsidR="0083411E" w:rsidRPr="00683FF0" w:rsidRDefault="00074667" w:rsidP="00D21268">
            <w:pPr>
              <w:pStyle w:val="TableText"/>
              <w:numPr>
                <w:ilvl w:val="0"/>
                <w:numId w:val="34"/>
              </w:numPr>
              <w:spacing w:before="0"/>
              <w:ind w:left="568" w:hanging="284"/>
            </w:pPr>
            <w:r w:rsidRPr="00683FF0">
              <w:t xml:space="preserve">Reduce emissions via specific, time-bound goals. </w:t>
            </w:r>
          </w:p>
          <w:p w14:paraId="6C5FE031" w14:textId="6FB89A1B" w:rsidR="00074667" w:rsidRPr="00683FF0" w:rsidRDefault="00074667" w:rsidP="00D21268">
            <w:pPr>
              <w:pStyle w:val="TableText"/>
              <w:numPr>
                <w:ilvl w:val="0"/>
                <w:numId w:val="34"/>
              </w:numPr>
              <w:spacing w:before="0"/>
              <w:ind w:left="568" w:hanging="284"/>
            </w:pPr>
            <w:r w:rsidRPr="00683FF0">
              <w:t xml:space="preserve">Identify and implement regulatory changes to assist people to take actions to reduce waste emissions. </w:t>
            </w:r>
          </w:p>
          <w:p w14:paraId="4F67293A" w14:textId="77777777" w:rsidR="00074667" w:rsidRPr="00683FF0" w:rsidRDefault="00074667" w:rsidP="00D21268">
            <w:pPr>
              <w:pStyle w:val="TableText"/>
              <w:numPr>
                <w:ilvl w:val="0"/>
                <w:numId w:val="33"/>
              </w:numPr>
              <w:spacing w:before="0"/>
              <w:ind w:left="284" w:hanging="284"/>
            </w:pPr>
            <w:r w:rsidRPr="00683FF0">
              <w:t xml:space="preserve">Accelerating investment in: </w:t>
            </w:r>
          </w:p>
          <w:p w14:paraId="5CE0AAE8" w14:textId="050B3F67" w:rsidR="0083411E" w:rsidRPr="00683FF0" w:rsidRDefault="00074667" w:rsidP="00D21268">
            <w:pPr>
              <w:pStyle w:val="TableText"/>
              <w:numPr>
                <w:ilvl w:val="0"/>
                <w:numId w:val="35"/>
              </w:numPr>
              <w:spacing w:before="0"/>
              <w:ind w:left="568" w:hanging="284"/>
            </w:pPr>
            <w:r w:rsidRPr="00683FF0">
              <w:t>Research, development, and demonstration to reduce waste through more efficient processes.</w:t>
            </w:r>
          </w:p>
          <w:p w14:paraId="216E90D7" w14:textId="2A558ECA" w:rsidR="0083411E" w:rsidRPr="00683FF0" w:rsidRDefault="00074667" w:rsidP="00D21268">
            <w:pPr>
              <w:pStyle w:val="TableText"/>
              <w:numPr>
                <w:ilvl w:val="0"/>
                <w:numId w:val="35"/>
              </w:numPr>
              <w:spacing w:before="0"/>
              <w:ind w:left="568" w:hanging="284"/>
            </w:pPr>
            <w:r w:rsidRPr="00683FF0">
              <w:t xml:space="preserve">Infrastructure for waste collection, processing, and resource recovery. </w:t>
            </w:r>
          </w:p>
          <w:p w14:paraId="79C56323" w14:textId="07BFFC87" w:rsidR="0083411E" w:rsidRPr="00683FF0" w:rsidRDefault="00074667" w:rsidP="00D21268">
            <w:pPr>
              <w:pStyle w:val="TableText"/>
              <w:numPr>
                <w:ilvl w:val="0"/>
                <w:numId w:val="35"/>
              </w:numPr>
              <w:spacing w:before="0"/>
              <w:ind w:left="568" w:hanging="284"/>
            </w:pPr>
            <w:r w:rsidRPr="00683FF0">
              <w:t>Support for consumers to reduce waste emissions through switching to low-waste or low</w:t>
            </w:r>
            <w:r w:rsidR="00E54E7E" w:rsidRPr="00683FF0">
              <w:t xml:space="preserve"> </w:t>
            </w:r>
            <w:r w:rsidRPr="00683FF0">
              <w:t xml:space="preserve">emissions alternatives. </w:t>
            </w:r>
          </w:p>
          <w:p w14:paraId="75759820" w14:textId="6A118431" w:rsidR="00074667" w:rsidRPr="00683FF0" w:rsidRDefault="0083411E" w:rsidP="00D21268">
            <w:pPr>
              <w:pStyle w:val="TableText"/>
              <w:numPr>
                <w:ilvl w:val="0"/>
                <w:numId w:val="35"/>
              </w:numPr>
              <w:spacing w:before="0"/>
              <w:ind w:left="568" w:hanging="284"/>
            </w:pPr>
            <w:r w:rsidRPr="00683FF0">
              <w:t>I</w:t>
            </w:r>
            <w:r w:rsidR="00074667" w:rsidRPr="00683FF0">
              <w:t xml:space="preserve">mproved data collection across the waste sector, including farm dumps, non-municipal fills and wastewater treatment plants. </w:t>
            </w:r>
          </w:p>
          <w:p w14:paraId="00C3D3BF" w14:textId="32F642F1" w:rsidR="00074667" w:rsidRPr="00683FF0" w:rsidRDefault="00074667" w:rsidP="00D21268">
            <w:pPr>
              <w:pStyle w:val="TableText"/>
              <w:numPr>
                <w:ilvl w:val="0"/>
                <w:numId w:val="33"/>
              </w:numPr>
              <w:spacing w:before="0"/>
              <w:ind w:left="284" w:hanging="284"/>
              <w:rPr>
                <w:szCs w:val="18"/>
              </w:rPr>
            </w:pPr>
            <w:r w:rsidRPr="00683FF0">
              <w:t>Setting a date by which high performance gas capture systems are mandated for all landfills that accept organic waste.</w:t>
            </w:r>
          </w:p>
        </w:tc>
        <w:tc>
          <w:tcPr>
            <w:tcW w:w="4508" w:type="dxa"/>
          </w:tcPr>
          <w:p w14:paraId="09458D33" w14:textId="210167A8" w:rsidR="009121D5" w:rsidRPr="00683FF0" w:rsidRDefault="009A37B2" w:rsidP="004C6702">
            <w:pPr>
              <w:pStyle w:val="TableText"/>
            </w:pPr>
            <w:r w:rsidRPr="00683FF0">
              <w:rPr>
                <w:b/>
                <w:bCs/>
              </w:rPr>
              <w:t xml:space="preserve">23.1a and b. </w:t>
            </w:r>
            <w:r w:rsidR="009121D5" w:rsidRPr="00683FF0">
              <w:rPr>
                <w:b/>
                <w:bCs/>
              </w:rPr>
              <w:t>The Government agrees with this recommendation</w:t>
            </w:r>
            <w:r w:rsidR="009121D5" w:rsidRPr="00683FF0">
              <w:t>.</w:t>
            </w:r>
            <w:r w:rsidRPr="00683FF0">
              <w:t xml:space="preserve"> </w:t>
            </w:r>
            <w:r w:rsidR="00A20F46" w:rsidRPr="00683FF0">
              <w:t>The</w:t>
            </w:r>
            <w:r w:rsidR="0093229B" w:rsidRPr="00683FF0">
              <w:t xml:space="preserve"> work to develop </w:t>
            </w:r>
            <w:r w:rsidR="00A20F46" w:rsidRPr="00683FF0">
              <w:t xml:space="preserve">and implement </w:t>
            </w:r>
            <w:r w:rsidR="0093229B" w:rsidRPr="00683FF0">
              <w:t>a new waste strategy, new legislation and new administrative processes</w:t>
            </w:r>
            <w:r w:rsidR="0049620D" w:rsidRPr="00683FF0">
              <w:t xml:space="preserve"> i</w:t>
            </w:r>
            <w:r w:rsidR="00031854" w:rsidRPr="00683FF0">
              <w:t xml:space="preserve">ncludes </w:t>
            </w:r>
            <w:r w:rsidR="00B01033" w:rsidRPr="00683FF0">
              <w:t xml:space="preserve">developing strong collaborative relationships and partnerships </w:t>
            </w:r>
            <w:r w:rsidR="002B0E35" w:rsidRPr="00683FF0">
              <w:t>with iwi/Māori, local government</w:t>
            </w:r>
            <w:r w:rsidR="007F3FD2" w:rsidRPr="00683FF0">
              <w:t xml:space="preserve">, </w:t>
            </w:r>
            <w:r w:rsidR="00351618" w:rsidRPr="00683FF0">
              <w:t>non-governmental organisations</w:t>
            </w:r>
            <w:r w:rsidR="008F7A65" w:rsidRPr="00683FF0">
              <w:t xml:space="preserve">, </w:t>
            </w:r>
            <w:r w:rsidR="00142F22" w:rsidRPr="00683FF0">
              <w:t xml:space="preserve">industry </w:t>
            </w:r>
            <w:r w:rsidR="006674B2" w:rsidRPr="00683FF0">
              <w:t>and others</w:t>
            </w:r>
            <w:r w:rsidR="0093229B" w:rsidRPr="00683FF0">
              <w:t xml:space="preserve"> (</w:t>
            </w:r>
            <w:r w:rsidR="00351618" w:rsidRPr="00683FF0">
              <w:t>c</w:t>
            </w:r>
            <w:r w:rsidR="0093229B" w:rsidRPr="00683FF0">
              <w:t>hapter 1</w:t>
            </w:r>
            <w:r w:rsidR="0088222E" w:rsidRPr="00683FF0">
              <w:t>5</w:t>
            </w:r>
            <w:r w:rsidR="00351618" w:rsidRPr="00683FF0">
              <w:t>:</w:t>
            </w:r>
            <w:r w:rsidR="0093229B" w:rsidRPr="00683FF0">
              <w:t xml:space="preserve"> Waste – links to wider waste reduction work programme and revised Waste Strategy).</w:t>
            </w:r>
          </w:p>
          <w:p w14:paraId="129A9DC8" w14:textId="2B5DE508" w:rsidR="0086569C" w:rsidRPr="00683FF0" w:rsidRDefault="009A37B2" w:rsidP="004C6702">
            <w:pPr>
              <w:pStyle w:val="TableText"/>
            </w:pPr>
            <w:r w:rsidRPr="00683FF0">
              <w:rPr>
                <w:b/>
                <w:bCs/>
              </w:rPr>
              <w:t>23.1c.</w:t>
            </w:r>
            <w:r w:rsidR="004C6D7A" w:rsidRPr="00683FF0">
              <w:rPr>
                <w:b/>
                <w:bCs/>
              </w:rPr>
              <w:t>I</w:t>
            </w:r>
            <w:r w:rsidRPr="00683FF0">
              <w:rPr>
                <w:b/>
                <w:bCs/>
              </w:rPr>
              <w:t xml:space="preserve">. </w:t>
            </w:r>
            <w:r w:rsidR="009121D5" w:rsidRPr="00683FF0">
              <w:rPr>
                <w:b/>
                <w:bCs/>
              </w:rPr>
              <w:t>The Government agrees with this recommendation.</w:t>
            </w:r>
            <w:r w:rsidRPr="00683FF0">
              <w:rPr>
                <w:b/>
                <w:bCs/>
              </w:rPr>
              <w:t xml:space="preserve"> </w:t>
            </w:r>
            <w:r w:rsidR="674A2275" w:rsidRPr="00683FF0">
              <w:t>The Ministry for the Environment’s</w:t>
            </w:r>
            <w:r w:rsidR="0086569C" w:rsidRPr="00683FF0">
              <w:t xml:space="preserve"> waste </w:t>
            </w:r>
            <w:r w:rsidR="674A2275" w:rsidRPr="00683FF0">
              <w:t>reduction</w:t>
            </w:r>
            <w:r w:rsidR="0086569C" w:rsidRPr="00683FF0">
              <w:t xml:space="preserve"> work programme, including the </w:t>
            </w:r>
            <w:r w:rsidR="00AE7CD9" w:rsidRPr="00683FF0">
              <w:t>emissions reduction plan</w:t>
            </w:r>
            <w:r w:rsidR="0086569C" w:rsidRPr="00683FF0">
              <w:t xml:space="preserve"> initiatives to reduce emissions from waste</w:t>
            </w:r>
            <w:r w:rsidR="00A611A4" w:rsidRPr="00683FF0">
              <w:t>,</w:t>
            </w:r>
            <w:r w:rsidR="0086569C" w:rsidRPr="00683FF0">
              <w:t xml:space="preserve"> is directed towards these goals</w:t>
            </w:r>
            <w:r w:rsidR="00A611A4" w:rsidRPr="00683FF0">
              <w:t>. Part of this programme is</w:t>
            </w:r>
            <w:r w:rsidR="0086569C" w:rsidRPr="00683FF0">
              <w:t xml:space="preserve"> the work on a new waste </w:t>
            </w:r>
            <w:r w:rsidR="0086569C" w:rsidRPr="00683FF0" w:rsidDel="00A611A4">
              <w:t>s</w:t>
            </w:r>
            <w:r w:rsidR="0086569C" w:rsidRPr="00683FF0">
              <w:t>trategy to drive long-term coordinated change (</w:t>
            </w:r>
            <w:r w:rsidR="00A611A4" w:rsidRPr="00683FF0">
              <w:t>c</w:t>
            </w:r>
            <w:r w:rsidR="0086569C" w:rsidRPr="00683FF0">
              <w:t xml:space="preserve">hapter </w:t>
            </w:r>
            <w:r w:rsidR="00736DE5" w:rsidRPr="00683FF0">
              <w:t>15</w:t>
            </w:r>
            <w:r w:rsidR="00A611A4" w:rsidRPr="00683FF0">
              <w:t>:</w:t>
            </w:r>
            <w:r w:rsidR="0086569C" w:rsidRPr="00683FF0">
              <w:t xml:space="preserve"> Waste – links to </w:t>
            </w:r>
            <w:r w:rsidR="00736DE5" w:rsidRPr="00683FF0">
              <w:t xml:space="preserve">a </w:t>
            </w:r>
            <w:r w:rsidR="0086569C" w:rsidRPr="00683FF0">
              <w:t>wider waste reduction work programme and revised Waste Strategy).</w:t>
            </w:r>
          </w:p>
          <w:p w14:paraId="0B52923D" w14:textId="21BC43E2" w:rsidR="0086569C" w:rsidRPr="00683FF0" w:rsidRDefault="009A37B2" w:rsidP="004C6702">
            <w:pPr>
              <w:pStyle w:val="TableText"/>
            </w:pPr>
            <w:r w:rsidRPr="00683FF0">
              <w:rPr>
                <w:b/>
                <w:bCs/>
              </w:rPr>
              <w:t>23.1c.</w:t>
            </w:r>
            <w:r w:rsidR="004C6D7A" w:rsidRPr="00683FF0">
              <w:rPr>
                <w:b/>
                <w:bCs/>
              </w:rPr>
              <w:t>II</w:t>
            </w:r>
            <w:r w:rsidRPr="00683FF0">
              <w:rPr>
                <w:b/>
                <w:bCs/>
              </w:rPr>
              <w:t xml:space="preserve">. </w:t>
            </w:r>
            <w:r w:rsidR="009121D5" w:rsidRPr="00683FF0">
              <w:rPr>
                <w:b/>
                <w:bCs/>
              </w:rPr>
              <w:t>The Government agrees with this recommendation.</w:t>
            </w:r>
            <w:r w:rsidRPr="00683FF0">
              <w:rPr>
                <w:b/>
                <w:bCs/>
              </w:rPr>
              <w:t xml:space="preserve"> </w:t>
            </w:r>
            <w:r w:rsidR="00900609" w:rsidRPr="00683FF0">
              <w:t xml:space="preserve">This will be addressed </w:t>
            </w:r>
            <w:r w:rsidR="0086569C" w:rsidRPr="00683FF0">
              <w:t xml:space="preserve">through the suite of proposals </w:t>
            </w:r>
            <w:r w:rsidR="001961D7" w:rsidRPr="00683FF0">
              <w:t xml:space="preserve">in the emissions reduction plan </w:t>
            </w:r>
            <w:r w:rsidR="0086569C" w:rsidRPr="00683FF0">
              <w:t xml:space="preserve">and the revised waste </w:t>
            </w:r>
            <w:r w:rsidR="0086569C" w:rsidRPr="00683FF0" w:rsidDel="00A611A4">
              <w:t>s</w:t>
            </w:r>
            <w:r w:rsidR="0086569C" w:rsidRPr="00683FF0">
              <w:t>trategy, subject to funding, noting data limitations. A</w:t>
            </w:r>
            <w:r w:rsidR="00953238" w:rsidRPr="00683FF0">
              <w:t xml:space="preserve"> time-bound</w:t>
            </w:r>
            <w:r w:rsidR="0086569C" w:rsidRPr="00683FF0">
              <w:t xml:space="preserve"> emissions reduction target for waste was included in the consultation proposals for the revised waste strategy (</w:t>
            </w:r>
            <w:r w:rsidR="00A611A4" w:rsidRPr="00683FF0">
              <w:t>c</w:t>
            </w:r>
            <w:r w:rsidR="0086569C" w:rsidRPr="00683FF0">
              <w:t>hapter 1</w:t>
            </w:r>
            <w:r w:rsidR="0088222E" w:rsidRPr="00683FF0">
              <w:t>5</w:t>
            </w:r>
            <w:r w:rsidR="00A611A4" w:rsidRPr="00683FF0">
              <w:t>:</w:t>
            </w:r>
            <w:r w:rsidR="0086569C" w:rsidRPr="00683FF0">
              <w:t xml:space="preserve"> Waste – links to wider waste reduction work programme and revised Waste Strategy).</w:t>
            </w:r>
          </w:p>
          <w:p w14:paraId="6BB3E873" w14:textId="27298D37" w:rsidR="0093229B" w:rsidRPr="00683FF0" w:rsidRDefault="009A37B2" w:rsidP="004C6702">
            <w:pPr>
              <w:pStyle w:val="TableText"/>
            </w:pPr>
            <w:r w:rsidRPr="00683FF0">
              <w:rPr>
                <w:b/>
                <w:bCs/>
              </w:rPr>
              <w:t>23.1c.</w:t>
            </w:r>
            <w:r w:rsidR="004C6D7A" w:rsidRPr="00683FF0">
              <w:rPr>
                <w:b/>
                <w:bCs/>
              </w:rPr>
              <w:t>III</w:t>
            </w:r>
            <w:r w:rsidRPr="00683FF0">
              <w:rPr>
                <w:b/>
                <w:bCs/>
              </w:rPr>
              <w:t xml:space="preserve">. </w:t>
            </w:r>
            <w:r w:rsidR="009121D5" w:rsidRPr="00683FF0">
              <w:rPr>
                <w:b/>
                <w:bCs/>
              </w:rPr>
              <w:t>The Government agrees with this recommendation.</w:t>
            </w:r>
            <w:r w:rsidRPr="00683FF0">
              <w:rPr>
                <w:b/>
                <w:bCs/>
              </w:rPr>
              <w:t xml:space="preserve"> </w:t>
            </w:r>
            <w:r w:rsidR="00900609" w:rsidRPr="00683FF0">
              <w:t xml:space="preserve">This will be addressed </w:t>
            </w:r>
            <w:r w:rsidR="0086569C" w:rsidRPr="00683FF0">
              <w:t xml:space="preserve">through the </w:t>
            </w:r>
            <w:r w:rsidR="001961D7" w:rsidRPr="00683FF0">
              <w:t>emissions reduction plan</w:t>
            </w:r>
            <w:r w:rsidR="0086569C" w:rsidRPr="00683FF0">
              <w:t xml:space="preserve">, revised waste </w:t>
            </w:r>
            <w:r w:rsidR="0086569C" w:rsidRPr="00683FF0" w:rsidDel="009B3BFE">
              <w:t>s</w:t>
            </w:r>
            <w:r w:rsidR="0086569C" w:rsidRPr="00683FF0">
              <w:t>trategy and proposals for improved powers in new waste legislation subject to funding, future regulatory impact assessments and consultation for specific policy proposals (</w:t>
            </w:r>
            <w:r w:rsidR="009B3BFE" w:rsidRPr="00683FF0">
              <w:t>c</w:t>
            </w:r>
            <w:r w:rsidR="0086569C" w:rsidRPr="00683FF0">
              <w:t>hapter 1</w:t>
            </w:r>
            <w:r w:rsidR="0088222E" w:rsidRPr="00683FF0">
              <w:t>5</w:t>
            </w:r>
            <w:r w:rsidR="009B3BFE" w:rsidRPr="00683FF0">
              <w:t>:</w:t>
            </w:r>
            <w:r w:rsidR="0086569C" w:rsidRPr="00683FF0">
              <w:t xml:space="preserve"> Waste</w:t>
            </w:r>
            <w:r w:rsidR="009B3BFE" w:rsidRPr="00683FF0">
              <w:t>,</w:t>
            </w:r>
            <w:r w:rsidR="0086569C" w:rsidRPr="00683FF0">
              <w:t xml:space="preserve"> actions </w:t>
            </w:r>
            <w:r w:rsidR="002030E0" w:rsidRPr="00683FF0">
              <w:t>15.</w:t>
            </w:r>
            <w:r w:rsidR="0086569C" w:rsidRPr="00683FF0">
              <w:t xml:space="preserve">2.1, </w:t>
            </w:r>
            <w:r w:rsidR="002030E0" w:rsidRPr="00683FF0">
              <w:t>15.</w:t>
            </w:r>
            <w:r w:rsidR="0086569C" w:rsidRPr="00683FF0">
              <w:t xml:space="preserve">2.3, </w:t>
            </w:r>
            <w:r w:rsidR="002030E0" w:rsidRPr="00683FF0">
              <w:t>15.</w:t>
            </w:r>
            <w:r w:rsidR="0086569C" w:rsidRPr="00683FF0">
              <w:t xml:space="preserve">3.3, </w:t>
            </w:r>
            <w:r w:rsidR="002030E0" w:rsidRPr="00683FF0">
              <w:t>15.</w:t>
            </w:r>
            <w:r w:rsidR="0086569C" w:rsidRPr="00683FF0">
              <w:t xml:space="preserve">4, </w:t>
            </w:r>
            <w:r w:rsidR="002030E0" w:rsidRPr="00683FF0">
              <w:t>15.</w:t>
            </w:r>
            <w:r w:rsidR="0086569C" w:rsidRPr="00683FF0">
              <w:t>5.1</w:t>
            </w:r>
            <w:r w:rsidR="009B3BFE" w:rsidRPr="00683FF0">
              <w:t>,</w:t>
            </w:r>
            <w:r w:rsidR="0086569C" w:rsidRPr="00683FF0" w:rsidDel="009B3BFE">
              <w:t xml:space="preserve"> </w:t>
            </w:r>
            <w:r w:rsidR="002030E0" w:rsidRPr="00683FF0">
              <w:t>15.</w:t>
            </w:r>
            <w:r w:rsidR="0086569C" w:rsidRPr="00683FF0">
              <w:t>6.1).</w:t>
            </w:r>
          </w:p>
          <w:p w14:paraId="0DF9C1F4" w14:textId="6A99725D" w:rsidR="0093229B" w:rsidRPr="00683FF0" w:rsidRDefault="009A37B2" w:rsidP="004C6702">
            <w:pPr>
              <w:pStyle w:val="TableText"/>
            </w:pPr>
            <w:r w:rsidRPr="00683FF0">
              <w:rPr>
                <w:b/>
                <w:bCs/>
              </w:rPr>
              <w:t>23.1d.</w:t>
            </w:r>
            <w:r w:rsidR="004C6D7A" w:rsidRPr="00683FF0">
              <w:rPr>
                <w:b/>
                <w:bCs/>
              </w:rPr>
              <w:t>I</w:t>
            </w:r>
            <w:r w:rsidRPr="00683FF0">
              <w:rPr>
                <w:b/>
                <w:bCs/>
              </w:rPr>
              <w:t xml:space="preserve">. </w:t>
            </w:r>
            <w:r w:rsidR="009121D5" w:rsidRPr="00683FF0">
              <w:rPr>
                <w:b/>
                <w:bCs/>
              </w:rPr>
              <w:t>The Government agrees with this recommendation.</w:t>
            </w:r>
            <w:r w:rsidRPr="00683FF0">
              <w:rPr>
                <w:b/>
                <w:bCs/>
              </w:rPr>
              <w:t xml:space="preserve"> </w:t>
            </w:r>
            <w:r w:rsidR="0086569C" w:rsidRPr="00683FF0">
              <w:t xml:space="preserve">Investment to support research and innovation was included as a priority in the consultation proposals for the new waste </w:t>
            </w:r>
            <w:r w:rsidR="0086569C" w:rsidRPr="00683FF0" w:rsidDel="001564EC">
              <w:t>s</w:t>
            </w:r>
            <w:r w:rsidR="0086569C" w:rsidRPr="00683FF0">
              <w:t xml:space="preserve">trategy and </w:t>
            </w:r>
            <w:r w:rsidR="0086569C" w:rsidRPr="00683FF0">
              <w:lastRenderedPageBreak/>
              <w:t xml:space="preserve">the emissions reduction plan, </w:t>
            </w:r>
            <w:r w:rsidR="009559B7" w:rsidRPr="00683FF0">
              <w:t xml:space="preserve">both of </w:t>
            </w:r>
            <w:r w:rsidR="0086569C" w:rsidRPr="00683FF0">
              <w:t>which will guide future investment and funding activity (</w:t>
            </w:r>
            <w:r w:rsidR="009559B7" w:rsidRPr="00683FF0">
              <w:t>c</w:t>
            </w:r>
            <w:r w:rsidR="0086569C" w:rsidRPr="00683FF0">
              <w:t>hapter 1</w:t>
            </w:r>
            <w:r w:rsidR="0088222E" w:rsidRPr="00683FF0">
              <w:t>5</w:t>
            </w:r>
            <w:r w:rsidR="009559B7" w:rsidRPr="00683FF0">
              <w:t>:</w:t>
            </w:r>
            <w:r w:rsidR="0086569C" w:rsidRPr="00683FF0">
              <w:t xml:space="preserve"> Waste</w:t>
            </w:r>
            <w:r w:rsidR="009559B7" w:rsidRPr="00683FF0">
              <w:t>,</w:t>
            </w:r>
            <w:r w:rsidR="0086569C" w:rsidRPr="00683FF0">
              <w:t xml:space="preserve"> actions </w:t>
            </w:r>
            <w:r w:rsidR="002030E0" w:rsidRPr="00683FF0">
              <w:t>15.</w:t>
            </w:r>
            <w:r w:rsidR="0086569C" w:rsidRPr="00683FF0">
              <w:t>3.1</w:t>
            </w:r>
            <w:r w:rsidR="009559B7" w:rsidRPr="00683FF0">
              <w:t>,</w:t>
            </w:r>
            <w:r w:rsidR="0086569C" w:rsidRPr="00683FF0">
              <w:t xml:space="preserve"> </w:t>
            </w:r>
            <w:r w:rsidR="002030E0" w:rsidRPr="00683FF0">
              <w:t>15.</w:t>
            </w:r>
            <w:r w:rsidR="0086569C" w:rsidRPr="00683FF0">
              <w:t>5.2).</w:t>
            </w:r>
          </w:p>
          <w:p w14:paraId="63B93FE1" w14:textId="5432BD32" w:rsidR="0086569C" w:rsidRPr="00683FF0" w:rsidRDefault="009A37B2" w:rsidP="004C6702">
            <w:pPr>
              <w:pStyle w:val="TableText"/>
            </w:pPr>
            <w:r w:rsidRPr="00683FF0">
              <w:rPr>
                <w:b/>
                <w:bCs/>
              </w:rPr>
              <w:t>23.1d.</w:t>
            </w:r>
            <w:r w:rsidR="004C6D7A" w:rsidRPr="00683FF0">
              <w:rPr>
                <w:b/>
                <w:bCs/>
              </w:rPr>
              <w:t>II</w:t>
            </w:r>
            <w:r w:rsidRPr="00683FF0">
              <w:rPr>
                <w:b/>
                <w:bCs/>
              </w:rPr>
              <w:t xml:space="preserve">. </w:t>
            </w:r>
            <w:r w:rsidR="009121D5" w:rsidRPr="00683FF0">
              <w:rPr>
                <w:b/>
                <w:bCs/>
              </w:rPr>
              <w:t>The Government agrees with this recommendation.</w:t>
            </w:r>
            <w:r w:rsidRPr="00683FF0">
              <w:rPr>
                <w:b/>
                <w:bCs/>
              </w:rPr>
              <w:t xml:space="preserve"> </w:t>
            </w:r>
            <w:r w:rsidR="00900609" w:rsidRPr="00683FF0">
              <w:t xml:space="preserve">This will be addressed </w:t>
            </w:r>
            <w:r w:rsidR="0086569C" w:rsidRPr="00683FF0">
              <w:t xml:space="preserve">through the </w:t>
            </w:r>
            <w:r w:rsidR="001961D7" w:rsidRPr="00683FF0">
              <w:t>emissions reduction plan</w:t>
            </w:r>
            <w:r w:rsidR="001961D7" w:rsidRPr="00683FF0" w:rsidDel="001961D7">
              <w:t xml:space="preserve"> </w:t>
            </w:r>
            <w:r w:rsidR="008415CC" w:rsidRPr="00683FF0">
              <w:t xml:space="preserve">proposal for </w:t>
            </w:r>
            <w:r w:rsidR="0086569C" w:rsidRPr="00683FF0">
              <w:t xml:space="preserve">consumer organic waste reduction programmes and </w:t>
            </w:r>
            <w:r w:rsidR="008415CC" w:rsidRPr="00683FF0">
              <w:t xml:space="preserve">the </w:t>
            </w:r>
            <w:r w:rsidR="0086569C" w:rsidRPr="00683FF0">
              <w:t>proposed circular</w:t>
            </w:r>
            <w:r w:rsidR="00197D4E" w:rsidRPr="00683FF0">
              <w:t xml:space="preserve"> e</w:t>
            </w:r>
            <w:r w:rsidR="002675B1" w:rsidRPr="00683FF0">
              <w:t>conomy</w:t>
            </w:r>
            <w:r w:rsidR="0086569C" w:rsidRPr="00683FF0">
              <w:t xml:space="preserve"> and bioeconomy strategy (</w:t>
            </w:r>
            <w:r w:rsidR="00807E63" w:rsidRPr="00683FF0">
              <w:t xml:space="preserve">see </w:t>
            </w:r>
            <w:r w:rsidR="008415CC" w:rsidRPr="00683FF0">
              <w:t xml:space="preserve">the response to </w:t>
            </w:r>
            <w:r w:rsidR="0086569C" w:rsidRPr="00683FF0">
              <w:t>rec</w:t>
            </w:r>
            <w:r w:rsidR="00392967" w:rsidRPr="00683FF0">
              <w:t>ommendation</w:t>
            </w:r>
            <w:r w:rsidR="0086569C" w:rsidRPr="00683FF0">
              <w:t xml:space="preserve"> 14) subject to Budget </w:t>
            </w:r>
            <w:r w:rsidR="001A3D22" w:rsidRPr="00683FF0">
              <w:t>20</w:t>
            </w:r>
            <w:r w:rsidR="0086569C" w:rsidRPr="00683FF0">
              <w:t xml:space="preserve">22 funding. </w:t>
            </w:r>
            <w:r w:rsidR="00457730" w:rsidRPr="00683FF0">
              <w:t>It will also be addressed</w:t>
            </w:r>
            <w:r w:rsidR="0086569C" w:rsidRPr="00683FF0">
              <w:t xml:space="preserve"> through the revised waste strategy (</w:t>
            </w:r>
            <w:r w:rsidR="00457730" w:rsidRPr="00683FF0">
              <w:t>c</w:t>
            </w:r>
            <w:r w:rsidR="0086569C" w:rsidRPr="00683FF0">
              <w:t>hapter 1</w:t>
            </w:r>
            <w:r w:rsidR="0088222E" w:rsidRPr="00683FF0">
              <w:t>5</w:t>
            </w:r>
            <w:r w:rsidR="00457730" w:rsidRPr="00683FF0">
              <w:t>:</w:t>
            </w:r>
            <w:r w:rsidR="0086569C" w:rsidRPr="00683FF0">
              <w:t xml:space="preserve"> Waste</w:t>
            </w:r>
            <w:r w:rsidR="00457730" w:rsidRPr="00683FF0">
              <w:t>,</w:t>
            </w:r>
            <w:r w:rsidR="0086569C" w:rsidRPr="00683FF0">
              <w:t xml:space="preserve"> actions </w:t>
            </w:r>
            <w:r w:rsidR="00197D4E" w:rsidRPr="00683FF0">
              <w:t>15.</w:t>
            </w:r>
            <w:r w:rsidR="0086569C" w:rsidRPr="00683FF0">
              <w:t>2.2</w:t>
            </w:r>
            <w:r w:rsidR="00457730" w:rsidRPr="00683FF0">
              <w:t>,</w:t>
            </w:r>
            <w:r w:rsidR="0086569C" w:rsidRPr="00683FF0" w:rsidDel="00457730">
              <w:t xml:space="preserve"> </w:t>
            </w:r>
            <w:r w:rsidR="00197D4E" w:rsidRPr="00683FF0">
              <w:t>15.</w:t>
            </w:r>
            <w:r w:rsidR="0086569C" w:rsidRPr="00683FF0">
              <w:t>3.2).</w:t>
            </w:r>
          </w:p>
          <w:p w14:paraId="6E9F3568" w14:textId="28AF8C07" w:rsidR="0086569C" w:rsidRPr="00683FF0" w:rsidRDefault="009A37B2" w:rsidP="004C6702">
            <w:pPr>
              <w:pStyle w:val="TableText"/>
            </w:pPr>
            <w:r w:rsidRPr="00683FF0">
              <w:rPr>
                <w:b/>
                <w:bCs/>
              </w:rPr>
              <w:t>23.1d.</w:t>
            </w:r>
            <w:r w:rsidR="004C6D7A" w:rsidRPr="00683FF0">
              <w:rPr>
                <w:b/>
                <w:bCs/>
              </w:rPr>
              <w:t>III</w:t>
            </w:r>
            <w:r w:rsidRPr="00683FF0">
              <w:rPr>
                <w:b/>
                <w:bCs/>
              </w:rPr>
              <w:t xml:space="preserve">. </w:t>
            </w:r>
            <w:r w:rsidR="009121D5" w:rsidRPr="00683FF0">
              <w:rPr>
                <w:b/>
                <w:bCs/>
              </w:rPr>
              <w:t>The Government agrees with this recommendation.</w:t>
            </w:r>
            <w:r w:rsidRPr="00683FF0">
              <w:rPr>
                <w:b/>
                <w:bCs/>
              </w:rPr>
              <w:t xml:space="preserve"> </w:t>
            </w:r>
            <w:r w:rsidR="00900609" w:rsidRPr="00683FF0">
              <w:t xml:space="preserve">This will be addressed </w:t>
            </w:r>
            <w:r w:rsidR="0086569C" w:rsidRPr="00683FF0">
              <w:t xml:space="preserve">through the </w:t>
            </w:r>
            <w:r w:rsidR="001961D7" w:rsidRPr="00683FF0">
              <w:t>emissions reduction plan</w:t>
            </w:r>
            <w:r w:rsidR="0086569C" w:rsidRPr="00683FF0">
              <w:t xml:space="preserve"> </w:t>
            </w:r>
            <w:r w:rsidR="00E06099" w:rsidRPr="00683FF0">
              <w:t xml:space="preserve">proposal for </w:t>
            </w:r>
            <w:r w:rsidR="0086569C" w:rsidRPr="00683FF0">
              <w:t xml:space="preserve">consumer organic waste reduction programmes and proposed circular </w:t>
            </w:r>
            <w:r w:rsidR="00E82586" w:rsidRPr="00683FF0">
              <w:t>e</w:t>
            </w:r>
            <w:r w:rsidR="00900486" w:rsidRPr="00683FF0">
              <w:t xml:space="preserve">conomy </w:t>
            </w:r>
            <w:r w:rsidR="0086569C" w:rsidRPr="00683FF0">
              <w:t xml:space="preserve">and </w:t>
            </w:r>
            <w:r w:rsidR="00C9579E" w:rsidRPr="00683FF0">
              <w:t>B</w:t>
            </w:r>
            <w:r w:rsidR="0086569C" w:rsidRPr="00683FF0">
              <w:t xml:space="preserve">ioeconomy </w:t>
            </w:r>
            <w:r w:rsidR="00C9579E" w:rsidRPr="00683FF0">
              <w:t>S</w:t>
            </w:r>
            <w:r w:rsidR="0086569C" w:rsidRPr="00683FF0">
              <w:t>trategy (</w:t>
            </w:r>
            <w:r w:rsidR="00807E63" w:rsidRPr="00683FF0">
              <w:t>see</w:t>
            </w:r>
            <w:r w:rsidR="00001473" w:rsidRPr="00683FF0">
              <w:t xml:space="preserve"> the response to</w:t>
            </w:r>
            <w:r w:rsidR="00807E63" w:rsidRPr="00683FF0">
              <w:t xml:space="preserve"> </w:t>
            </w:r>
            <w:r w:rsidR="0086569C" w:rsidRPr="00683FF0">
              <w:t>rec</w:t>
            </w:r>
            <w:r w:rsidR="00807E63" w:rsidRPr="00683FF0">
              <w:t>ommendation</w:t>
            </w:r>
            <w:r w:rsidR="0086569C" w:rsidRPr="00683FF0">
              <w:t xml:space="preserve"> 14)</w:t>
            </w:r>
            <w:r w:rsidR="00E06099" w:rsidRPr="00683FF0">
              <w:t>,</w:t>
            </w:r>
            <w:r w:rsidR="0086569C" w:rsidRPr="00683FF0">
              <w:t xml:space="preserve"> subject to Budget </w:t>
            </w:r>
            <w:r w:rsidR="001A3D22" w:rsidRPr="00683FF0">
              <w:t>20</w:t>
            </w:r>
            <w:r w:rsidR="0086569C" w:rsidRPr="00683FF0">
              <w:t xml:space="preserve">22 funding. </w:t>
            </w:r>
            <w:r w:rsidR="00900486" w:rsidRPr="00683FF0">
              <w:t>In addition, it will be addressed</w:t>
            </w:r>
            <w:r w:rsidR="0086569C" w:rsidRPr="00683FF0">
              <w:t xml:space="preserve"> through the revised </w:t>
            </w:r>
            <w:r w:rsidR="0086569C" w:rsidRPr="00683FF0" w:rsidDel="00900486">
              <w:t>w</w:t>
            </w:r>
            <w:r w:rsidR="0086569C" w:rsidRPr="00683FF0">
              <w:t xml:space="preserve">aste </w:t>
            </w:r>
            <w:r w:rsidR="0086569C" w:rsidRPr="00683FF0" w:rsidDel="00900486">
              <w:t>s</w:t>
            </w:r>
            <w:r w:rsidR="0086569C" w:rsidRPr="00683FF0">
              <w:t>trategy (</w:t>
            </w:r>
            <w:r w:rsidR="00900486" w:rsidRPr="00683FF0">
              <w:t>c</w:t>
            </w:r>
            <w:r w:rsidR="0086569C" w:rsidRPr="00683FF0">
              <w:t>hapter 1</w:t>
            </w:r>
            <w:r w:rsidR="0088222E" w:rsidRPr="00683FF0">
              <w:t>5</w:t>
            </w:r>
            <w:r w:rsidR="00900486" w:rsidRPr="00683FF0">
              <w:t>:</w:t>
            </w:r>
            <w:r w:rsidR="0086569C" w:rsidRPr="00683FF0">
              <w:t xml:space="preserve"> Waste</w:t>
            </w:r>
            <w:r w:rsidR="00900486" w:rsidRPr="00683FF0">
              <w:t>,</w:t>
            </w:r>
            <w:r w:rsidR="0086569C" w:rsidRPr="00683FF0">
              <w:t xml:space="preserve"> actions </w:t>
            </w:r>
            <w:r w:rsidR="00A75778" w:rsidRPr="00683FF0">
              <w:t>15.</w:t>
            </w:r>
            <w:r w:rsidR="0086569C" w:rsidRPr="00683FF0">
              <w:t>1.1</w:t>
            </w:r>
            <w:r w:rsidR="00900486" w:rsidRPr="00683FF0">
              <w:t>–</w:t>
            </w:r>
            <w:r w:rsidR="00133304" w:rsidRPr="00683FF0">
              <w:t>15.</w:t>
            </w:r>
            <w:r w:rsidR="0086569C" w:rsidRPr="00683FF0">
              <w:t>1.3).</w:t>
            </w:r>
          </w:p>
          <w:p w14:paraId="68245852" w14:textId="3335A96F" w:rsidR="0086569C" w:rsidRPr="00683FF0" w:rsidRDefault="009A37B2" w:rsidP="004C6702">
            <w:pPr>
              <w:pStyle w:val="TableText"/>
            </w:pPr>
            <w:r w:rsidRPr="00683FF0">
              <w:rPr>
                <w:b/>
                <w:bCs/>
              </w:rPr>
              <w:t>23.1d.</w:t>
            </w:r>
            <w:r w:rsidR="004C6D7A" w:rsidRPr="00683FF0">
              <w:rPr>
                <w:b/>
                <w:bCs/>
              </w:rPr>
              <w:t>IV</w:t>
            </w:r>
            <w:r w:rsidRPr="00683FF0">
              <w:rPr>
                <w:b/>
                <w:bCs/>
              </w:rPr>
              <w:t xml:space="preserve">. </w:t>
            </w:r>
            <w:r w:rsidR="009121D5" w:rsidRPr="00683FF0">
              <w:rPr>
                <w:b/>
                <w:bCs/>
              </w:rPr>
              <w:t>The Government agrees with this recommendation.</w:t>
            </w:r>
            <w:r w:rsidRPr="00683FF0">
              <w:rPr>
                <w:b/>
                <w:bCs/>
              </w:rPr>
              <w:t xml:space="preserve"> </w:t>
            </w:r>
            <w:r w:rsidR="00900609" w:rsidRPr="00683FF0">
              <w:t xml:space="preserve">This will be addressed </w:t>
            </w:r>
            <w:r w:rsidR="0086569C" w:rsidRPr="00683FF0">
              <w:t xml:space="preserve">through the </w:t>
            </w:r>
            <w:r w:rsidR="001961D7" w:rsidRPr="00683FF0">
              <w:t>emissions reduction plan proposal for</w:t>
            </w:r>
            <w:r w:rsidR="0086569C" w:rsidRPr="00683FF0">
              <w:t xml:space="preserve"> national waste licensing and </w:t>
            </w:r>
            <w:r w:rsidR="001961D7" w:rsidRPr="00683FF0">
              <w:t xml:space="preserve">the </w:t>
            </w:r>
            <w:r w:rsidR="0086569C" w:rsidRPr="00683FF0">
              <w:t xml:space="preserve">national data collection and reporting programme on emissions reductions from waste, including landfill gas capture feasibility and research, subject to consultation and funding. </w:t>
            </w:r>
            <w:r w:rsidR="008E69A9" w:rsidRPr="00683FF0">
              <w:t>In addition to new</w:t>
            </w:r>
            <w:r w:rsidR="001E0A6B" w:rsidRPr="00683FF0">
              <w:t xml:space="preserve"> requirements for </w:t>
            </w:r>
            <w:r w:rsidR="00454062" w:rsidRPr="00683FF0">
              <w:t>waste disposal facilities</w:t>
            </w:r>
            <w:r w:rsidR="001E0A6B" w:rsidRPr="00683FF0">
              <w:t xml:space="preserve"> to report waste tonnages</w:t>
            </w:r>
            <w:r w:rsidR="00C806E7" w:rsidRPr="00683FF0">
              <w:t xml:space="preserve"> to the Ministry</w:t>
            </w:r>
            <w:r w:rsidR="00900486" w:rsidRPr="00683FF0">
              <w:t xml:space="preserve"> for the Environment</w:t>
            </w:r>
            <w:r w:rsidR="00A55A65" w:rsidRPr="00683FF0">
              <w:t>, p</w:t>
            </w:r>
            <w:r w:rsidR="0086569C" w:rsidRPr="00683FF0">
              <w:t>roposals are in place to improve waste data collection for landfill disposal (to some facility types)</w:t>
            </w:r>
            <w:r w:rsidR="00462A58" w:rsidRPr="00683FF0">
              <w:t>.</w:t>
            </w:r>
            <w:r w:rsidR="0086569C" w:rsidRPr="00683FF0">
              <w:t xml:space="preserve"> </w:t>
            </w:r>
            <w:r w:rsidR="00462A58" w:rsidRPr="00683FF0">
              <w:t>H</w:t>
            </w:r>
            <w:r w:rsidR="0086569C" w:rsidRPr="00683FF0">
              <w:t>owever</w:t>
            </w:r>
            <w:r w:rsidR="00900486" w:rsidRPr="00683FF0">
              <w:t>,</w:t>
            </w:r>
            <w:r w:rsidR="0086569C" w:rsidRPr="00683FF0">
              <w:t xml:space="preserve"> broader regulation is required to make provision for more comprehensive data </w:t>
            </w:r>
            <w:r w:rsidR="00900486" w:rsidRPr="00683FF0">
              <w:t xml:space="preserve">that will </w:t>
            </w:r>
            <w:r w:rsidR="0086569C" w:rsidRPr="00683FF0">
              <w:t>enabl</w:t>
            </w:r>
            <w:r w:rsidR="00900486" w:rsidRPr="00683FF0">
              <w:t>e</w:t>
            </w:r>
            <w:r w:rsidR="0086569C" w:rsidRPr="00683FF0">
              <w:t xml:space="preserve"> emission</w:t>
            </w:r>
            <w:r w:rsidR="00900486" w:rsidRPr="00683FF0">
              <w:t>s</w:t>
            </w:r>
            <w:r w:rsidR="0086569C" w:rsidRPr="00683FF0">
              <w:t xml:space="preserve"> reduction planning. Further investigation is required for farm fills and wastewater treatment (</w:t>
            </w:r>
            <w:r w:rsidR="009E415B" w:rsidRPr="00683FF0">
              <w:t>c</w:t>
            </w:r>
            <w:r w:rsidR="0086569C" w:rsidRPr="00683FF0">
              <w:t>hapter 1</w:t>
            </w:r>
            <w:r w:rsidR="00E46ADE" w:rsidRPr="00683FF0">
              <w:t>5</w:t>
            </w:r>
            <w:r w:rsidR="009E415B" w:rsidRPr="00683FF0">
              <w:t>:</w:t>
            </w:r>
            <w:r w:rsidR="0086569C" w:rsidRPr="00683FF0">
              <w:t xml:space="preserve"> Waste</w:t>
            </w:r>
            <w:r w:rsidR="009E415B" w:rsidRPr="00683FF0">
              <w:t>,</w:t>
            </w:r>
            <w:r w:rsidR="0086569C" w:rsidRPr="00683FF0">
              <w:t xml:space="preserve"> actions </w:t>
            </w:r>
            <w:r w:rsidR="00407515" w:rsidRPr="00683FF0">
              <w:t>15.</w:t>
            </w:r>
            <w:r w:rsidR="008433B3" w:rsidRPr="00683FF0">
              <w:t xml:space="preserve">5.2, </w:t>
            </w:r>
            <w:r w:rsidR="00133304" w:rsidRPr="00683FF0">
              <w:t>15</w:t>
            </w:r>
            <w:r w:rsidR="00407515" w:rsidRPr="00683FF0">
              <w:t>.</w:t>
            </w:r>
            <w:r w:rsidR="008433B3" w:rsidRPr="00683FF0">
              <w:t>6.1</w:t>
            </w:r>
            <w:r w:rsidR="009E415B" w:rsidRPr="00683FF0">
              <w:t>,</w:t>
            </w:r>
            <w:r w:rsidR="008433B3" w:rsidRPr="00683FF0">
              <w:t xml:space="preserve"> </w:t>
            </w:r>
            <w:r w:rsidR="00407515" w:rsidRPr="00683FF0">
              <w:t>1</w:t>
            </w:r>
            <w:r w:rsidR="008B73C8" w:rsidRPr="00683FF0">
              <w:t>5.</w:t>
            </w:r>
            <w:r w:rsidR="008433B3" w:rsidRPr="00683FF0">
              <w:t>6.2</w:t>
            </w:r>
            <w:r w:rsidR="0086569C" w:rsidRPr="00683FF0">
              <w:t>).</w:t>
            </w:r>
          </w:p>
          <w:p w14:paraId="739EED0C" w14:textId="42F0A28E" w:rsidR="0093229B" w:rsidRPr="00683FF0" w:rsidRDefault="009A37B2" w:rsidP="004C6702">
            <w:pPr>
              <w:pStyle w:val="TableText"/>
              <w:rPr>
                <w:b/>
                <w:bCs/>
              </w:rPr>
            </w:pPr>
            <w:r w:rsidRPr="00683FF0">
              <w:rPr>
                <w:b/>
                <w:bCs/>
              </w:rPr>
              <w:t xml:space="preserve">23.1e. </w:t>
            </w:r>
            <w:r w:rsidR="00FA0A24" w:rsidRPr="00683FF0">
              <w:rPr>
                <w:b/>
                <w:bCs/>
              </w:rPr>
              <w:t xml:space="preserve">The Government agrees in part with this recommendation. </w:t>
            </w:r>
            <w:r w:rsidRPr="00683FF0">
              <w:t>The Government</w:t>
            </w:r>
            <w:r w:rsidR="008433B3" w:rsidRPr="00683FF0">
              <w:t xml:space="preserve"> agree</w:t>
            </w:r>
            <w:r w:rsidRPr="00683FF0">
              <w:t>s</w:t>
            </w:r>
            <w:r w:rsidR="008433B3" w:rsidRPr="00683FF0">
              <w:t xml:space="preserve"> in principle with </w:t>
            </w:r>
            <w:r w:rsidR="23BC1F38" w:rsidRPr="00683FF0">
              <w:t xml:space="preserve">setting a date for mandating landfill gas capture from landfills. The timeframe in which this could be in place for all landfills differs from </w:t>
            </w:r>
            <w:r w:rsidR="008433B3" w:rsidRPr="00683FF0">
              <w:t>the Commission</w:t>
            </w:r>
            <w:r w:rsidR="00F105F0" w:rsidRPr="00683FF0">
              <w:t>’</w:t>
            </w:r>
            <w:r w:rsidR="008433B3" w:rsidRPr="00683FF0">
              <w:t>s proposed timeline of 2026</w:t>
            </w:r>
            <w:r w:rsidR="23BC1F38" w:rsidRPr="00683FF0">
              <w:t xml:space="preserve"> (in their provisional progress indicators)</w:t>
            </w:r>
            <w:r w:rsidR="008433B3" w:rsidRPr="00683FF0">
              <w:t xml:space="preserve"> </w:t>
            </w:r>
            <w:r w:rsidR="23BC1F38" w:rsidRPr="00683FF0">
              <w:t>This timeframe is suitable for requirements</w:t>
            </w:r>
            <w:r w:rsidR="008433B3" w:rsidRPr="00683FF0">
              <w:t xml:space="preserve"> for landfill gas capture from municipal landfills (</w:t>
            </w:r>
            <w:r w:rsidR="23BC1F38" w:rsidRPr="00683FF0">
              <w:t>Class 1</w:t>
            </w:r>
            <w:r w:rsidR="008433B3" w:rsidRPr="00683FF0">
              <w:t xml:space="preserve">), but not for all landfills. This recommendation requires further investigation to determine if gas capture should be mandated for non-municipal landfills. </w:t>
            </w:r>
            <w:r w:rsidR="001961D7" w:rsidRPr="00683FF0">
              <w:t>Emissions reduction plan</w:t>
            </w:r>
            <w:r w:rsidR="008433B3" w:rsidRPr="00683FF0">
              <w:t xml:space="preserve"> proposals to improve and expand </w:t>
            </w:r>
            <w:r w:rsidR="00980910" w:rsidRPr="00683FF0">
              <w:t xml:space="preserve">landfill gas </w:t>
            </w:r>
            <w:r w:rsidR="008433B3" w:rsidRPr="00683FF0">
              <w:t xml:space="preserve">capture systems require feasibility </w:t>
            </w:r>
            <w:r w:rsidR="23BC1F38" w:rsidRPr="00683FF0">
              <w:t xml:space="preserve">studies </w:t>
            </w:r>
            <w:r w:rsidR="008433B3" w:rsidRPr="00683FF0">
              <w:t>and future change to regulation subject to consultation (</w:t>
            </w:r>
            <w:r w:rsidR="00980910" w:rsidRPr="00683FF0">
              <w:t>c</w:t>
            </w:r>
            <w:r w:rsidR="008433B3" w:rsidRPr="00683FF0">
              <w:t>hapter 1</w:t>
            </w:r>
            <w:r w:rsidR="00C414D9" w:rsidRPr="00683FF0">
              <w:t>5</w:t>
            </w:r>
            <w:r w:rsidR="00980910" w:rsidRPr="00683FF0">
              <w:t>:</w:t>
            </w:r>
            <w:r w:rsidR="008433B3" w:rsidRPr="00683FF0">
              <w:t xml:space="preserve"> Waste</w:t>
            </w:r>
            <w:r w:rsidR="00980910" w:rsidRPr="00683FF0">
              <w:t>,</w:t>
            </w:r>
            <w:r w:rsidR="008433B3" w:rsidRPr="00683FF0">
              <w:t xml:space="preserve"> actions </w:t>
            </w:r>
            <w:r w:rsidR="00133304" w:rsidRPr="00683FF0">
              <w:t>15.</w:t>
            </w:r>
            <w:r w:rsidR="008433B3" w:rsidRPr="00683FF0">
              <w:t>5.1</w:t>
            </w:r>
            <w:r w:rsidR="00980910" w:rsidRPr="00683FF0">
              <w:t>,</w:t>
            </w:r>
            <w:r w:rsidR="008433B3" w:rsidRPr="00683FF0">
              <w:t xml:space="preserve"> </w:t>
            </w:r>
            <w:r w:rsidR="00133304" w:rsidRPr="00683FF0">
              <w:t>15.</w:t>
            </w:r>
            <w:r w:rsidR="008433B3" w:rsidRPr="00683FF0">
              <w:t>5.2).</w:t>
            </w:r>
          </w:p>
        </w:tc>
      </w:tr>
      <w:tr w:rsidR="00074667" w:rsidRPr="00683FF0" w14:paraId="34F87814" w14:textId="77777777" w:rsidTr="004412FC">
        <w:tc>
          <w:tcPr>
            <w:tcW w:w="4508" w:type="dxa"/>
          </w:tcPr>
          <w:p w14:paraId="27796243" w14:textId="17226C71" w:rsidR="0083411E" w:rsidRPr="00683FF0" w:rsidRDefault="00074667" w:rsidP="003A6358">
            <w:pPr>
              <w:pStyle w:val="TableText"/>
              <w:keepNext/>
            </w:pPr>
            <w:r w:rsidRPr="00683FF0">
              <w:lastRenderedPageBreak/>
              <w:t>23.2</w:t>
            </w:r>
            <w:r w:rsidR="00A96880" w:rsidRPr="00683FF0">
              <w:t>.</w:t>
            </w:r>
            <w:r w:rsidRPr="00683FF0">
              <w:t xml:space="preserve"> Measures to reduce HFCs should include: </w:t>
            </w:r>
          </w:p>
          <w:p w14:paraId="10C50952" w14:textId="50E039E7" w:rsidR="0083411E" w:rsidRPr="00683FF0" w:rsidRDefault="00074667" w:rsidP="00D21268">
            <w:pPr>
              <w:pStyle w:val="TableText"/>
              <w:numPr>
                <w:ilvl w:val="0"/>
                <w:numId w:val="36"/>
              </w:numPr>
              <w:spacing w:before="0"/>
              <w:ind w:left="284" w:hanging="284"/>
            </w:pPr>
            <w:r w:rsidRPr="00683FF0">
              <w:t xml:space="preserve">Expanding import restrictions where feasible. </w:t>
            </w:r>
          </w:p>
          <w:p w14:paraId="008B0DF8" w14:textId="135721E6" w:rsidR="0083411E" w:rsidRPr="00683FF0" w:rsidRDefault="00074667" w:rsidP="00D21268">
            <w:pPr>
              <w:pStyle w:val="TableText"/>
              <w:numPr>
                <w:ilvl w:val="0"/>
                <w:numId w:val="36"/>
              </w:numPr>
              <w:spacing w:before="0"/>
              <w:ind w:left="284" w:hanging="284"/>
            </w:pPr>
            <w:r w:rsidRPr="00683FF0">
              <w:t xml:space="preserve">Improving industry practice to reduce leakage. </w:t>
            </w:r>
          </w:p>
          <w:p w14:paraId="0FF934B5" w14:textId="14249FA2" w:rsidR="00074667" w:rsidRPr="00683FF0" w:rsidRDefault="00074667" w:rsidP="00D21268">
            <w:pPr>
              <w:pStyle w:val="TableText"/>
              <w:numPr>
                <w:ilvl w:val="0"/>
                <w:numId w:val="36"/>
              </w:numPr>
              <w:spacing w:before="0"/>
              <w:ind w:left="284" w:hanging="284"/>
              <w:rPr>
                <w:szCs w:val="18"/>
              </w:rPr>
            </w:pPr>
            <w:r w:rsidRPr="00683FF0">
              <w:t>Enabling businesses and consumers to switch to low climate impact alternatives.</w:t>
            </w:r>
          </w:p>
        </w:tc>
        <w:tc>
          <w:tcPr>
            <w:tcW w:w="4508" w:type="dxa"/>
          </w:tcPr>
          <w:p w14:paraId="2053717D" w14:textId="45B034FC" w:rsidR="008433B3" w:rsidRPr="00683FF0" w:rsidRDefault="009A37B2" w:rsidP="00F84F13">
            <w:pPr>
              <w:pStyle w:val="TableText"/>
            </w:pPr>
            <w:r w:rsidRPr="00683FF0">
              <w:rPr>
                <w:b/>
                <w:bCs/>
              </w:rPr>
              <w:t xml:space="preserve">23.2a. </w:t>
            </w:r>
            <w:r w:rsidR="009121D5" w:rsidRPr="00683FF0">
              <w:rPr>
                <w:b/>
                <w:bCs/>
              </w:rPr>
              <w:t>The Government agrees with this recommendation.</w:t>
            </w:r>
            <w:r w:rsidRPr="00683FF0">
              <w:rPr>
                <w:b/>
                <w:bCs/>
              </w:rPr>
              <w:t xml:space="preserve"> </w:t>
            </w:r>
            <w:r w:rsidR="008433B3" w:rsidRPr="00683FF0">
              <w:t>A proposal to create prohibitions on</w:t>
            </w:r>
            <w:r w:rsidR="325B3EF9" w:rsidRPr="00683FF0">
              <w:t xml:space="preserve"> the</w:t>
            </w:r>
            <w:r w:rsidR="008433B3" w:rsidRPr="00683FF0">
              <w:t xml:space="preserve"> import/sale of pre-charged equipment is included in the work programme</w:t>
            </w:r>
            <w:r w:rsidR="001961D7" w:rsidRPr="00683FF0">
              <w:t xml:space="preserve"> of the emissions reduction plan</w:t>
            </w:r>
            <w:r w:rsidR="008433B3" w:rsidRPr="00683FF0">
              <w:t xml:space="preserve">. Further consultation on the specific design and implementation of regulations will be required once Cabinet approval has been received. Further proposals regarding expansion of import restrictions </w:t>
            </w:r>
            <w:r w:rsidR="19B11B0E" w:rsidRPr="00683FF0">
              <w:t>will be further investigated for implementation in later emissions budget periods</w:t>
            </w:r>
            <w:r w:rsidR="008433B3" w:rsidRPr="00683FF0">
              <w:t xml:space="preserve"> (</w:t>
            </w:r>
            <w:r w:rsidR="00E95D3C" w:rsidRPr="00683FF0">
              <w:t>c</w:t>
            </w:r>
            <w:r w:rsidR="008433B3" w:rsidRPr="00683FF0">
              <w:t xml:space="preserve">hapter </w:t>
            </w:r>
            <w:r w:rsidR="00845A25" w:rsidRPr="00683FF0">
              <w:t>16</w:t>
            </w:r>
            <w:r w:rsidR="00E95D3C" w:rsidRPr="00683FF0">
              <w:t>:</w:t>
            </w:r>
            <w:r w:rsidR="008433B3" w:rsidRPr="00683FF0">
              <w:t xml:space="preserve"> Fluorinated gases</w:t>
            </w:r>
            <w:r w:rsidR="00E95D3C" w:rsidRPr="00683FF0">
              <w:t>,</w:t>
            </w:r>
            <w:r w:rsidR="008433B3" w:rsidRPr="00683FF0">
              <w:t xml:space="preserve"> action </w:t>
            </w:r>
            <w:r w:rsidR="00A701D4" w:rsidRPr="00683FF0">
              <w:t>16.</w:t>
            </w:r>
            <w:r w:rsidR="008433B3" w:rsidRPr="00683FF0">
              <w:t>2)</w:t>
            </w:r>
            <w:r w:rsidR="00E95D3C" w:rsidRPr="00683FF0">
              <w:t>.</w:t>
            </w:r>
          </w:p>
          <w:p w14:paraId="46A5B8B8" w14:textId="76400D64" w:rsidR="008433B3" w:rsidRPr="00683FF0" w:rsidRDefault="286DC977" w:rsidP="00F84F13">
            <w:pPr>
              <w:pStyle w:val="TableText"/>
            </w:pPr>
            <w:r w:rsidRPr="00683FF0">
              <w:rPr>
                <w:b/>
                <w:bCs/>
              </w:rPr>
              <w:t xml:space="preserve">23.2.b. </w:t>
            </w:r>
            <w:r w:rsidR="457ABBA9" w:rsidRPr="00683FF0">
              <w:rPr>
                <w:b/>
                <w:bCs/>
              </w:rPr>
              <w:t>The Government agrees with this recommendation.</w:t>
            </w:r>
            <w:r w:rsidRPr="00683FF0">
              <w:rPr>
                <w:b/>
                <w:bCs/>
              </w:rPr>
              <w:t xml:space="preserve"> </w:t>
            </w:r>
            <w:r w:rsidR="003025D1" w:rsidRPr="00683FF0">
              <w:t>This will be a</w:t>
            </w:r>
            <w:r w:rsidR="2B0490D3" w:rsidRPr="00683FF0">
              <w:t xml:space="preserve">ddressed </w:t>
            </w:r>
            <w:r w:rsidR="2303B946" w:rsidRPr="00683FF0">
              <w:t>in part through</w:t>
            </w:r>
            <w:r w:rsidR="2B0490D3" w:rsidRPr="00683FF0">
              <w:t xml:space="preserve"> </w:t>
            </w:r>
            <w:r w:rsidR="2303B946" w:rsidRPr="00683FF0">
              <w:t>a</w:t>
            </w:r>
            <w:r w:rsidR="46896355" w:rsidRPr="00683FF0">
              <w:t>n</w:t>
            </w:r>
            <w:r w:rsidR="2B0490D3" w:rsidRPr="00683FF0">
              <w:t xml:space="preserve"> improved training and an accreditation scheme</w:t>
            </w:r>
            <w:r w:rsidR="2303B946" w:rsidRPr="00683FF0">
              <w:t xml:space="preserve">. </w:t>
            </w:r>
            <w:r w:rsidR="009E237A" w:rsidRPr="00683FF0">
              <w:t>WorkSafe</w:t>
            </w:r>
            <w:r w:rsidR="2303B946" w:rsidRPr="00683FF0">
              <w:t xml:space="preserve"> </w:t>
            </w:r>
            <w:r w:rsidR="009E237A" w:rsidRPr="00683FF0">
              <w:t>has w</w:t>
            </w:r>
            <w:r w:rsidR="2303B946" w:rsidRPr="00683FF0">
              <w:t xml:space="preserve">ork on this scheme underway, and </w:t>
            </w:r>
            <w:r w:rsidR="007B7469" w:rsidRPr="00683FF0">
              <w:t xml:space="preserve">the </w:t>
            </w:r>
            <w:r w:rsidR="2303B946" w:rsidRPr="00683FF0">
              <w:t>Ministry for the Environment will ensure that this captures the recommendations from the Commission. This</w:t>
            </w:r>
            <w:r w:rsidR="2B0490D3" w:rsidRPr="00683FF0">
              <w:t xml:space="preserve"> will include a focus on improving industry practice to reduce leakage</w:t>
            </w:r>
            <w:r w:rsidR="2303B946" w:rsidRPr="00683FF0">
              <w:t>,</w:t>
            </w:r>
            <w:r w:rsidR="2B0490D3" w:rsidRPr="00683FF0">
              <w:t xml:space="preserve"> as well as to address health and safety concerns raised through the consultation process regarding alternative refrigerants (</w:t>
            </w:r>
            <w:r w:rsidR="009E237A" w:rsidRPr="00683FF0">
              <w:t>c</w:t>
            </w:r>
            <w:r w:rsidR="2B0490D3" w:rsidRPr="00683FF0">
              <w:t xml:space="preserve">hapter </w:t>
            </w:r>
            <w:r w:rsidR="00CC353C" w:rsidRPr="00683FF0">
              <w:t>16</w:t>
            </w:r>
            <w:r w:rsidR="009E237A" w:rsidRPr="00683FF0">
              <w:t>:</w:t>
            </w:r>
            <w:r w:rsidR="2B0490D3" w:rsidRPr="00683FF0">
              <w:t xml:space="preserve"> Fluorinated gases</w:t>
            </w:r>
            <w:r w:rsidR="009E237A" w:rsidRPr="00683FF0">
              <w:t>,</w:t>
            </w:r>
            <w:r w:rsidR="2B0490D3" w:rsidRPr="00683FF0">
              <w:t xml:space="preserve"> action 1</w:t>
            </w:r>
            <w:r w:rsidR="00CC353C" w:rsidRPr="00683FF0">
              <w:t>6</w:t>
            </w:r>
            <w:r w:rsidR="2B0490D3" w:rsidRPr="00683FF0">
              <w:t>.1</w:t>
            </w:r>
            <w:r w:rsidR="00EB330A" w:rsidRPr="00683FF0">
              <w:t xml:space="preserve"> and 16.4</w:t>
            </w:r>
            <w:r w:rsidR="2B0490D3" w:rsidRPr="00683FF0">
              <w:t>).</w:t>
            </w:r>
          </w:p>
          <w:p w14:paraId="6667BE32" w14:textId="70C81CF6" w:rsidR="008433B3" w:rsidRPr="00683FF0" w:rsidRDefault="009A37B2" w:rsidP="00F84F13">
            <w:pPr>
              <w:pStyle w:val="TableText"/>
            </w:pPr>
            <w:r w:rsidRPr="00683FF0">
              <w:rPr>
                <w:b/>
                <w:bCs/>
              </w:rPr>
              <w:t xml:space="preserve">23.2.c. </w:t>
            </w:r>
            <w:r w:rsidR="009121D5" w:rsidRPr="00683FF0">
              <w:rPr>
                <w:b/>
                <w:bCs/>
              </w:rPr>
              <w:t xml:space="preserve">The Government agrees </w:t>
            </w:r>
            <w:r w:rsidR="00DF0A3B" w:rsidRPr="00683FF0">
              <w:rPr>
                <w:b/>
                <w:bCs/>
              </w:rPr>
              <w:t xml:space="preserve">in principle </w:t>
            </w:r>
            <w:r w:rsidR="009121D5" w:rsidRPr="00683FF0">
              <w:rPr>
                <w:b/>
                <w:bCs/>
              </w:rPr>
              <w:t>with this recommendation.</w:t>
            </w:r>
            <w:r w:rsidR="008433B3" w:rsidRPr="00683FF0">
              <w:rPr>
                <w:b/>
                <w:bCs/>
              </w:rPr>
              <w:t xml:space="preserve"> </w:t>
            </w:r>
            <w:r w:rsidR="002B70D2" w:rsidRPr="00683FF0">
              <w:t xml:space="preserve">Specific measures targeted to industry/consumer needs will be considered as part of further detailed consultation on </w:t>
            </w:r>
            <w:r w:rsidR="009E237A" w:rsidRPr="00683FF0">
              <w:t>fluorinated gas (</w:t>
            </w:r>
            <w:r w:rsidR="002B70D2" w:rsidRPr="00683FF0">
              <w:t>F-gas</w:t>
            </w:r>
            <w:r w:rsidR="009E237A" w:rsidRPr="00683FF0">
              <w:t>)</w:t>
            </w:r>
            <w:r w:rsidR="002B70D2" w:rsidRPr="00683FF0">
              <w:t xml:space="preserve"> policy</w:t>
            </w:r>
            <w:r w:rsidR="009E237A" w:rsidRPr="00683FF0">
              <w:t xml:space="preserve"> </w:t>
            </w:r>
            <w:r w:rsidR="008433B3" w:rsidRPr="00683FF0">
              <w:t>(</w:t>
            </w:r>
            <w:r w:rsidR="009E237A" w:rsidRPr="00683FF0">
              <w:t>c</w:t>
            </w:r>
            <w:r w:rsidR="008433B3" w:rsidRPr="00683FF0">
              <w:t>hapter 1</w:t>
            </w:r>
            <w:r w:rsidR="00A701D4" w:rsidRPr="00683FF0">
              <w:t>6</w:t>
            </w:r>
            <w:r w:rsidR="009E237A" w:rsidRPr="00683FF0">
              <w:t>:</w:t>
            </w:r>
            <w:r w:rsidR="008433B3" w:rsidRPr="00683FF0">
              <w:t xml:space="preserve"> Fluorinated gases</w:t>
            </w:r>
            <w:r w:rsidR="009E237A" w:rsidRPr="00683FF0">
              <w:t>,</w:t>
            </w:r>
            <w:r w:rsidR="008433B3" w:rsidRPr="00683FF0">
              <w:t xml:space="preserve"> action</w:t>
            </w:r>
            <w:r w:rsidR="002B70D2" w:rsidRPr="00683FF0">
              <w:t xml:space="preserve">s </w:t>
            </w:r>
            <w:r w:rsidR="00B965B7" w:rsidRPr="00683FF0">
              <w:t>1</w:t>
            </w:r>
            <w:r w:rsidR="00FC1EAA" w:rsidRPr="00683FF0">
              <w:t>6.</w:t>
            </w:r>
            <w:r w:rsidR="002B70D2" w:rsidRPr="00683FF0">
              <w:t>3</w:t>
            </w:r>
            <w:r w:rsidR="008433B3" w:rsidRPr="00683FF0">
              <w:t>)</w:t>
            </w:r>
            <w:r w:rsidR="009E237A" w:rsidRPr="00683FF0">
              <w:t>.</w:t>
            </w:r>
          </w:p>
        </w:tc>
      </w:tr>
      <w:tr w:rsidR="009A37B2" w:rsidRPr="00683FF0" w14:paraId="34118D30" w14:textId="77777777" w:rsidTr="004412FC">
        <w:tc>
          <w:tcPr>
            <w:tcW w:w="4508" w:type="dxa"/>
          </w:tcPr>
          <w:p w14:paraId="02F8ACB8" w14:textId="652B4285" w:rsidR="009A37B2" w:rsidRPr="00683FF0" w:rsidRDefault="0077308A" w:rsidP="0083411E">
            <w:pPr>
              <w:rPr>
                <w:sz w:val="18"/>
                <w:szCs w:val="18"/>
              </w:rPr>
            </w:pPr>
            <w:r w:rsidRPr="00683FF0">
              <w:rPr>
                <w:sz w:val="18"/>
                <w:szCs w:val="18"/>
              </w:rPr>
              <w:t xml:space="preserve"> </w:t>
            </w:r>
          </w:p>
        </w:tc>
        <w:tc>
          <w:tcPr>
            <w:tcW w:w="4508" w:type="dxa"/>
          </w:tcPr>
          <w:p w14:paraId="2010B22A" w14:textId="77777777" w:rsidR="009A37B2" w:rsidRPr="00683FF0" w:rsidRDefault="009A37B2" w:rsidP="003A6358">
            <w:pPr>
              <w:pStyle w:val="TableText"/>
              <w:spacing w:before="40" w:after="40"/>
              <w:rPr>
                <w:b/>
                <w:bCs/>
              </w:rPr>
            </w:pPr>
            <w:r w:rsidRPr="00683FF0">
              <w:rPr>
                <w:b/>
                <w:bCs/>
              </w:rPr>
              <w:t xml:space="preserve">Responsible agency: </w:t>
            </w:r>
            <w:r w:rsidRPr="00683FF0">
              <w:t>Ministry for the Environment</w:t>
            </w:r>
          </w:p>
          <w:p w14:paraId="3B8FB76C" w14:textId="77777777" w:rsidR="009A37B2" w:rsidRPr="00683FF0" w:rsidRDefault="009A37B2" w:rsidP="003A6358">
            <w:pPr>
              <w:pStyle w:val="TableText"/>
              <w:spacing w:before="40" w:after="40"/>
              <w:rPr>
                <w:b/>
                <w:bCs/>
              </w:rPr>
            </w:pPr>
            <w:r w:rsidRPr="00683FF0">
              <w:rPr>
                <w:b/>
                <w:bCs/>
              </w:rPr>
              <w:t xml:space="preserve">Responsible Minister: </w:t>
            </w:r>
            <w:r w:rsidRPr="00683FF0">
              <w:t>Minister for the Environment</w:t>
            </w:r>
          </w:p>
          <w:p w14:paraId="1906C71E" w14:textId="721240BA" w:rsidR="009A37B2" w:rsidRPr="00683FF0" w:rsidRDefault="009A37B2" w:rsidP="00F84F13">
            <w:pPr>
              <w:pStyle w:val="TableText"/>
            </w:pPr>
            <w:r w:rsidRPr="00683FF0">
              <w:rPr>
                <w:b/>
                <w:bCs/>
              </w:rPr>
              <w:t xml:space="preserve">Timeline: </w:t>
            </w:r>
            <w:r w:rsidRPr="00683FF0">
              <w:t xml:space="preserve">2022-2025 (EB1) and ongoing </w:t>
            </w:r>
          </w:p>
        </w:tc>
      </w:tr>
    </w:tbl>
    <w:p w14:paraId="3E6C4729" w14:textId="11B8B8EB" w:rsidR="004C02DA" w:rsidRPr="00683FF0" w:rsidRDefault="004C02DA" w:rsidP="00F84F13">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3A6358" w:rsidRPr="00683FF0" w14:paraId="446A38BC" w14:textId="77777777" w:rsidTr="003A6358">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2A938C1C" w14:textId="35B920B5" w:rsidR="0083411E" w:rsidRPr="00683FF0" w:rsidRDefault="0083411E" w:rsidP="003A6358">
            <w:pPr>
              <w:pStyle w:val="TableTextbold"/>
              <w:rPr>
                <w:color w:val="FFFFFF" w:themeColor="background1"/>
              </w:rPr>
            </w:pPr>
            <w:r w:rsidRPr="00683FF0">
              <w:rPr>
                <w:color w:val="FFFFFF" w:themeColor="background1"/>
              </w:rPr>
              <w:t xml:space="preserve">Report </w:t>
            </w:r>
            <w:r w:rsidR="00221AE2"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7972CE88" w14:textId="1A2884B1" w:rsidR="0083411E" w:rsidRPr="00683FF0" w:rsidRDefault="0083411E" w:rsidP="003A6358">
            <w:pPr>
              <w:pStyle w:val="TableTextbold"/>
              <w:rPr>
                <w:color w:val="FFFFFF" w:themeColor="background1"/>
              </w:rPr>
            </w:pPr>
            <w:r w:rsidRPr="00683FF0">
              <w:rPr>
                <w:color w:val="FFFFFF" w:themeColor="background1"/>
              </w:rPr>
              <w:t xml:space="preserve">Government </w:t>
            </w:r>
            <w:r w:rsidR="00221AE2" w:rsidRPr="00683FF0">
              <w:rPr>
                <w:color w:val="FFFFFF" w:themeColor="background1"/>
              </w:rPr>
              <w:t>r</w:t>
            </w:r>
            <w:r w:rsidRPr="00683FF0">
              <w:rPr>
                <w:color w:val="FFFFFF" w:themeColor="background1"/>
              </w:rPr>
              <w:t>esponse</w:t>
            </w:r>
          </w:p>
        </w:tc>
      </w:tr>
      <w:tr w:rsidR="0083411E" w:rsidRPr="00683FF0" w14:paraId="02F0B814" w14:textId="77777777" w:rsidTr="003A6358">
        <w:tc>
          <w:tcPr>
            <w:tcW w:w="4508" w:type="dxa"/>
            <w:tcBorders>
              <w:top w:val="single" w:sz="4" w:space="0" w:color="1B556B" w:themeColor="text2"/>
              <w:bottom w:val="nil"/>
            </w:tcBorders>
            <w:shd w:val="clear" w:color="auto" w:fill="D2DDE1" w:themeFill="background2"/>
          </w:tcPr>
          <w:p w14:paraId="77D25675" w14:textId="6A064413" w:rsidR="0083411E" w:rsidRPr="00683FF0" w:rsidRDefault="0083411E" w:rsidP="003A6358">
            <w:pPr>
              <w:pStyle w:val="TableTextbold"/>
            </w:pPr>
            <w:r w:rsidRPr="00683FF0">
              <w:t>Recommendation 23 – Provisional</w:t>
            </w:r>
            <w:r w:rsidR="007B7469" w:rsidRPr="00683FF0">
              <w:t xml:space="preserve"> progress</w:t>
            </w:r>
            <w:r w:rsidRPr="00683FF0">
              <w:t xml:space="preserve"> indicators</w:t>
            </w:r>
          </w:p>
        </w:tc>
        <w:tc>
          <w:tcPr>
            <w:tcW w:w="4508" w:type="dxa"/>
            <w:tcBorders>
              <w:top w:val="single" w:sz="4" w:space="0" w:color="1B556B" w:themeColor="text2"/>
              <w:bottom w:val="nil"/>
            </w:tcBorders>
            <w:shd w:val="clear" w:color="auto" w:fill="D2DDE1" w:themeFill="background2"/>
          </w:tcPr>
          <w:p w14:paraId="5B4BB878" w14:textId="77777777" w:rsidR="0083411E" w:rsidRPr="00683FF0" w:rsidRDefault="0083411E" w:rsidP="003A6358">
            <w:pPr>
              <w:pStyle w:val="TableTextbold"/>
            </w:pPr>
          </w:p>
        </w:tc>
      </w:tr>
      <w:tr w:rsidR="0083411E" w:rsidRPr="00683FF0" w14:paraId="6730EA90" w14:textId="77777777" w:rsidTr="003A6358">
        <w:tc>
          <w:tcPr>
            <w:tcW w:w="4508" w:type="dxa"/>
            <w:tcBorders>
              <w:top w:val="nil"/>
            </w:tcBorders>
            <w:shd w:val="clear" w:color="auto" w:fill="FFFFFF" w:themeFill="background1"/>
          </w:tcPr>
          <w:p w14:paraId="67D27AA1" w14:textId="1DA341A1" w:rsidR="0083411E" w:rsidRPr="00683FF0" w:rsidRDefault="007B7469" w:rsidP="003A6358">
            <w:pPr>
              <w:pStyle w:val="TableText"/>
            </w:pPr>
            <w:r w:rsidRPr="00683FF0">
              <w:t>23.</w:t>
            </w:r>
            <w:r w:rsidR="00900609" w:rsidRPr="00683FF0">
              <w:t xml:space="preserve">1. </w:t>
            </w:r>
            <w:r w:rsidR="0083411E" w:rsidRPr="00683FF0">
              <w:t>Government to have, by 31 December 2022, finalised the revised waste strategy with goals to: a. reduce biogenic methane waste emissions to at least 40% below 2017 levels by 2035. b. Ensure, by 31 December 2026, that all landfills (except farm fills) that accept organic waste have effective gas capture systems. c. prioritise and fund ongoing data collection across the waste sector.</w:t>
            </w:r>
          </w:p>
        </w:tc>
        <w:tc>
          <w:tcPr>
            <w:tcW w:w="4508" w:type="dxa"/>
            <w:tcBorders>
              <w:top w:val="nil"/>
            </w:tcBorders>
            <w:shd w:val="clear" w:color="auto" w:fill="FFFFFF" w:themeFill="background1"/>
          </w:tcPr>
          <w:p w14:paraId="3908B369" w14:textId="70B8F392" w:rsidR="0083411E" w:rsidRPr="00683FF0" w:rsidRDefault="57E2C145" w:rsidP="003A6358">
            <w:pPr>
              <w:pStyle w:val="TableText"/>
              <w:spacing w:after="40"/>
            </w:pPr>
            <w:r w:rsidRPr="00683FF0">
              <w:rPr>
                <w:b/>
              </w:rPr>
              <w:t>23.</w:t>
            </w:r>
            <w:r w:rsidR="1722B9ED" w:rsidRPr="00683FF0">
              <w:rPr>
                <w:b/>
                <w:bCs/>
              </w:rPr>
              <w:t xml:space="preserve">1. The </w:t>
            </w:r>
            <w:r w:rsidR="6B07B634" w:rsidRPr="00683FF0">
              <w:rPr>
                <w:b/>
              </w:rPr>
              <w:t xml:space="preserve">Government agrees </w:t>
            </w:r>
            <w:r w:rsidR="57ABAB2E" w:rsidRPr="00683FF0">
              <w:rPr>
                <w:b/>
                <w:bCs/>
              </w:rPr>
              <w:t xml:space="preserve">in </w:t>
            </w:r>
            <w:r w:rsidR="0072381F" w:rsidRPr="00683FF0">
              <w:rPr>
                <w:b/>
                <w:bCs/>
              </w:rPr>
              <w:t>part</w:t>
            </w:r>
            <w:r w:rsidR="0072381F" w:rsidRPr="00683FF0">
              <w:rPr>
                <w:b/>
              </w:rPr>
              <w:t xml:space="preserve"> with</w:t>
            </w:r>
            <w:r w:rsidR="6B07B634" w:rsidRPr="00683FF0">
              <w:rPr>
                <w:b/>
              </w:rPr>
              <w:t xml:space="preserve"> </w:t>
            </w:r>
            <w:r w:rsidR="717F49E5" w:rsidRPr="00683FF0">
              <w:rPr>
                <w:b/>
              </w:rPr>
              <w:t>this</w:t>
            </w:r>
            <w:r w:rsidR="6B07B634" w:rsidRPr="00683FF0">
              <w:rPr>
                <w:b/>
              </w:rPr>
              <w:t xml:space="preserve"> </w:t>
            </w:r>
            <w:r w:rsidR="0072381F" w:rsidRPr="00683FF0">
              <w:rPr>
                <w:b/>
              </w:rPr>
              <w:t xml:space="preserve">set of provisional </w:t>
            </w:r>
            <w:r w:rsidR="007B7469" w:rsidRPr="00683FF0">
              <w:rPr>
                <w:b/>
              </w:rPr>
              <w:t xml:space="preserve">progress </w:t>
            </w:r>
            <w:r w:rsidR="0072381F" w:rsidRPr="00683FF0">
              <w:rPr>
                <w:b/>
              </w:rPr>
              <w:t>indicators</w:t>
            </w:r>
            <w:r w:rsidR="43AFB216" w:rsidRPr="00683FF0">
              <w:rPr>
                <w:b/>
              </w:rPr>
              <w:t>.</w:t>
            </w:r>
            <w:r w:rsidR="43AFB216" w:rsidRPr="00683FF0">
              <w:t xml:space="preserve"> The New Zealand Waste Strategy </w:t>
            </w:r>
            <w:r w:rsidR="717F49E5" w:rsidRPr="00683FF0">
              <w:t xml:space="preserve">is currently </w:t>
            </w:r>
            <w:r w:rsidR="6D795BCE" w:rsidRPr="00683FF0">
              <w:t xml:space="preserve">under revision, </w:t>
            </w:r>
            <w:r w:rsidR="00021C3C" w:rsidRPr="00683FF0">
              <w:t xml:space="preserve">following </w:t>
            </w:r>
            <w:r w:rsidR="6D795BCE" w:rsidRPr="00683FF0">
              <w:t xml:space="preserve">public consultation in late 2021. </w:t>
            </w:r>
            <w:r w:rsidR="4A5801EF" w:rsidRPr="00683FF0">
              <w:t>It is anticipated that th</w:t>
            </w:r>
            <w:r w:rsidR="00021C3C" w:rsidRPr="00683FF0">
              <w:t>e revised Waste Strategy</w:t>
            </w:r>
            <w:r w:rsidR="4A5801EF" w:rsidRPr="00683FF0">
              <w:t xml:space="preserve"> will be released in 2022</w:t>
            </w:r>
            <w:r w:rsidR="00021C3C" w:rsidRPr="00683FF0">
              <w:t xml:space="preserve"> and will include</w:t>
            </w:r>
            <w:r w:rsidR="4A5801EF" w:rsidRPr="00683FF0">
              <w:t xml:space="preserve"> targets for waste and biogenic methane emissions reductions.</w:t>
            </w:r>
          </w:p>
          <w:p w14:paraId="307AF880" w14:textId="02652121" w:rsidR="0083411E" w:rsidRPr="00683FF0" w:rsidRDefault="6D170E9D" w:rsidP="003A6358">
            <w:pPr>
              <w:pStyle w:val="TableText"/>
              <w:spacing w:after="40"/>
            </w:pPr>
            <w:r w:rsidRPr="00683FF0">
              <w:rPr>
                <w:b/>
                <w:bCs/>
              </w:rPr>
              <w:t>23.1.a</w:t>
            </w:r>
            <w:r w:rsidR="6A8F35FE" w:rsidRPr="00683FF0">
              <w:rPr>
                <w:b/>
                <w:bCs/>
              </w:rPr>
              <w:t>.</w:t>
            </w:r>
            <w:r w:rsidRPr="00683FF0">
              <w:t xml:space="preserve"> The waste sector actions </w:t>
            </w:r>
            <w:r w:rsidR="001564EC" w:rsidRPr="00683FF0">
              <w:t xml:space="preserve">in the </w:t>
            </w:r>
            <w:r w:rsidR="001961D7" w:rsidRPr="00683FF0">
              <w:t>emissions reduction plan</w:t>
            </w:r>
            <w:r w:rsidR="001564EC" w:rsidRPr="00683FF0">
              <w:t xml:space="preserve"> </w:t>
            </w:r>
            <w:r w:rsidRPr="00683FF0">
              <w:t xml:space="preserve">place us on a pathway to </w:t>
            </w:r>
            <w:r w:rsidR="5561A641" w:rsidRPr="00683FF0">
              <w:t xml:space="preserve">reduce biogenic methane waste emissions </w:t>
            </w:r>
            <w:r w:rsidR="004633A1" w:rsidRPr="00683FF0">
              <w:t>in line with th</w:t>
            </w:r>
            <w:r w:rsidR="009161C8" w:rsidRPr="00683FF0">
              <w:t>is</w:t>
            </w:r>
            <w:r w:rsidR="004633A1" w:rsidRPr="00683FF0">
              <w:t xml:space="preserve"> </w:t>
            </w:r>
            <w:r w:rsidR="00D052B0" w:rsidRPr="00683FF0">
              <w:t>provisional</w:t>
            </w:r>
            <w:r w:rsidR="00E03880" w:rsidRPr="00683FF0">
              <w:t xml:space="preserve"> progress</w:t>
            </w:r>
            <w:r w:rsidR="00D052B0" w:rsidRPr="00683FF0">
              <w:t xml:space="preserve"> indicator</w:t>
            </w:r>
            <w:r w:rsidR="2C6778CE" w:rsidRPr="00683FF0">
              <w:t>.</w:t>
            </w:r>
          </w:p>
          <w:p w14:paraId="7638F860" w14:textId="4F0113D3" w:rsidR="0083411E" w:rsidRPr="00683FF0" w:rsidRDefault="764216AE" w:rsidP="003A6358">
            <w:pPr>
              <w:pStyle w:val="TableText"/>
              <w:spacing w:after="40"/>
            </w:pPr>
            <w:r w:rsidRPr="00683FF0">
              <w:rPr>
                <w:b/>
                <w:bCs/>
              </w:rPr>
              <w:t>23.1.b</w:t>
            </w:r>
            <w:r w:rsidR="6A8F35FE" w:rsidRPr="00683FF0">
              <w:rPr>
                <w:b/>
                <w:bCs/>
              </w:rPr>
              <w:t>.</w:t>
            </w:r>
            <w:r w:rsidRPr="00683FF0">
              <w:t xml:space="preserve"> </w:t>
            </w:r>
            <w:r w:rsidR="0011004F" w:rsidRPr="00683FF0">
              <w:t xml:space="preserve">The Government’s </w:t>
            </w:r>
            <w:r w:rsidR="2EFF2B7E" w:rsidRPr="00683FF0">
              <w:t xml:space="preserve">approach to the implementation of landfill gas capture </w:t>
            </w:r>
            <w:r w:rsidR="005E2E60" w:rsidRPr="00683FF0">
              <w:t xml:space="preserve">for municipal </w:t>
            </w:r>
            <w:r w:rsidR="00235293" w:rsidRPr="00683FF0">
              <w:t>(</w:t>
            </w:r>
            <w:r w:rsidR="00D630F2" w:rsidRPr="00683FF0">
              <w:t>C</w:t>
            </w:r>
            <w:r w:rsidR="00235293" w:rsidRPr="00683FF0">
              <w:t>lass</w:t>
            </w:r>
            <w:r w:rsidR="00E03880" w:rsidRPr="00683FF0">
              <w:t> </w:t>
            </w:r>
            <w:r w:rsidR="00235293" w:rsidRPr="00683FF0">
              <w:t xml:space="preserve">1) landfills </w:t>
            </w:r>
            <w:r w:rsidR="2EFF2B7E" w:rsidRPr="00683FF0">
              <w:t xml:space="preserve">aligns with the </w:t>
            </w:r>
            <w:r w:rsidR="39CF41C9" w:rsidRPr="00683FF0">
              <w:t>recommended timeframe.</w:t>
            </w:r>
            <w:r w:rsidR="2EFF2B7E" w:rsidRPr="00683FF0">
              <w:t xml:space="preserve"> </w:t>
            </w:r>
            <w:r w:rsidR="0FE8206C" w:rsidRPr="00683FF0">
              <w:t xml:space="preserve">However, further data and evidence work must be completed before </w:t>
            </w:r>
            <w:r w:rsidR="0011004F" w:rsidRPr="00683FF0">
              <w:t xml:space="preserve">the Government </w:t>
            </w:r>
            <w:r w:rsidR="0FE8206C" w:rsidRPr="00683FF0">
              <w:t>consider</w:t>
            </w:r>
            <w:r w:rsidR="0011004F" w:rsidRPr="00683FF0">
              <w:t>s</w:t>
            </w:r>
            <w:r w:rsidR="0FE8206C" w:rsidRPr="00683FF0">
              <w:t xml:space="preserve"> policies that mandate this across all landfill types. </w:t>
            </w:r>
            <w:r w:rsidR="003D5DCA" w:rsidRPr="00683FF0">
              <w:br/>
            </w:r>
          </w:p>
          <w:p w14:paraId="10B76882" w14:textId="121B74E6" w:rsidR="0083411E" w:rsidRPr="00683FF0" w:rsidRDefault="4D4880B3" w:rsidP="003A6358">
            <w:pPr>
              <w:pStyle w:val="TableText"/>
            </w:pPr>
            <w:r w:rsidRPr="00683FF0">
              <w:rPr>
                <w:b/>
                <w:bCs/>
              </w:rPr>
              <w:lastRenderedPageBreak/>
              <w:t xml:space="preserve">23.1.c. </w:t>
            </w:r>
            <w:r w:rsidRPr="00683FF0">
              <w:t>The Ministry for the Environment ha</w:t>
            </w:r>
            <w:r w:rsidR="00557C90" w:rsidRPr="00683FF0">
              <w:t>s</w:t>
            </w:r>
            <w:r w:rsidRPr="00683FF0">
              <w:t xml:space="preserve"> committed to ongoing waste data collection improvements, including new regulations due to come</w:t>
            </w:r>
            <w:r w:rsidR="007C3531" w:rsidRPr="00683FF0">
              <w:t> </w:t>
            </w:r>
            <w:r w:rsidRPr="00683FF0">
              <w:t>into effect in</w:t>
            </w:r>
            <w:r w:rsidR="1B12D9A6" w:rsidRPr="00683FF0">
              <w:t xml:space="preserve"> 2023 for mandatory reporting for territorial authorities, updated conversion factors for</w:t>
            </w:r>
            <w:r w:rsidR="007C3531" w:rsidRPr="00683FF0">
              <w:t> </w:t>
            </w:r>
            <w:r w:rsidR="1B12D9A6" w:rsidRPr="00683FF0">
              <w:t>waste tonnages and activity source reporting.</w:t>
            </w:r>
            <w:r w:rsidR="00375BD9" w:rsidRPr="00683FF0">
              <w:t xml:space="preserve"> </w:t>
            </w:r>
            <w:r w:rsidR="00D30EF8" w:rsidRPr="00683FF0">
              <w:t>In a</w:t>
            </w:r>
            <w:r w:rsidR="00106390" w:rsidRPr="00683FF0">
              <w:t>ddition,</w:t>
            </w:r>
            <w:r w:rsidR="00981FAF" w:rsidRPr="00683FF0">
              <w:t xml:space="preserve"> </w:t>
            </w:r>
            <w:r w:rsidR="00106390" w:rsidRPr="00683FF0">
              <w:t xml:space="preserve">investment in </w:t>
            </w:r>
            <w:r w:rsidR="00375BD9" w:rsidRPr="00683FF0">
              <w:t xml:space="preserve">a </w:t>
            </w:r>
            <w:r w:rsidR="00375BD9" w:rsidRPr="00683FF0">
              <w:rPr>
                <w:rFonts w:eastAsia="Times New Roman"/>
              </w:rPr>
              <w:t>national data collection and reporting programme on emissions reductions from waste</w:t>
            </w:r>
            <w:r w:rsidR="00D30EF8" w:rsidRPr="00683FF0">
              <w:rPr>
                <w:rFonts w:eastAsia="Times New Roman"/>
              </w:rPr>
              <w:t xml:space="preserve"> will be </w:t>
            </w:r>
            <w:r w:rsidR="004A1CA8" w:rsidRPr="00683FF0">
              <w:rPr>
                <w:rFonts w:eastAsia="Times New Roman"/>
              </w:rPr>
              <w:t xml:space="preserve">implemented as part of the </w:t>
            </w:r>
            <w:r w:rsidR="001961D7" w:rsidRPr="00683FF0">
              <w:t>emissions reduction plan</w:t>
            </w:r>
            <w:r w:rsidR="00D30EF8" w:rsidRPr="00683FF0">
              <w:rPr>
                <w:rFonts w:eastAsia="Times New Roman"/>
              </w:rPr>
              <w:t>.</w:t>
            </w:r>
          </w:p>
        </w:tc>
      </w:tr>
      <w:tr w:rsidR="0083411E" w:rsidRPr="00683FF0" w14:paraId="4AEFEC44" w14:textId="77777777" w:rsidTr="003A6358">
        <w:tc>
          <w:tcPr>
            <w:tcW w:w="4508" w:type="dxa"/>
          </w:tcPr>
          <w:p w14:paraId="5AA37E03" w14:textId="59BA9BCE" w:rsidR="0083411E" w:rsidRPr="00683FF0" w:rsidRDefault="007B7469" w:rsidP="003A6358">
            <w:pPr>
              <w:pStyle w:val="TableText"/>
            </w:pPr>
            <w:r w:rsidRPr="00683FF0">
              <w:lastRenderedPageBreak/>
              <w:t>23.</w:t>
            </w:r>
            <w:r w:rsidR="00900609" w:rsidRPr="00683FF0">
              <w:t>2.</w:t>
            </w:r>
            <w:r w:rsidR="0083411E" w:rsidRPr="00683FF0">
              <w:t xml:space="preserve"> Government to publish, from 31 December 2023, annual waste statistics that track waste flows from generation to disposal across all landfill types.</w:t>
            </w:r>
          </w:p>
        </w:tc>
        <w:tc>
          <w:tcPr>
            <w:tcW w:w="4508" w:type="dxa"/>
          </w:tcPr>
          <w:p w14:paraId="4D2621EA" w14:textId="61487B8A" w:rsidR="0083411E" w:rsidRPr="00683FF0" w:rsidRDefault="4AFEAE97" w:rsidP="003A6358">
            <w:pPr>
              <w:pStyle w:val="TableText"/>
            </w:pPr>
            <w:r w:rsidRPr="00683FF0">
              <w:rPr>
                <w:b/>
              </w:rPr>
              <w:t>23.2</w:t>
            </w:r>
            <w:r w:rsidR="00D630F2" w:rsidRPr="00683FF0">
              <w:rPr>
                <w:b/>
              </w:rPr>
              <w:t>.</w:t>
            </w:r>
            <w:r w:rsidRPr="00683FF0">
              <w:rPr>
                <w:b/>
              </w:rPr>
              <w:t xml:space="preserve"> The Government agrees </w:t>
            </w:r>
            <w:r w:rsidR="0072381F" w:rsidRPr="00683FF0">
              <w:rPr>
                <w:b/>
              </w:rPr>
              <w:t>in p</w:t>
            </w:r>
            <w:r w:rsidR="000E5CA3" w:rsidRPr="00683FF0">
              <w:rPr>
                <w:b/>
              </w:rPr>
              <w:t>art</w:t>
            </w:r>
            <w:r w:rsidR="0072381F" w:rsidRPr="00683FF0">
              <w:rPr>
                <w:b/>
              </w:rPr>
              <w:t xml:space="preserve"> </w:t>
            </w:r>
            <w:r w:rsidRPr="00683FF0">
              <w:rPr>
                <w:b/>
              </w:rPr>
              <w:t xml:space="preserve">with this </w:t>
            </w:r>
            <w:r w:rsidR="00B355B7" w:rsidRPr="00683FF0">
              <w:rPr>
                <w:b/>
              </w:rPr>
              <w:t>provisional</w:t>
            </w:r>
            <w:r w:rsidR="0011004F" w:rsidRPr="00683FF0">
              <w:rPr>
                <w:b/>
              </w:rPr>
              <w:t xml:space="preserve"> progress</w:t>
            </w:r>
            <w:r w:rsidR="00B355B7" w:rsidRPr="00683FF0">
              <w:rPr>
                <w:b/>
              </w:rPr>
              <w:t xml:space="preserve"> indicator</w:t>
            </w:r>
            <w:r w:rsidR="00436AC1" w:rsidRPr="00683FF0">
              <w:rPr>
                <w:b/>
              </w:rPr>
              <w:t xml:space="preserve">. </w:t>
            </w:r>
            <w:r w:rsidR="1C6CF230" w:rsidRPr="00683FF0">
              <w:t>The Ministry for the Environment currently publishes</w:t>
            </w:r>
            <w:r w:rsidR="4334AF7C" w:rsidRPr="00683FF0">
              <w:t xml:space="preserve"> </w:t>
            </w:r>
            <w:r w:rsidR="274DBD48" w:rsidRPr="00683FF0">
              <w:t xml:space="preserve">waste data on </w:t>
            </w:r>
            <w:r w:rsidR="1370AE09" w:rsidRPr="00683FF0">
              <w:t>the</w:t>
            </w:r>
            <w:r w:rsidR="007C3531" w:rsidRPr="00683FF0">
              <w:t> </w:t>
            </w:r>
            <w:r w:rsidR="592149F5" w:rsidRPr="00683FF0">
              <w:t xml:space="preserve">environment.govt.nz website. </w:t>
            </w:r>
            <w:r w:rsidR="006E3FBF" w:rsidRPr="00683FF0">
              <w:t xml:space="preserve">It </w:t>
            </w:r>
            <w:r w:rsidR="592149F5" w:rsidRPr="00683FF0">
              <w:t>will continue</w:t>
            </w:r>
            <w:r w:rsidR="006E3FBF" w:rsidRPr="00683FF0">
              <w:t xml:space="preserve"> to do</w:t>
            </w:r>
            <w:r w:rsidR="007C3531" w:rsidRPr="00683FF0">
              <w:t> </w:t>
            </w:r>
            <w:r w:rsidR="006E3FBF" w:rsidRPr="00683FF0">
              <w:t>so</w:t>
            </w:r>
            <w:r w:rsidR="592149F5" w:rsidRPr="00683FF0">
              <w:t>,</w:t>
            </w:r>
            <w:r w:rsidR="007C3531" w:rsidRPr="00683FF0">
              <w:t> </w:t>
            </w:r>
            <w:r w:rsidR="592149F5" w:rsidRPr="00683FF0">
              <w:t xml:space="preserve">and from 31 December 2023 all available </w:t>
            </w:r>
            <w:r w:rsidR="7706BE62" w:rsidRPr="00683FF0">
              <w:t>waste</w:t>
            </w:r>
            <w:r w:rsidR="007C3531" w:rsidRPr="00683FF0">
              <w:t> </w:t>
            </w:r>
            <w:r w:rsidR="7706BE62" w:rsidRPr="00683FF0">
              <w:t>statistics will be published</w:t>
            </w:r>
            <w:r w:rsidR="7E33DBB2" w:rsidRPr="00683FF0">
              <w:t xml:space="preserve">. As </w:t>
            </w:r>
            <w:r w:rsidR="008B6651" w:rsidRPr="00683FF0">
              <w:t xml:space="preserve">the </w:t>
            </w:r>
            <w:r w:rsidR="7E33DBB2" w:rsidRPr="00683FF0">
              <w:t>waste data regulations expand</w:t>
            </w:r>
            <w:r w:rsidR="6659C801" w:rsidRPr="00683FF0">
              <w:t>, the types of data available will</w:t>
            </w:r>
            <w:r w:rsidR="007C3531" w:rsidRPr="00683FF0">
              <w:t> </w:t>
            </w:r>
            <w:r w:rsidR="6659C801" w:rsidRPr="00683FF0">
              <w:t>increase.</w:t>
            </w:r>
            <w:r w:rsidR="7E33DBB2" w:rsidRPr="00683FF0">
              <w:t xml:space="preserve"> </w:t>
            </w:r>
          </w:p>
        </w:tc>
      </w:tr>
    </w:tbl>
    <w:p w14:paraId="064C740F" w14:textId="49B74004" w:rsidR="50E302AE" w:rsidRPr="00683FF0" w:rsidRDefault="50E302AE"/>
    <w:p w14:paraId="769AC564" w14:textId="77777777" w:rsidR="0083411E" w:rsidRPr="00683FF0" w:rsidRDefault="0083411E" w:rsidP="004C02DA"/>
    <w:p w14:paraId="30ABF4BA" w14:textId="77777777" w:rsidR="00AB6168" w:rsidRPr="00683FF0" w:rsidRDefault="00AB6168">
      <w:pPr>
        <w:rPr>
          <w:rFonts w:asciiTheme="majorHAnsi" w:eastAsiaTheme="majorEastAsia" w:hAnsiTheme="majorHAnsi" w:cstheme="majorBidi"/>
          <w:color w:val="153F50" w:themeColor="accent1" w:themeShade="BF"/>
          <w:sz w:val="32"/>
          <w:szCs w:val="32"/>
        </w:rPr>
      </w:pPr>
      <w:r w:rsidRPr="00683FF0">
        <w:br w:type="page"/>
      </w:r>
    </w:p>
    <w:p w14:paraId="2FE71AD3" w14:textId="34B85638" w:rsidR="004C02DA" w:rsidRPr="00683FF0" w:rsidRDefault="00180B6A" w:rsidP="004C02DA">
      <w:pPr>
        <w:pStyle w:val="Heading1"/>
      </w:pPr>
      <w:bookmarkStart w:id="50" w:name="_Toc103175839"/>
      <w:bookmarkStart w:id="51" w:name="_Toc103778802"/>
      <w:r w:rsidRPr="00683FF0">
        <w:lastRenderedPageBreak/>
        <w:t xml:space="preserve">Recommendation 24: </w:t>
      </w:r>
      <w:r w:rsidR="007C3531" w:rsidRPr="00683FF0">
        <w:br/>
      </w:r>
      <w:r w:rsidR="00AB6168" w:rsidRPr="00683FF0">
        <w:t>Policy direction for a</w:t>
      </w:r>
      <w:r w:rsidR="004C02DA" w:rsidRPr="00683FF0">
        <w:t>griculture</w:t>
      </w:r>
      <w:bookmarkEnd w:id="50"/>
      <w:bookmarkEnd w:id="51"/>
      <w:r w:rsidR="004C02DA"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6449DF" w:rsidRPr="00683FF0" w14:paraId="5FA2F11D" w14:textId="77777777" w:rsidTr="006449DF">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775F396E" w14:textId="3AA47225" w:rsidR="001E7E77" w:rsidRPr="00683FF0" w:rsidRDefault="001E7E77" w:rsidP="006449DF">
            <w:pPr>
              <w:pStyle w:val="TableTextbold"/>
              <w:rPr>
                <w:color w:val="FFFFFF" w:themeColor="background1"/>
              </w:rPr>
            </w:pPr>
            <w:r w:rsidRPr="00683FF0">
              <w:rPr>
                <w:color w:val="FFFFFF" w:themeColor="background1"/>
              </w:rPr>
              <w:t xml:space="preserve">Report </w:t>
            </w:r>
            <w:r w:rsidR="006E3FBF"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1B2B1A76" w14:textId="51BBB667" w:rsidR="001E7E77" w:rsidRPr="00683FF0" w:rsidRDefault="001E7E77" w:rsidP="006449DF">
            <w:pPr>
              <w:pStyle w:val="TableTextbold"/>
              <w:rPr>
                <w:color w:val="FFFFFF" w:themeColor="background1"/>
              </w:rPr>
            </w:pPr>
            <w:r w:rsidRPr="00683FF0">
              <w:rPr>
                <w:color w:val="FFFFFF" w:themeColor="background1"/>
              </w:rPr>
              <w:t xml:space="preserve">Government </w:t>
            </w:r>
            <w:r w:rsidR="006E3FBF" w:rsidRPr="00683FF0">
              <w:rPr>
                <w:color w:val="FFFFFF" w:themeColor="background1"/>
              </w:rPr>
              <w:t>r</w:t>
            </w:r>
            <w:r w:rsidRPr="00683FF0">
              <w:rPr>
                <w:color w:val="FFFFFF" w:themeColor="background1"/>
              </w:rPr>
              <w:t>esponse</w:t>
            </w:r>
          </w:p>
        </w:tc>
      </w:tr>
      <w:tr w:rsidR="001E7E77" w:rsidRPr="00683FF0" w14:paraId="1FF6203D" w14:textId="77777777" w:rsidTr="006449DF">
        <w:tc>
          <w:tcPr>
            <w:tcW w:w="4508" w:type="dxa"/>
            <w:tcBorders>
              <w:top w:val="single" w:sz="4" w:space="0" w:color="1B556B" w:themeColor="text2"/>
            </w:tcBorders>
          </w:tcPr>
          <w:p w14:paraId="0908D3FC" w14:textId="2BD4BFDC" w:rsidR="001E7E77" w:rsidRPr="00683FF0" w:rsidRDefault="001E7E77" w:rsidP="006449DF">
            <w:pPr>
              <w:pStyle w:val="TableTextbold"/>
              <w:spacing w:after="0"/>
            </w:pPr>
            <w:r w:rsidRPr="00683FF0">
              <w:t xml:space="preserve">Recommendation 24 – Reduce emissions from agriculture </w:t>
            </w:r>
          </w:p>
          <w:p w14:paraId="32B913FC" w14:textId="3B113AB0" w:rsidR="001E7E77" w:rsidRPr="00683FF0" w:rsidRDefault="001E7E77" w:rsidP="006449DF">
            <w:pPr>
              <w:pStyle w:val="TableText"/>
            </w:pPr>
            <w:r w:rsidRPr="00683FF0">
              <w:t>We recommend that, in the first emissions reduction plan, the Government commit to: Accelerating reductions in agricultural emissions by rolling out policies, incentives and tools, and investing to create future emissions reduction options. This should include the Government:</w:t>
            </w:r>
          </w:p>
        </w:tc>
        <w:tc>
          <w:tcPr>
            <w:tcW w:w="4508" w:type="dxa"/>
            <w:tcBorders>
              <w:top w:val="single" w:sz="4" w:space="0" w:color="1B556B" w:themeColor="text2"/>
            </w:tcBorders>
          </w:tcPr>
          <w:p w14:paraId="01406F2F" w14:textId="77777777" w:rsidR="001E7E77" w:rsidRPr="00683FF0" w:rsidRDefault="001E7E77" w:rsidP="006449DF">
            <w:pPr>
              <w:pStyle w:val="TableText"/>
            </w:pPr>
          </w:p>
        </w:tc>
      </w:tr>
      <w:tr w:rsidR="001E7E77" w:rsidRPr="00683FF0" w14:paraId="1C255C5D" w14:textId="77777777" w:rsidTr="006449DF">
        <w:tc>
          <w:tcPr>
            <w:tcW w:w="4508" w:type="dxa"/>
          </w:tcPr>
          <w:p w14:paraId="74CC03C6" w14:textId="5EC8B678" w:rsidR="001E7E77" w:rsidRPr="00683FF0" w:rsidRDefault="001E7E77" w:rsidP="006449DF">
            <w:pPr>
              <w:pStyle w:val="TableText"/>
            </w:pPr>
            <w:r w:rsidRPr="00683FF0">
              <w:t>24.1</w:t>
            </w:r>
            <w:r w:rsidR="001F1988" w:rsidRPr="00683FF0">
              <w:t>.</w:t>
            </w:r>
            <w:r w:rsidRPr="00683FF0">
              <w:t xml:space="preserve"> Following through on its legislated commitment to decide in 2022 on a pricing mechanism for agricultural emissions, to avoid ongoing uncertainty which will deter farmers and growers from reducing emissions in the short term. The design of this pricing mechanism: </w:t>
            </w:r>
          </w:p>
          <w:p w14:paraId="5A247347" w14:textId="10033D99" w:rsidR="001E7E77" w:rsidRPr="00683FF0" w:rsidRDefault="001E7E77" w:rsidP="00D21268">
            <w:pPr>
              <w:pStyle w:val="TableText"/>
              <w:numPr>
                <w:ilvl w:val="0"/>
                <w:numId w:val="37"/>
              </w:numPr>
              <w:spacing w:before="0"/>
              <w:ind w:left="284" w:hanging="284"/>
            </w:pPr>
            <w:r w:rsidRPr="00683FF0">
              <w:t xml:space="preserve">Must be both suited to the characteristics of the sector and capable of driving emissions reductions in line with emissions budgets and targets. </w:t>
            </w:r>
          </w:p>
          <w:p w14:paraId="15C8728C" w14:textId="295179C4" w:rsidR="001E7E77" w:rsidRPr="00683FF0" w:rsidRDefault="2AF547AC" w:rsidP="00D21268">
            <w:pPr>
              <w:pStyle w:val="TableText"/>
              <w:numPr>
                <w:ilvl w:val="0"/>
                <w:numId w:val="37"/>
              </w:numPr>
              <w:spacing w:before="0"/>
              <w:ind w:left="284" w:hanging="284"/>
            </w:pPr>
            <w:r w:rsidRPr="00683FF0">
              <w:t>Must not disproportionately disadvantage or compound historical grievances for Iwi/Māori and must factor in the unique characteristics of Māori collectively-owned land and Māori collectives. This is particularly important in the design of any methods for providing assistance to participants in the pricing mechanism.</w:t>
            </w:r>
          </w:p>
        </w:tc>
        <w:tc>
          <w:tcPr>
            <w:tcW w:w="4508" w:type="dxa"/>
          </w:tcPr>
          <w:p w14:paraId="7B876E27" w14:textId="64B5B53E" w:rsidR="001E7E77" w:rsidRPr="00683FF0" w:rsidRDefault="00A636B1" w:rsidP="006449DF">
            <w:pPr>
              <w:pStyle w:val="TableText"/>
              <w:spacing w:after="40"/>
            </w:pPr>
            <w:r w:rsidRPr="00683FF0">
              <w:rPr>
                <w:rFonts w:cstheme="minorHAnsi"/>
                <w:b/>
                <w:bCs/>
              </w:rPr>
              <w:t>24.1</w:t>
            </w:r>
            <w:r w:rsidR="00F44CC0" w:rsidRPr="00683FF0">
              <w:rPr>
                <w:rFonts w:cstheme="minorHAnsi"/>
                <w:b/>
                <w:bCs/>
              </w:rPr>
              <w:t>.</w:t>
            </w:r>
            <w:r w:rsidRPr="00683FF0">
              <w:rPr>
                <w:rFonts w:cstheme="minorHAnsi"/>
              </w:rPr>
              <w:t xml:space="preserve"> </w:t>
            </w:r>
            <w:r w:rsidR="009121D5" w:rsidRPr="00683FF0">
              <w:rPr>
                <w:b/>
                <w:bCs/>
              </w:rPr>
              <w:t>The Government agrees with this recommendation.</w:t>
            </w:r>
            <w:r w:rsidR="006E3FBF" w:rsidRPr="00683FF0">
              <w:t xml:space="preserve"> </w:t>
            </w:r>
            <w:r w:rsidR="193BF607" w:rsidRPr="00683FF0">
              <w:t>Address</w:t>
            </w:r>
            <w:r w:rsidR="003A39C2" w:rsidRPr="00683FF0">
              <w:t>ing this recommendation</w:t>
            </w:r>
            <w:r w:rsidR="193BF607" w:rsidRPr="00683FF0">
              <w:t xml:space="preserve"> through He Waka Eke Noa </w:t>
            </w:r>
            <w:r w:rsidR="006810B5" w:rsidRPr="00683FF0">
              <w:t xml:space="preserve">– </w:t>
            </w:r>
            <w:r w:rsidR="193BF607" w:rsidRPr="00683FF0">
              <w:t>Primary Sector Climate Action Partnership (He Waka Eke Noa)</w:t>
            </w:r>
            <w:r w:rsidR="00615759" w:rsidRPr="00683FF0">
              <w:t>, the</w:t>
            </w:r>
            <w:r w:rsidR="193BF607" w:rsidRPr="00683FF0">
              <w:t xml:space="preserve"> Government is working with industry and Māori to design a pricing mechanism, to be implemented from 2025. </w:t>
            </w:r>
            <w:r w:rsidR="00615759" w:rsidRPr="00683FF0">
              <w:t xml:space="preserve">The </w:t>
            </w:r>
            <w:r w:rsidR="193BF607" w:rsidRPr="00683FF0">
              <w:t xml:space="preserve">Government will </w:t>
            </w:r>
            <w:r w:rsidR="00615759" w:rsidRPr="00683FF0">
              <w:t>m</w:t>
            </w:r>
            <w:r w:rsidR="193BF607" w:rsidRPr="00683FF0">
              <w:t>ake final decisions by the end of 2022. Budget 2022 provided one year</w:t>
            </w:r>
            <w:r w:rsidR="00615759" w:rsidRPr="00683FF0">
              <w:t>’</w:t>
            </w:r>
            <w:r w:rsidR="193BF607" w:rsidRPr="00683FF0">
              <w:t>s funding to support essential work to enable decisions on agriculture emissions pricing in 2022. In addition, in support of the pricing mechanism adopted, all producers will have emissions reports by the end of 2022 and a farm plan in place by 2025</w:t>
            </w:r>
            <w:r w:rsidR="6421E725" w:rsidRPr="00683FF0">
              <w:t xml:space="preserve"> (</w:t>
            </w:r>
            <w:r w:rsidR="00615759" w:rsidRPr="00683FF0">
              <w:t>c</w:t>
            </w:r>
            <w:r w:rsidR="6421E725" w:rsidRPr="00683FF0">
              <w:t>hapter 13</w:t>
            </w:r>
            <w:r w:rsidR="00615759" w:rsidRPr="00683FF0">
              <w:t>:</w:t>
            </w:r>
            <w:r w:rsidR="004C5868" w:rsidRPr="00683FF0">
              <w:t xml:space="preserve"> </w:t>
            </w:r>
            <w:r w:rsidR="6421E725" w:rsidRPr="00683FF0">
              <w:t>Agriculture</w:t>
            </w:r>
            <w:r w:rsidR="00615759" w:rsidRPr="00683FF0">
              <w:t>,</w:t>
            </w:r>
            <w:r w:rsidR="6421E725" w:rsidRPr="00683FF0">
              <w:t xml:space="preserve"> actions </w:t>
            </w:r>
            <w:r w:rsidR="00284705" w:rsidRPr="00683FF0">
              <w:t>13.</w:t>
            </w:r>
            <w:r w:rsidR="6421E725" w:rsidRPr="00683FF0">
              <w:t>1.1</w:t>
            </w:r>
            <w:r w:rsidR="00E03FCC" w:rsidRPr="00683FF0">
              <w:t>,</w:t>
            </w:r>
            <w:r w:rsidR="6421E725" w:rsidRPr="00683FF0">
              <w:t xml:space="preserve"> </w:t>
            </w:r>
            <w:r w:rsidR="00284705" w:rsidRPr="00683FF0">
              <w:t>13.</w:t>
            </w:r>
            <w:r w:rsidR="6421E725" w:rsidRPr="00683FF0">
              <w:t>1.2).</w:t>
            </w:r>
          </w:p>
          <w:p w14:paraId="21CC5F1E" w14:textId="3C8707C9" w:rsidR="002602A0" w:rsidRPr="00683FF0" w:rsidRDefault="7BF52D2A" w:rsidP="006449DF">
            <w:pPr>
              <w:pStyle w:val="TableText"/>
              <w:spacing w:after="40"/>
            </w:pPr>
            <w:r w:rsidRPr="00683FF0">
              <w:rPr>
                <w:b/>
                <w:bCs/>
              </w:rPr>
              <w:t xml:space="preserve">24.1.a. </w:t>
            </w:r>
            <w:r w:rsidR="0388228D" w:rsidRPr="00683FF0">
              <w:rPr>
                <w:b/>
                <w:bCs/>
              </w:rPr>
              <w:t>The Government agrees with this recommendation.</w:t>
            </w:r>
            <w:r w:rsidRPr="00683FF0">
              <w:rPr>
                <w:b/>
                <w:bCs/>
              </w:rPr>
              <w:t xml:space="preserve"> </w:t>
            </w:r>
            <w:r w:rsidR="6421E725" w:rsidRPr="00683FF0">
              <w:t>In addition to the</w:t>
            </w:r>
            <w:r w:rsidR="00F44CC0" w:rsidRPr="00683FF0">
              <w:t xml:space="preserve"> broad</w:t>
            </w:r>
            <w:r w:rsidR="6421E725" w:rsidRPr="00683FF0">
              <w:t xml:space="preserve"> response to</w:t>
            </w:r>
            <w:r w:rsidR="007C3531" w:rsidRPr="00683FF0">
              <w:t> </w:t>
            </w:r>
            <w:r w:rsidR="00C54A32" w:rsidRPr="00683FF0">
              <w:t>recommendation</w:t>
            </w:r>
            <w:r w:rsidR="6421E725" w:rsidRPr="00683FF0">
              <w:t xml:space="preserve"> 24.1</w:t>
            </w:r>
            <w:r w:rsidR="00F44CC0" w:rsidRPr="00683FF0">
              <w:t xml:space="preserve"> above</w:t>
            </w:r>
            <w:r w:rsidR="6421E725" w:rsidRPr="00683FF0">
              <w:t xml:space="preserve">, </w:t>
            </w:r>
            <w:r w:rsidR="5F3A5DC0" w:rsidRPr="00683FF0">
              <w:t>the Government</w:t>
            </w:r>
            <w:r w:rsidR="6421E725" w:rsidRPr="00683FF0">
              <w:t xml:space="preserve"> </w:t>
            </w:r>
            <w:r w:rsidR="5F3A5DC0" w:rsidRPr="00683FF0">
              <w:t xml:space="preserve">is considering support for early </w:t>
            </w:r>
            <w:r w:rsidR="6421E725" w:rsidRPr="00683FF0">
              <w:t xml:space="preserve">adoption of available mitigation technologies and practices </w:t>
            </w:r>
            <w:r w:rsidR="00E93D73" w:rsidRPr="00683FF0">
              <w:t>before</w:t>
            </w:r>
            <w:r w:rsidR="6421E725" w:rsidRPr="00683FF0">
              <w:t xml:space="preserve"> the introduction of an emission</w:t>
            </w:r>
            <w:r w:rsidR="00C54A32" w:rsidRPr="00683FF0">
              <w:t>s</w:t>
            </w:r>
            <w:r w:rsidR="6421E725" w:rsidRPr="00683FF0">
              <w:t xml:space="preserve"> price (</w:t>
            </w:r>
            <w:r w:rsidR="00C54A32" w:rsidRPr="00683FF0">
              <w:t>c</w:t>
            </w:r>
            <w:r w:rsidR="6421E725" w:rsidRPr="00683FF0">
              <w:t>hapter 13</w:t>
            </w:r>
            <w:r w:rsidR="00C54A32" w:rsidRPr="00683FF0">
              <w:t xml:space="preserve">: </w:t>
            </w:r>
            <w:r w:rsidR="6421E725" w:rsidRPr="00683FF0">
              <w:t>Agriculture</w:t>
            </w:r>
            <w:r w:rsidR="00C54A32" w:rsidRPr="00683FF0">
              <w:t>,</w:t>
            </w:r>
            <w:r w:rsidR="6421E725" w:rsidRPr="00683FF0">
              <w:t xml:space="preserve"> action </w:t>
            </w:r>
            <w:r w:rsidR="00284705" w:rsidRPr="00683FF0">
              <w:t>13.</w:t>
            </w:r>
            <w:r w:rsidR="6421E725" w:rsidRPr="00683FF0">
              <w:t>1.3).</w:t>
            </w:r>
          </w:p>
          <w:p w14:paraId="45DF21ED" w14:textId="537A49AD" w:rsidR="002B70D2" w:rsidRPr="00683FF0" w:rsidRDefault="020794FC" w:rsidP="006449DF">
            <w:pPr>
              <w:pStyle w:val="TableText"/>
            </w:pPr>
            <w:r w:rsidRPr="00683FF0">
              <w:rPr>
                <w:b/>
                <w:bCs/>
              </w:rPr>
              <w:t xml:space="preserve">24.1.b. </w:t>
            </w:r>
            <w:r w:rsidR="789057A5" w:rsidRPr="00683FF0">
              <w:rPr>
                <w:b/>
                <w:bCs/>
              </w:rPr>
              <w:t>The Government agrees with this recommendation.</w:t>
            </w:r>
            <w:r w:rsidRPr="00683FF0">
              <w:rPr>
                <w:b/>
                <w:bCs/>
              </w:rPr>
              <w:t xml:space="preserve"> </w:t>
            </w:r>
            <w:r w:rsidR="704AFEBD" w:rsidRPr="00683FF0">
              <w:t xml:space="preserve">The Federation of Māori Authorities is leading the cross-cutting Te Aukaha workstream within He Waka Eke Noa. This aims to integrate Māori perspectives into the design of an emissions pricing system. Before making the final decisions on a pricing system, the Government will consider how the design impacts </w:t>
            </w:r>
            <w:r w:rsidR="003E7A68" w:rsidRPr="00683FF0">
              <w:t>Māori</w:t>
            </w:r>
            <w:r w:rsidR="704AFEBD" w:rsidRPr="00683FF0">
              <w:t xml:space="preserve"> and accounts for the unique characteristics of Māori collectively</w:t>
            </w:r>
            <w:r w:rsidR="000B7AC6" w:rsidRPr="00683FF0">
              <w:t xml:space="preserve"> </w:t>
            </w:r>
            <w:r w:rsidR="704AFEBD" w:rsidRPr="00683FF0">
              <w:t>owned land and collectives (</w:t>
            </w:r>
            <w:r w:rsidR="000B7AC6" w:rsidRPr="00683FF0">
              <w:t>c</w:t>
            </w:r>
            <w:r w:rsidR="704AFEBD" w:rsidRPr="00683FF0">
              <w:t>hapter 13</w:t>
            </w:r>
            <w:r w:rsidR="000B7AC6" w:rsidRPr="00683FF0">
              <w:t>:</w:t>
            </w:r>
            <w:r w:rsidR="704AFEBD" w:rsidRPr="00683FF0">
              <w:t xml:space="preserve"> Agriculture</w:t>
            </w:r>
            <w:r w:rsidR="000B7AC6" w:rsidRPr="00683FF0">
              <w:t>,</w:t>
            </w:r>
            <w:r w:rsidR="704AFEBD" w:rsidRPr="00683FF0">
              <w:t xml:space="preserve"> action </w:t>
            </w:r>
            <w:r w:rsidR="00284705" w:rsidRPr="00683FF0">
              <w:t>13.</w:t>
            </w:r>
            <w:r w:rsidR="704AFEBD" w:rsidRPr="00683FF0">
              <w:t>1.1).</w:t>
            </w:r>
          </w:p>
        </w:tc>
      </w:tr>
      <w:tr w:rsidR="001E7E77" w:rsidRPr="00683FF0" w14:paraId="66962CB1" w14:textId="77777777" w:rsidTr="006449DF">
        <w:tc>
          <w:tcPr>
            <w:tcW w:w="4508" w:type="dxa"/>
          </w:tcPr>
          <w:p w14:paraId="31009428" w14:textId="550D027E" w:rsidR="001E7E77" w:rsidRPr="00683FF0" w:rsidRDefault="001E7E77" w:rsidP="006449DF">
            <w:pPr>
              <w:pStyle w:val="TableText"/>
            </w:pPr>
            <w:r w:rsidRPr="00683FF0">
              <w:t>24.2</w:t>
            </w:r>
            <w:r w:rsidR="001F1988" w:rsidRPr="00683FF0">
              <w:t>.</w:t>
            </w:r>
            <w:r w:rsidRPr="00683FF0">
              <w:t xml:space="preserve"> Supporting farmers and growers to identify and implement changes on farm to reduce emissions by: </w:t>
            </w:r>
          </w:p>
          <w:p w14:paraId="0D8573AA" w14:textId="5D23F171" w:rsidR="001E7E77" w:rsidRPr="00683FF0" w:rsidRDefault="001E7E77" w:rsidP="00D21268">
            <w:pPr>
              <w:pStyle w:val="TableText"/>
              <w:numPr>
                <w:ilvl w:val="0"/>
                <w:numId w:val="38"/>
              </w:numPr>
              <w:spacing w:before="0"/>
              <w:ind w:left="284" w:hanging="284"/>
            </w:pPr>
            <w:r w:rsidRPr="00683FF0">
              <w:t xml:space="preserve">Collaborating with industry to further develop and fund effective advisory services. </w:t>
            </w:r>
          </w:p>
          <w:p w14:paraId="29DEDF75" w14:textId="2F499D9F" w:rsidR="001E7E77" w:rsidRPr="00683FF0" w:rsidRDefault="001E7E77" w:rsidP="00D21268">
            <w:pPr>
              <w:pStyle w:val="TableText"/>
              <w:numPr>
                <w:ilvl w:val="0"/>
                <w:numId w:val="38"/>
              </w:numPr>
              <w:spacing w:before="0"/>
              <w:ind w:left="284" w:hanging="284"/>
            </w:pPr>
            <w:r w:rsidRPr="00683FF0">
              <w:t xml:space="preserve">Partnering with Iwi/Māori and Māori-collectives to further develop and fund Māori-focused advisory services targeting the specific needs of Māori-collective landowners. </w:t>
            </w:r>
          </w:p>
          <w:p w14:paraId="765A18A5" w14:textId="02EBC560" w:rsidR="001E7E77" w:rsidRPr="00683FF0" w:rsidRDefault="001E7E77" w:rsidP="00D21268">
            <w:pPr>
              <w:pStyle w:val="TableText"/>
              <w:numPr>
                <w:ilvl w:val="0"/>
                <w:numId w:val="38"/>
              </w:numPr>
              <w:spacing w:before="0"/>
              <w:ind w:left="284" w:hanging="284"/>
              <w:rPr>
                <w:szCs w:val="18"/>
              </w:rPr>
            </w:pPr>
            <w:r w:rsidRPr="00683FF0">
              <w:t>Resourcing and prioritising rural digital connectivity.</w:t>
            </w:r>
          </w:p>
        </w:tc>
        <w:tc>
          <w:tcPr>
            <w:tcW w:w="4508" w:type="dxa"/>
          </w:tcPr>
          <w:p w14:paraId="532FD801" w14:textId="4FA8B1F6" w:rsidR="009121D5" w:rsidRPr="00683FF0" w:rsidRDefault="7BF52D2A" w:rsidP="006449DF">
            <w:pPr>
              <w:pStyle w:val="TableText"/>
              <w:spacing w:after="40"/>
              <w:rPr>
                <w:b/>
                <w:bCs/>
              </w:rPr>
            </w:pPr>
            <w:r w:rsidRPr="00683FF0">
              <w:rPr>
                <w:b/>
                <w:bCs/>
              </w:rPr>
              <w:t>24.2.a.</w:t>
            </w:r>
            <w:r w:rsidRPr="00683FF0">
              <w:t xml:space="preserve"> </w:t>
            </w:r>
            <w:r w:rsidR="0388228D" w:rsidRPr="00683FF0">
              <w:rPr>
                <w:b/>
                <w:bCs/>
              </w:rPr>
              <w:t>The Government agrees with this recommendation</w:t>
            </w:r>
            <w:r w:rsidR="00627827" w:rsidRPr="00683FF0">
              <w:t>. Budget 2022 funding of $34.6m will support new climate focused extension and advisory services to help producers to reduce emissions.</w:t>
            </w:r>
            <w:r w:rsidR="00627827" w:rsidRPr="00683FF0" w:rsidDel="00627827">
              <w:rPr>
                <w:b/>
                <w:bCs/>
              </w:rPr>
              <w:t xml:space="preserve"> </w:t>
            </w:r>
            <w:r w:rsidR="6421E725" w:rsidRPr="00683FF0">
              <w:t>(</w:t>
            </w:r>
            <w:r w:rsidR="00E03FCC" w:rsidRPr="00683FF0">
              <w:t>c</w:t>
            </w:r>
            <w:r w:rsidR="6421E725" w:rsidRPr="00683FF0">
              <w:t>hapter 13</w:t>
            </w:r>
            <w:r w:rsidR="00E03FCC" w:rsidRPr="00683FF0">
              <w:t>:</w:t>
            </w:r>
            <w:r w:rsidR="6421E725" w:rsidRPr="00683FF0">
              <w:t xml:space="preserve"> Agriculture</w:t>
            </w:r>
            <w:r w:rsidR="00E03FCC" w:rsidRPr="00683FF0">
              <w:t>,</w:t>
            </w:r>
            <w:r w:rsidR="6421E725" w:rsidRPr="00683FF0">
              <w:t xml:space="preserve"> action </w:t>
            </w:r>
            <w:r w:rsidR="00284705" w:rsidRPr="00683FF0">
              <w:t>13.</w:t>
            </w:r>
            <w:r w:rsidR="6421E725" w:rsidRPr="00683FF0">
              <w:t>3.1).</w:t>
            </w:r>
          </w:p>
          <w:p w14:paraId="01685CA5" w14:textId="48762FDB" w:rsidR="002602A0" w:rsidRPr="00683FF0" w:rsidRDefault="020794FC" w:rsidP="006449DF">
            <w:pPr>
              <w:pStyle w:val="TableText"/>
            </w:pPr>
            <w:r w:rsidRPr="00683FF0">
              <w:rPr>
                <w:b/>
                <w:bCs/>
              </w:rPr>
              <w:t xml:space="preserve">24.2.b. </w:t>
            </w:r>
            <w:r w:rsidR="789057A5" w:rsidRPr="00683FF0">
              <w:rPr>
                <w:b/>
                <w:bCs/>
              </w:rPr>
              <w:t>The Government agrees with this recommendation.</w:t>
            </w:r>
            <w:r w:rsidRPr="00683FF0">
              <w:rPr>
                <w:b/>
                <w:bCs/>
              </w:rPr>
              <w:t xml:space="preserve"> </w:t>
            </w:r>
            <w:r w:rsidR="704AFEBD" w:rsidRPr="00683FF0">
              <w:t xml:space="preserve">The funding referred to in </w:t>
            </w:r>
            <w:r w:rsidR="00215795" w:rsidRPr="00683FF0">
              <w:t xml:space="preserve">recommendation </w:t>
            </w:r>
            <w:r w:rsidR="704AFEBD" w:rsidRPr="00683FF0">
              <w:t xml:space="preserve">24.2a will </w:t>
            </w:r>
            <w:r w:rsidR="004F1C45" w:rsidRPr="00683FF0">
              <w:t xml:space="preserve">enable </w:t>
            </w:r>
            <w:r w:rsidR="704AFEBD" w:rsidRPr="00683FF0">
              <w:t>tikanga-based programmes to support whenua Māori entities to change to lower</w:t>
            </w:r>
            <w:r w:rsidR="00215795" w:rsidRPr="00683FF0">
              <w:t>-</w:t>
            </w:r>
            <w:r w:rsidR="704AFEBD" w:rsidRPr="00683FF0">
              <w:t xml:space="preserve">emissions production systems in a </w:t>
            </w:r>
            <w:r w:rsidR="704AFEBD" w:rsidRPr="00683FF0">
              <w:lastRenderedPageBreak/>
              <w:t xml:space="preserve">manner that </w:t>
            </w:r>
            <w:r w:rsidR="00241D71" w:rsidRPr="00683FF0">
              <w:t xml:space="preserve">enhances </w:t>
            </w:r>
            <w:r w:rsidR="704AFEBD" w:rsidRPr="00683FF0">
              <w:t>the intergenerational wellbeing of Māori and does not compound long-standing barriers to utilisation. (</w:t>
            </w:r>
            <w:r w:rsidR="00215795" w:rsidRPr="00683FF0">
              <w:t>c</w:t>
            </w:r>
            <w:r w:rsidR="704AFEBD" w:rsidRPr="00683FF0">
              <w:t>hapter 13</w:t>
            </w:r>
            <w:r w:rsidR="00215795" w:rsidRPr="00683FF0">
              <w:t xml:space="preserve">: </w:t>
            </w:r>
            <w:r w:rsidR="704AFEBD" w:rsidRPr="00683FF0">
              <w:t>Agriculture</w:t>
            </w:r>
            <w:r w:rsidR="00215795" w:rsidRPr="00683FF0">
              <w:t>,</w:t>
            </w:r>
            <w:r w:rsidR="704AFEBD" w:rsidRPr="00683FF0">
              <w:t xml:space="preserve"> actions</w:t>
            </w:r>
            <w:r w:rsidR="007C3531" w:rsidRPr="00683FF0">
              <w:t> </w:t>
            </w:r>
            <w:r w:rsidR="00284705" w:rsidRPr="00683FF0">
              <w:t>13.</w:t>
            </w:r>
            <w:r w:rsidR="704AFEBD" w:rsidRPr="00683FF0">
              <w:t>3.2).</w:t>
            </w:r>
          </w:p>
          <w:p w14:paraId="79705C69" w14:textId="76A4B6F8" w:rsidR="002602A0" w:rsidRPr="00683FF0" w:rsidRDefault="7BF52D2A" w:rsidP="006449DF">
            <w:pPr>
              <w:pStyle w:val="TableText"/>
            </w:pPr>
            <w:r w:rsidRPr="00683FF0">
              <w:rPr>
                <w:b/>
                <w:bCs/>
              </w:rPr>
              <w:t xml:space="preserve">24.2.c. </w:t>
            </w:r>
            <w:r w:rsidR="0388228D" w:rsidRPr="00683FF0">
              <w:rPr>
                <w:b/>
                <w:bCs/>
              </w:rPr>
              <w:t>The Government agrees with this recommendation.</w:t>
            </w:r>
            <w:r w:rsidRPr="00683FF0">
              <w:rPr>
                <w:b/>
                <w:bCs/>
              </w:rPr>
              <w:t xml:space="preserve"> </w:t>
            </w:r>
            <w:r w:rsidR="6421E725" w:rsidRPr="00683FF0">
              <w:t>Improvements to rural digital connectivity will improve access to information and online tools to identify and implement changes. Government initiatives include the rollout of the Rural</w:t>
            </w:r>
            <w:r w:rsidR="007C3531" w:rsidRPr="00683FF0">
              <w:t> </w:t>
            </w:r>
            <w:r w:rsidR="6421E725" w:rsidRPr="00683FF0">
              <w:t>Broadband Initiative</w:t>
            </w:r>
            <w:r w:rsidR="0044308B" w:rsidRPr="00683FF0">
              <w:t xml:space="preserve"> and</w:t>
            </w:r>
            <w:r w:rsidR="6421E725" w:rsidRPr="00683FF0">
              <w:t xml:space="preserve"> Mobile Blackspot Initiative, and developing a strategic long-term approach to guide </w:t>
            </w:r>
            <w:r w:rsidR="0044308B" w:rsidRPr="00683FF0">
              <w:t xml:space="preserve">the </w:t>
            </w:r>
            <w:r w:rsidR="6421E725" w:rsidRPr="00683FF0">
              <w:t>Government</w:t>
            </w:r>
            <w:r w:rsidR="0044308B" w:rsidRPr="00683FF0">
              <w:t>’</w:t>
            </w:r>
            <w:r w:rsidR="6421E725" w:rsidRPr="00683FF0">
              <w:t>s investment in telecommunications infrastructure (</w:t>
            </w:r>
            <w:r w:rsidR="0044308B" w:rsidRPr="00683FF0">
              <w:t>c</w:t>
            </w:r>
            <w:r w:rsidR="6421E725" w:rsidRPr="00683FF0">
              <w:t>hapter</w:t>
            </w:r>
            <w:r w:rsidR="009E05C5" w:rsidRPr="00683FF0">
              <w:t> </w:t>
            </w:r>
            <w:r w:rsidR="6421E725" w:rsidRPr="00683FF0">
              <w:t>13</w:t>
            </w:r>
            <w:r w:rsidR="0044308B" w:rsidRPr="00683FF0">
              <w:t xml:space="preserve">: </w:t>
            </w:r>
            <w:r w:rsidR="6421E725" w:rsidRPr="00683FF0">
              <w:t>Agriculture</w:t>
            </w:r>
            <w:r w:rsidR="0044308B" w:rsidRPr="00683FF0">
              <w:t>,</w:t>
            </w:r>
            <w:r w:rsidR="6421E725" w:rsidRPr="00683FF0">
              <w:t xml:space="preserve"> action </w:t>
            </w:r>
            <w:r w:rsidR="00284705" w:rsidRPr="00683FF0">
              <w:t>13.</w:t>
            </w:r>
            <w:r w:rsidR="6421E725" w:rsidRPr="00683FF0">
              <w:t>3.3).</w:t>
            </w:r>
          </w:p>
        </w:tc>
      </w:tr>
      <w:tr w:rsidR="001E7E77" w:rsidRPr="00683FF0" w14:paraId="3BEDA59C" w14:textId="77777777" w:rsidTr="006449DF">
        <w:tc>
          <w:tcPr>
            <w:tcW w:w="4508" w:type="dxa"/>
          </w:tcPr>
          <w:p w14:paraId="025FAE31" w14:textId="6F258100" w:rsidR="001E7E77" w:rsidRPr="00683FF0" w:rsidRDefault="001E7E77" w:rsidP="006449DF">
            <w:pPr>
              <w:pStyle w:val="TableText"/>
            </w:pPr>
            <w:r w:rsidRPr="00683FF0">
              <w:lastRenderedPageBreak/>
              <w:t>24.3</w:t>
            </w:r>
            <w:r w:rsidR="001F1988" w:rsidRPr="00683FF0">
              <w:t>.</w:t>
            </w:r>
            <w:r w:rsidRPr="00683FF0">
              <w:t xml:space="preserve"> Removing barriers to the deployment of new technologies to reduce emissions on farm by ensuring relevant regulatory regimes, such as the Agricultural Compounds and Veterinary Medicines Act, do not unnecessarily hinder their adoption.</w:t>
            </w:r>
          </w:p>
        </w:tc>
        <w:tc>
          <w:tcPr>
            <w:tcW w:w="4508" w:type="dxa"/>
          </w:tcPr>
          <w:p w14:paraId="2BAA3630" w14:textId="05DAC135" w:rsidR="002602A0" w:rsidRPr="00683FF0" w:rsidRDefault="00A636B1" w:rsidP="006449DF">
            <w:pPr>
              <w:pStyle w:val="TableText"/>
            </w:pPr>
            <w:r w:rsidRPr="00683FF0">
              <w:rPr>
                <w:b/>
                <w:bCs/>
              </w:rPr>
              <w:t xml:space="preserve">24.3. </w:t>
            </w:r>
            <w:r w:rsidR="009121D5" w:rsidRPr="00683FF0">
              <w:rPr>
                <w:b/>
                <w:bCs/>
              </w:rPr>
              <w:t>The Government agrees with this recommendation.</w:t>
            </w:r>
            <w:r w:rsidR="00776387" w:rsidRPr="00683FF0">
              <w:t xml:space="preserve"> </w:t>
            </w:r>
            <w:r w:rsidR="6421E725" w:rsidRPr="00683FF0">
              <w:t xml:space="preserve">Work is underway to enable the regulatory oversight of greenhouse gas inhibitors under the </w:t>
            </w:r>
            <w:r w:rsidR="00776387" w:rsidRPr="00683FF0">
              <w:t>Agricultural Compounds and Veterinary Medicines Act</w:t>
            </w:r>
            <w:r w:rsidR="001F1988" w:rsidRPr="00683FF0">
              <w:t xml:space="preserve"> 1997</w:t>
            </w:r>
            <w:r w:rsidR="6421E725" w:rsidRPr="00683FF0">
              <w:t xml:space="preserve">. </w:t>
            </w:r>
            <w:r w:rsidR="00776387" w:rsidRPr="00683FF0">
              <w:t xml:space="preserve">The Ministry for Primary Industries </w:t>
            </w:r>
            <w:r w:rsidR="6421E725" w:rsidRPr="00683FF0">
              <w:t>is also developing a research and development plan for reducing biological emissions from agriculture, which will examine how regulatory processes for new technologies can be streamlined (</w:t>
            </w:r>
            <w:r w:rsidR="00FE1CD8" w:rsidRPr="00683FF0">
              <w:t>c</w:t>
            </w:r>
            <w:r w:rsidR="6421E725" w:rsidRPr="00683FF0">
              <w:t>hapter 13</w:t>
            </w:r>
            <w:r w:rsidR="00FE1CD8" w:rsidRPr="00683FF0">
              <w:t xml:space="preserve">: </w:t>
            </w:r>
            <w:r w:rsidR="6421E725" w:rsidRPr="00683FF0">
              <w:t>Agriculture</w:t>
            </w:r>
            <w:r w:rsidR="00FE1CD8" w:rsidRPr="00683FF0">
              <w:t>,</w:t>
            </w:r>
            <w:r w:rsidR="6421E725" w:rsidRPr="00683FF0">
              <w:t xml:space="preserve"> actions </w:t>
            </w:r>
            <w:r w:rsidR="00284705" w:rsidRPr="00683FF0">
              <w:t>13.</w:t>
            </w:r>
            <w:r w:rsidR="6421E725" w:rsidRPr="00683FF0">
              <w:t>2.1</w:t>
            </w:r>
            <w:r w:rsidR="00FE1CD8" w:rsidRPr="00683FF0">
              <w:t xml:space="preserve">, </w:t>
            </w:r>
            <w:r w:rsidR="00284705" w:rsidRPr="00683FF0">
              <w:t>13.</w:t>
            </w:r>
            <w:r w:rsidR="6421E725" w:rsidRPr="00683FF0">
              <w:t>2.4).</w:t>
            </w:r>
          </w:p>
        </w:tc>
      </w:tr>
      <w:tr w:rsidR="001E7E77" w:rsidRPr="00683FF0" w14:paraId="165613EC" w14:textId="77777777" w:rsidTr="006449DF">
        <w:tc>
          <w:tcPr>
            <w:tcW w:w="4508" w:type="dxa"/>
          </w:tcPr>
          <w:p w14:paraId="2A7F62FF" w14:textId="0CD2C60E" w:rsidR="001E7E77" w:rsidRPr="00683FF0" w:rsidRDefault="001E7E77" w:rsidP="006449DF">
            <w:pPr>
              <w:pStyle w:val="TableText"/>
            </w:pPr>
            <w:r w:rsidRPr="00683FF0">
              <w:t>24.4</w:t>
            </w:r>
            <w:r w:rsidR="001F1988" w:rsidRPr="00683FF0">
              <w:t>.</w:t>
            </w:r>
            <w:r w:rsidRPr="00683FF0">
              <w:t xml:space="preserve"> Facilitating domestic and international market acceptability of proven low emissions food and fibre products, by working with the sector, including Māori agribusinesses, to demonstrate their environmental credentials to international customers.</w:t>
            </w:r>
          </w:p>
        </w:tc>
        <w:tc>
          <w:tcPr>
            <w:tcW w:w="4508" w:type="dxa"/>
          </w:tcPr>
          <w:p w14:paraId="74059C9C" w14:textId="1C16D77C" w:rsidR="002602A0" w:rsidRPr="00683FF0" w:rsidRDefault="00A636B1" w:rsidP="006449DF">
            <w:pPr>
              <w:pStyle w:val="TableText"/>
            </w:pPr>
            <w:r w:rsidRPr="00683FF0">
              <w:rPr>
                <w:b/>
                <w:bCs/>
              </w:rPr>
              <w:t xml:space="preserve">24.4. </w:t>
            </w:r>
            <w:r w:rsidR="009121D5" w:rsidRPr="00683FF0">
              <w:rPr>
                <w:b/>
                <w:bCs/>
              </w:rPr>
              <w:t>The Government agrees with this recommendation.</w:t>
            </w:r>
            <w:r w:rsidR="001F1988" w:rsidRPr="00683FF0">
              <w:t xml:space="preserve"> </w:t>
            </w:r>
            <w:r w:rsidR="704AFEBD" w:rsidRPr="00683FF0">
              <w:t xml:space="preserve">The streamlining of regulatory pathways for new technologies initiatives include action to increase regulatory capacity, work with partners to establish international standards for maximum residue levels in food products, and incorporate new mitigations in the </w:t>
            </w:r>
            <w:r w:rsidR="00825008" w:rsidRPr="00683FF0">
              <w:t xml:space="preserve">Agriculture </w:t>
            </w:r>
            <w:r w:rsidR="704AFEBD" w:rsidRPr="00683FF0">
              <w:t>Greenhouse Gas Centre of Excellence (</w:t>
            </w:r>
            <w:r w:rsidR="005F2C4E" w:rsidRPr="00683FF0">
              <w:t>c</w:t>
            </w:r>
            <w:r w:rsidR="704AFEBD" w:rsidRPr="00683FF0">
              <w:t>hapter 13</w:t>
            </w:r>
            <w:r w:rsidR="005F2C4E" w:rsidRPr="00683FF0">
              <w:t>:</w:t>
            </w:r>
            <w:r w:rsidR="704AFEBD" w:rsidRPr="00683FF0">
              <w:t xml:space="preserve"> Agriculture</w:t>
            </w:r>
            <w:r w:rsidR="005F2C4E" w:rsidRPr="00683FF0">
              <w:t>,</w:t>
            </w:r>
            <w:r w:rsidR="704AFEBD" w:rsidRPr="00683FF0">
              <w:t xml:space="preserve"> actions </w:t>
            </w:r>
            <w:r w:rsidR="00C05C46" w:rsidRPr="00683FF0">
              <w:t>13.</w:t>
            </w:r>
            <w:r w:rsidR="704AFEBD" w:rsidRPr="00683FF0">
              <w:t>2.</w:t>
            </w:r>
            <w:r w:rsidR="00A47852" w:rsidRPr="00683FF0">
              <w:t>2</w:t>
            </w:r>
            <w:r w:rsidR="704AFEBD" w:rsidRPr="00683FF0">
              <w:t xml:space="preserve">, </w:t>
            </w:r>
            <w:r w:rsidR="00C05C46" w:rsidRPr="00683FF0">
              <w:t>13.</w:t>
            </w:r>
            <w:r w:rsidR="09DA18AE" w:rsidRPr="00683FF0">
              <w:t>2.4</w:t>
            </w:r>
            <w:r w:rsidR="005F2C4E" w:rsidRPr="00683FF0">
              <w:t>–</w:t>
            </w:r>
            <w:r w:rsidR="00C05C46" w:rsidRPr="00683FF0">
              <w:t>13.</w:t>
            </w:r>
            <w:r w:rsidR="09DA18AE" w:rsidRPr="00683FF0">
              <w:t>2.5</w:t>
            </w:r>
            <w:r w:rsidR="704AFEBD" w:rsidRPr="00683FF0">
              <w:t>).</w:t>
            </w:r>
          </w:p>
        </w:tc>
      </w:tr>
      <w:tr w:rsidR="001E7E77" w:rsidRPr="00683FF0" w14:paraId="7ECC9436" w14:textId="77777777" w:rsidTr="006449DF">
        <w:tc>
          <w:tcPr>
            <w:tcW w:w="4508" w:type="dxa"/>
          </w:tcPr>
          <w:p w14:paraId="4FE957B0" w14:textId="0D04ADAD" w:rsidR="001E7E77" w:rsidRPr="00683FF0" w:rsidRDefault="001E7E77" w:rsidP="006449DF">
            <w:pPr>
              <w:pStyle w:val="TableText"/>
            </w:pPr>
            <w:r w:rsidRPr="00683FF0">
              <w:t>24.5</w:t>
            </w:r>
            <w:r w:rsidR="001F1988" w:rsidRPr="00683FF0">
              <w:t>.</w:t>
            </w:r>
            <w:r w:rsidRPr="00683FF0">
              <w:t xml:space="preserve"> Investing to create options for deeper emissions reductions in future by: </w:t>
            </w:r>
          </w:p>
          <w:p w14:paraId="386A5B4B" w14:textId="33558338" w:rsidR="001E7E77" w:rsidRPr="00683FF0" w:rsidRDefault="001E7E77" w:rsidP="00D21268">
            <w:pPr>
              <w:pStyle w:val="TableText"/>
              <w:numPr>
                <w:ilvl w:val="0"/>
                <w:numId w:val="39"/>
              </w:numPr>
              <w:spacing w:before="0"/>
              <w:ind w:left="284" w:hanging="284"/>
            </w:pPr>
            <w:r w:rsidRPr="00683FF0">
              <w:t xml:space="preserve">Developing a long-term plan for targeted research and development (and uptake/deployment) of technologies and practices to reduce biogenic emissions from agriculture. </w:t>
            </w:r>
          </w:p>
          <w:p w14:paraId="38D18F5C" w14:textId="1823B4BB" w:rsidR="001E7E77" w:rsidRPr="00683FF0" w:rsidRDefault="001E7E77" w:rsidP="00D21268">
            <w:pPr>
              <w:pStyle w:val="TableText"/>
              <w:numPr>
                <w:ilvl w:val="0"/>
                <w:numId w:val="39"/>
              </w:numPr>
              <w:spacing w:before="0"/>
              <w:ind w:left="284" w:hanging="284"/>
            </w:pPr>
            <w:r w:rsidRPr="00683FF0">
              <w:t xml:space="preserve">Supporting farmers, growers and local government to make well-informed land-use decisions by investing in nationwide land and climate information and decision-making tools, including information and tools relevant for Māori collectively-owned land. </w:t>
            </w:r>
          </w:p>
          <w:p w14:paraId="4DC69472" w14:textId="62563BFA" w:rsidR="001E7E77" w:rsidRPr="00683FF0" w:rsidRDefault="001E7E77" w:rsidP="00D21268">
            <w:pPr>
              <w:pStyle w:val="TableText"/>
              <w:numPr>
                <w:ilvl w:val="0"/>
                <w:numId w:val="39"/>
              </w:numPr>
              <w:spacing w:before="0"/>
              <w:ind w:left="284" w:hanging="284"/>
              <w:rPr>
                <w:szCs w:val="18"/>
              </w:rPr>
            </w:pPr>
            <w:r w:rsidRPr="00683FF0">
              <w:t>Supporting deployment of the systems and infrastructure needed for alternative lower emissions farming systems and products, including enabling Māori-collectives to participate in these new opportunities.</w:t>
            </w:r>
          </w:p>
        </w:tc>
        <w:tc>
          <w:tcPr>
            <w:tcW w:w="4508" w:type="dxa"/>
          </w:tcPr>
          <w:p w14:paraId="22016C82" w14:textId="0DCFCA4A" w:rsidR="006C0D74" w:rsidRPr="00683FF0" w:rsidRDefault="1EBDB6B8" w:rsidP="006449DF">
            <w:pPr>
              <w:pStyle w:val="TableText"/>
            </w:pPr>
            <w:r w:rsidRPr="00683FF0">
              <w:rPr>
                <w:b/>
                <w:bCs/>
              </w:rPr>
              <w:t>24.5.a</w:t>
            </w:r>
            <w:r w:rsidR="009C4D7B" w:rsidRPr="00683FF0">
              <w:rPr>
                <w:b/>
                <w:bCs/>
              </w:rPr>
              <w:t>.</w:t>
            </w:r>
            <w:r w:rsidRPr="00683FF0">
              <w:rPr>
                <w:b/>
                <w:bCs/>
              </w:rPr>
              <w:t xml:space="preserve"> </w:t>
            </w:r>
            <w:r w:rsidR="4C67EEEB" w:rsidRPr="00683FF0">
              <w:rPr>
                <w:b/>
                <w:bCs/>
              </w:rPr>
              <w:t>The Government agrees with this recommendation.</w:t>
            </w:r>
            <w:r w:rsidRPr="00683FF0">
              <w:rPr>
                <w:b/>
                <w:bCs/>
              </w:rPr>
              <w:t xml:space="preserve"> </w:t>
            </w:r>
            <w:r w:rsidR="35E04961" w:rsidRPr="00683FF0">
              <w:t>Budget 2022 funding of $338.7</w:t>
            </w:r>
            <w:r w:rsidR="009C4D7B" w:rsidRPr="00683FF0">
              <w:t> million</w:t>
            </w:r>
            <w:r w:rsidR="35E04961" w:rsidRPr="00683FF0">
              <w:t xml:space="preserve"> </w:t>
            </w:r>
            <w:r w:rsidR="26BE8866" w:rsidRPr="00683FF0">
              <w:t>provides</w:t>
            </w:r>
            <w:r w:rsidR="35E04961" w:rsidRPr="00683FF0">
              <w:t xml:space="preserve"> a step change in investment in research and development</w:t>
            </w:r>
            <w:r w:rsidR="26BE8866" w:rsidRPr="00683FF0">
              <w:t>. This will be</w:t>
            </w:r>
            <w:r w:rsidR="35E04961" w:rsidRPr="00683FF0">
              <w:t xml:space="preserve"> underpinned by a research and development plan for science and mātauranga </w:t>
            </w:r>
            <w:r w:rsidR="009C4D7B" w:rsidRPr="00683FF0">
              <w:t xml:space="preserve">Māori </w:t>
            </w:r>
            <w:r w:rsidR="35E04961" w:rsidRPr="00683FF0">
              <w:t>to reduce biological emissions from agriculture</w:t>
            </w:r>
            <w:r w:rsidR="009C4D7B" w:rsidRPr="00683FF0">
              <w:t>. It also provided</w:t>
            </w:r>
            <w:r w:rsidR="35E04961" w:rsidRPr="00683FF0">
              <w:t xml:space="preserve"> for </w:t>
            </w:r>
            <w:r w:rsidR="000D3F69" w:rsidRPr="00683FF0">
              <w:t xml:space="preserve">the </w:t>
            </w:r>
            <w:r w:rsidR="35E04961" w:rsidRPr="00683FF0">
              <w:t xml:space="preserve">government to work in partnership with primary sector representatives to establish a new </w:t>
            </w:r>
            <w:r w:rsidR="0852F0A3" w:rsidRPr="00683FF0">
              <w:t>Agricultur</w:t>
            </w:r>
            <w:r w:rsidR="00A47852" w:rsidRPr="00683FF0">
              <w:t>e</w:t>
            </w:r>
            <w:r w:rsidR="35E04961" w:rsidRPr="00683FF0">
              <w:t xml:space="preserve"> Greenhouse Gas Centre of Excellence (</w:t>
            </w:r>
            <w:r w:rsidR="009C4D7B" w:rsidRPr="00683FF0">
              <w:t>c</w:t>
            </w:r>
            <w:r w:rsidR="35E04961" w:rsidRPr="00683FF0">
              <w:t>hapter</w:t>
            </w:r>
            <w:r w:rsidR="000D3F69" w:rsidRPr="00683FF0">
              <w:t> </w:t>
            </w:r>
            <w:r w:rsidR="35E04961" w:rsidRPr="00683FF0">
              <w:t>13</w:t>
            </w:r>
            <w:r w:rsidR="009C4D7B" w:rsidRPr="00683FF0">
              <w:t xml:space="preserve">: </w:t>
            </w:r>
            <w:r w:rsidR="35E04961" w:rsidRPr="00683FF0">
              <w:t>Agriculture</w:t>
            </w:r>
            <w:r w:rsidR="009C4D7B" w:rsidRPr="00683FF0">
              <w:t>,</w:t>
            </w:r>
            <w:r w:rsidR="35E04961" w:rsidRPr="00683FF0">
              <w:t xml:space="preserve"> actions </w:t>
            </w:r>
            <w:r w:rsidR="00C05C46" w:rsidRPr="00683FF0">
              <w:t>13.</w:t>
            </w:r>
            <w:r w:rsidR="35E04961" w:rsidRPr="00683FF0">
              <w:t>2.1</w:t>
            </w:r>
            <w:r w:rsidR="009C4D7B" w:rsidRPr="00683FF0">
              <w:t>–</w:t>
            </w:r>
            <w:r w:rsidR="00C05C46" w:rsidRPr="00683FF0">
              <w:t>13</w:t>
            </w:r>
            <w:r w:rsidR="00BE3C19" w:rsidRPr="00683FF0">
              <w:t>.</w:t>
            </w:r>
            <w:r w:rsidR="35E04961" w:rsidRPr="00683FF0">
              <w:t>2.3).</w:t>
            </w:r>
          </w:p>
          <w:p w14:paraId="29BA0F9F" w14:textId="75130079" w:rsidR="006C0D74" w:rsidRPr="00683FF0" w:rsidRDefault="020794FC" w:rsidP="006449DF">
            <w:pPr>
              <w:pStyle w:val="TableText"/>
            </w:pPr>
            <w:r w:rsidRPr="00683FF0">
              <w:rPr>
                <w:b/>
                <w:bCs/>
              </w:rPr>
              <w:t>24.5.b.</w:t>
            </w:r>
            <w:r w:rsidRPr="00683FF0">
              <w:t xml:space="preserve"> </w:t>
            </w:r>
            <w:r w:rsidR="789057A5" w:rsidRPr="00683FF0">
              <w:rPr>
                <w:b/>
                <w:bCs/>
              </w:rPr>
              <w:t>The Government agrees with this recommendation.</w:t>
            </w:r>
            <w:r w:rsidRPr="00683FF0">
              <w:rPr>
                <w:b/>
                <w:bCs/>
              </w:rPr>
              <w:t xml:space="preserve"> </w:t>
            </w:r>
            <w:r w:rsidR="009C4D7B" w:rsidRPr="00683FF0">
              <w:t>Relevant actions include those described in</w:t>
            </w:r>
            <w:r w:rsidR="09DA18AE" w:rsidRPr="00683FF0">
              <w:t xml:space="preserve"> the response to </w:t>
            </w:r>
            <w:r w:rsidR="009C4D7B" w:rsidRPr="00683FF0">
              <w:t xml:space="preserve">recommendations </w:t>
            </w:r>
            <w:r w:rsidR="09DA18AE" w:rsidRPr="00683FF0">
              <w:t xml:space="preserve">24.2a and 24.5a. </w:t>
            </w:r>
            <w:r w:rsidR="00416D36" w:rsidRPr="00683FF0">
              <w:t xml:space="preserve">Other supporting </w:t>
            </w:r>
            <w:r w:rsidR="09DA18AE" w:rsidRPr="00683FF0">
              <w:t xml:space="preserve">work </w:t>
            </w:r>
            <w:r w:rsidR="00416D36" w:rsidRPr="00683FF0">
              <w:t xml:space="preserve">is </w:t>
            </w:r>
            <w:r w:rsidR="09DA18AE" w:rsidRPr="00683FF0">
              <w:t>to ensure</w:t>
            </w:r>
            <w:r w:rsidR="00053E98" w:rsidRPr="00683FF0">
              <w:t xml:space="preserve"> all producers</w:t>
            </w:r>
            <w:r w:rsidR="09DA18AE" w:rsidRPr="00683FF0">
              <w:t xml:space="preserve"> </w:t>
            </w:r>
            <w:r w:rsidR="00053E98" w:rsidRPr="00683FF0">
              <w:t xml:space="preserve">generate </w:t>
            </w:r>
            <w:r w:rsidR="09DA18AE" w:rsidRPr="00683FF0">
              <w:t>emissions reports by the end of</w:t>
            </w:r>
            <w:r w:rsidR="006449DF" w:rsidRPr="00683FF0">
              <w:t> </w:t>
            </w:r>
            <w:r w:rsidR="09DA18AE" w:rsidRPr="00683FF0">
              <w:t>2022 and have farm plans in place by 2025 (</w:t>
            </w:r>
            <w:r w:rsidR="000D3F69" w:rsidRPr="00683FF0">
              <w:t>c</w:t>
            </w:r>
            <w:r w:rsidR="09DA18AE" w:rsidRPr="00683FF0">
              <w:t>hapter</w:t>
            </w:r>
            <w:r w:rsidR="006449DF" w:rsidRPr="00683FF0">
              <w:t> </w:t>
            </w:r>
            <w:r w:rsidR="09DA18AE" w:rsidRPr="00683FF0">
              <w:t>13</w:t>
            </w:r>
            <w:r w:rsidR="000D3F69" w:rsidRPr="00683FF0">
              <w:t>:</w:t>
            </w:r>
            <w:r w:rsidR="09DA18AE" w:rsidRPr="00683FF0">
              <w:t xml:space="preserve"> Agriculture</w:t>
            </w:r>
            <w:r w:rsidR="000D3F69" w:rsidRPr="00683FF0">
              <w:t>,</w:t>
            </w:r>
            <w:r w:rsidR="09DA18AE" w:rsidRPr="00683FF0">
              <w:t xml:space="preserve"> actions </w:t>
            </w:r>
            <w:r w:rsidR="00BE3C19" w:rsidRPr="00683FF0">
              <w:t>13.</w:t>
            </w:r>
            <w:r w:rsidR="09DA18AE" w:rsidRPr="00683FF0">
              <w:t xml:space="preserve">1.2, </w:t>
            </w:r>
            <w:r w:rsidR="00BE3C19" w:rsidRPr="00683FF0">
              <w:t>13.</w:t>
            </w:r>
            <w:r w:rsidR="09DA18AE" w:rsidRPr="00683FF0">
              <w:t>2.1</w:t>
            </w:r>
            <w:r w:rsidR="000D3F69" w:rsidRPr="00683FF0">
              <w:t>–</w:t>
            </w:r>
            <w:r w:rsidR="00BE3C19" w:rsidRPr="00683FF0">
              <w:t>13.</w:t>
            </w:r>
            <w:r w:rsidR="09DA18AE" w:rsidRPr="00683FF0">
              <w:t xml:space="preserve">2.3, </w:t>
            </w:r>
            <w:r w:rsidR="00BE3C19" w:rsidRPr="00683FF0">
              <w:t>13.</w:t>
            </w:r>
            <w:r w:rsidR="09DA18AE" w:rsidRPr="00683FF0">
              <w:t>3.1</w:t>
            </w:r>
            <w:r w:rsidR="000D3F69" w:rsidRPr="00683FF0">
              <w:t>–</w:t>
            </w:r>
            <w:r w:rsidR="00BE3C19" w:rsidRPr="00683FF0">
              <w:t>13</w:t>
            </w:r>
            <w:r w:rsidR="00336468" w:rsidRPr="00683FF0">
              <w:t>.</w:t>
            </w:r>
            <w:r w:rsidR="09DA18AE" w:rsidRPr="00683FF0">
              <w:t>3.2).</w:t>
            </w:r>
          </w:p>
          <w:p w14:paraId="5639B473" w14:textId="32E2C7D4" w:rsidR="006C0D74" w:rsidRPr="00683FF0" w:rsidRDefault="1F93ECDB" w:rsidP="006449DF">
            <w:pPr>
              <w:pStyle w:val="TableText"/>
            </w:pPr>
            <w:r w:rsidRPr="00683FF0">
              <w:rPr>
                <w:b/>
                <w:bCs/>
              </w:rPr>
              <w:t xml:space="preserve">24.5.c. </w:t>
            </w:r>
            <w:r w:rsidR="5F3406C3" w:rsidRPr="00683FF0">
              <w:rPr>
                <w:b/>
                <w:bCs/>
              </w:rPr>
              <w:t>The Government agrees with this recommendation.</w:t>
            </w:r>
            <w:r w:rsidRPr="00683FF0">
              <w:rPr>
                <w:b/>
                <w:bCs/>
              </w:rPr>
              <w:t xml:space="preserve"> </w:t>
            </w:r>
            <w:r w:rsidR="0E275F64" w:rsidRPr="00683FF0">
              <w:t xml:space="preserve">The </w:t>
            </w:r>
            <w:r w:rsidR="001961D7" w:rsidRPr="00683FF0">
              <w:t>emissions reduction plan</w:t>
            </w:r>
            <w:r w:rsidR="0E275F64" w:rsidRPr="00683FF0">
              <w:t xml:space="preserve"> includes a range of initiatives to support the transition to lower</w:t>
            </w:r>
            <w:r w:rsidR="00570DFE" w:rsidRPr="00683FF0">
              <w:t>-</w:t>
            </w:r>
            <w:r w:rsidR="0E275F64" w:rsidRPr="00683FF0">
              <w:t>emissions farming systems and products</w:t>
            </w:r>
            <w:r w:rsidR="00570DFE" w:rsidRPr="00683FF0">
              <w:t xml:space="preserve">. </w:t>
            </w:r>
            <w:r w:rsidR="00570DFE" w:rsidRPr="00683FF0">
              <w:lastRenderedPageBreak/>
              <w:t>These</w:t>
            </w:r>
            <w:r w:rsidR="0E275F64" w:rsidRPr="00683FF0">
              <w:t xml:space="preserve"> includ</w:t>
            </w:r>
            <w:r w:rsidR="00570DFE" w:rsidRPr="00683FF0">
              <w:t>e</w:t>
            </w:r>
            <w:r w:rsidR="0E275F64" w:rsidRPr="00683FF0">
              <w:t xml:space="preserve"> building the evidence base for regenerative agriculture, food and fibre science and mātauranga </w:t>
            </w:r>
            <w:r w:rsidR="00570DFE" w:rsidRPr="00683FF0">
              <w:t>M</w:t>
            </w:r>
            <w:r w:rsidR="00570DFE" w:rsidRPr="00683FF0">
              <w:rPr>
                <w:rFonts w:cs="Calibri"/>
              </w:rPr>
              <w:t>ā</w:t>
            </w:r>
            <w:r w:rsidR="00570DFE" w:rsidRPr="00683FF0">
              <w:t xml:space="preserve">ori </w:t>
            </w:r>
            <w:r w:rsidR="0E275F64" w:rsidRPr="00683FF0">
              <w:t>accelerators, and low</w:t>
            </w:r>
            <w:r w:rsidR="007F2F1E" w:rsidRPr="00683FF0">
              <w:t>-</w:t>
            </w:r>
            <w:r w:rsidR="0E275F64" w:rsidRPr="00683FF0">
              <w:t>emissions Pāmu (</w:t>
            </w:r>
            <w:r w:rsidR="00D523FC" w:rsidRPr="00683FF0">
              <w:t>c</w:t>
            </w:r>
            <w:r w:rsidR="0E275F64" w:rsidRPr="00683FF0">
              <w:t>hapter 13</w:t>
            </w:r>
            <w:r w:rsidR="00D523FC" w:rsidRPr="00683FF0">
              <w:t>:</w:t>
            </w:r>
            <w:r w:rsidR="0E275F64" w:rsidRPr="00683FF0">
              <w:t xml:space="preserve"> Agriculture</w:t>
            </w:r>
            <w:r w:rsidR="00D523FC" w:rsidRPr="00683FF0">
              <w:t>,</w:t>
            </w:r>
            <w:r w:rsidR="0E275F64" w:rsidRPr="00683FF0">
              <w:t xml:space="preserve"> actions </w:t>
            </w:r>
            <w:r w:rsidR="00336468" w:rsidRPr="00683FF0">
              <w:t>13.</w:t>
            </w:r>
            <w:r w:rsidR="0E275F64" w:rsidRPr="00683FF0">
              <w:t>4.1</w:t>
            </w:r>
            <w:r w:rsidR="00D523FC" w:rsidRPr="00683FF0">
              <w:t>–</w:t>
            </w:r>
            <w:r w:rsidR="00336468" w:rsidRPr="00683FF0">
              <w:t>13.</w:t>
            </w:r>
            <w:r w:rsidR="0E275F64" w:rsidRPr="00683FF0">
              <w:t>4.3)</w:t>
            </w:r>
            <w:r w:rsidR="00D523FC" w:rsidRPr="00683FF0">
              <w:t>.</w:t>
            </w:r>
          </w:p>
        </w:tc>
      </w:tr>
      <w:tr w:rsidR="00A636B1" w:rsidRPr="00683FF0" w14:paraId="535B258D" w14:textId="77777777" w:rsidTr="006449DF">
        <w:tc>
          <w:tcPr>
            <w:tcW w:w="4508" w:type="dxa"/>
          </w:tcPr>
          <w:p w14:paraId="6B457CC5" w14:textId="77777777" w:rsidR="00A636B1" w:rsidRPr="00683FF0" w:rsidRDefault="00A636B1" w:rsidP="001E7E77">
            <w:pPr>
              <w:spacing w:before="40" w:after="40"/>
              <w:rPr>
                <w:sz w:val="18"/>
                <w:szCs w:val="18"/>
              </w:rPr>
            </w:pPr>
          </w:p>
        </w:tc>
        <w:tc>
          <w:tcPr>
            <w:tcW w:w="4508" w:type="dxa"/>
          </w:tcPr>
          <w:p w14:paraId="52D8052F" w14:textId="77777777" w:rsidR="00A636B1" w:rsidRPr="00683FF0" w:rsidRDefault="00A636B1" w:rsidP="006449DF">
            <w:pPr>
              <w:pStyle w:val="TableText"/>
              <w:rPr>
                <w:b/>
                <w:bCs/>
              </w:rPr>
            </w:pPr>
            <w:r w:rsidRPr="00683FF0">
              <w:rPr>
                <w:b/>
                <w:bCs/>
              </w:rPr>
              <w:t xml:space="preserve">Responsible agency: </w:t>
            </w:r>
            <w:r w:rsidRPr="00683FF0">
              <w:t>Ministry for Primary Industries</w:t>
            </w:r>
          </w:p>
          <w:p w14:paraId="444BBC5B" w14:textId="2885D88F" w:rsidR="00A636B1" w:rsidRPr="00683FF0" w:rsidRDefault="00A636B1" w:rsidP="007C3531">
            <w:pPr>
              <w:pStyle w:val="TableText"/>
              <w:spacing w:before="0"/>
            </w:pPr>
            <w:r w:rsidRPr="00683FF0">
              <w:rPr>
                <w:b/>
                <w:bCs/>
              </w:rPr>
              <w:t xml:space="preserve">Responsible Minister: </w:t>
            </w:r>
            <w:r w:rsidRPr="00683FF0">
              <w:t>Minister of Agriculture</w:t>
            </w:r>
          </w:p>
          <w:p w14:paraId="31D1B633" w14:textId="33419BD6" w:rsidR="00A636B1" w:rsidRPr="00683FF0" w:rsidRDefault="00A636B1" w:rsidP="007C3531">
            <w:pPr>
              <w:pStyle w:val="TableTextbold"/>
              <w:spacing w:before="0"/>
            </w:pPr>
            <w:r w:rsidRPr="00683FF0">
              <w:t xml:space="preserve">Timeline: </w:t>
            </w:r>
          </w:p>
          <w:p w14:paraId="77043050" w14:textId="7296F653" w:rsidR="00F36F26" w:rsidRPr="00683FF0" w:rsidRDefault="77C354B7" w:rsidP="006449DF">
            <w:pPr>
              <w:pStyle w:val="TableBullet"/>
            </w:pPr>
            <w:r w:rsidRPr="00683FF0">
              <w:t>24.1, 24.2a and b. 2022</w:t>
            </w:r>
            <w:r w:rsidR="00D523FC" w:rsidRPr="00683FF0">
              <w:t>–</w:t>
            </w:r>
            <w:r w:rsidRPr="00683FF0">
              <w:t>25 (EB1)</w:t>
            </w:r>
          </w:p>
          <w:p w14:paraId="38D8D281" w14:textId="383290F8" w:rsidR="00F36F26" w:rsidRPr="00683FF0" w:rsidRDefault="77C354B7" w:rsidP="006449DF">
            <w:pPr>
              <w:pStyle w:val="TableBullet"/>
            </w:pPr>
            <w:r w:rsidRPr="00683FF0">
              <w:t>24.2c.</w:t>
            </w:r>
            <w:r w:rsidRPr="00683FF0">
              <w:rPr>
                <w:b/>
                <w:bCs/>
              </w:rPr>
              <w:t xml:space="preserve"> </w:t>
            </w:r>
            <w:r w:rsidRPr="00683FF0">
              <w:t>2022</w:t>
            </w:r>
            <w:r w:rsidR="00D523FC" w:rsidRPr="00683FF0">
              <w:t>–</w:t>
            </w:r>
            <w:r w:rsidRPr="00683FF0">
              <w:t>25 (EB1). However, any new work as a</w:t>
            </w:r>
            <w:r w:rsidR="007C3531" w:rsidRPr="00683FF0">
              <w:t> </w:t>
            </w:r>
            <w:r w:rsidRPr="00683FF0">
              <w:t>result of the future of connectivity programme could be implemented from 2026</w:t>
            </w:r>
            <w:r w:rsidR="00D523FC" w:rsidRPr="00683FF0">
              <w:t>–</w:t>
            </w:r>
            <w:r w:rsidRPr="00683FF0">
              <w:t>30 (EB2)</w:t>
            </w:r>
          </w:p>
          <w:p w14:paraId="4BAADDA4" w14:textId="2778CBF3" w:rsidR="00A636B1" w:rsidRPr="00683FF0" w:rsidRDefault="77C354B7" w:rsidP="006449DF">
            <w:pPr>
              <w:pStyle w:val="TableBullet"/>
              <w:rPr>
                <w:b/>
                <w:bCs/>
              </w:rPr>
            </w:pPr>
            <w:r w:rsidRPr="00683FF0">
              <w:t>24.3. This work will commence from 2022</w:t>
            </w:r>
            <w:r w:rsidR="00D523FC" w:rsidRPr="00683FF0">
              <w:t>–</w:t>
            </w:r>
            <w:r w:rsidRPr="00683FF0">
              <w:t>25 (EB1) but implementation will likely span over all three budget periods depending on progress and funding</w:t>
            </w:r>
          </w:p>
          <w:p w14:paraId="7989DDA4" w14:textId="569BC731" w:rsidR="00A636B1" w:rsidRPr="00683FF0" w:rsidRDefault="7BF52D2A" w:rsidP="006449DF">
            <w:pPr>
              <w:pStyle w:val="TableBullet"/>
              <w:rPr>
                <w:b/>
                <w:bCs/>
              </w:rPr>
            </w:pPr>
            <w:r w:rsidRPr="00683FF0">
              <w:t>24.4. Further investigating will commence from 2022</w:t>
            </w:r>
            <w:r w:rsidR="00BE6A84" w:rsidRPr="00683FF0">
              <w:t>–</w:t>
            </w:r>
            <w:r w:rsidRPr="00683FF0">
              <w:t>25 (EB1). However, any new work programme established as a result of this work could commence from 2026</w:t>
            </w:r>
            <w:r w:rsidR="00BE6A84" w:rsidRPr="00683FF0">
              <w:t>–</w:t>
            </w:r>
            <w:r w:rsidRPr="00683FF0">
              <w:t>30 (EB2)</w:t>
            </w:r>
          </w:p>
          <w:p w14:paraId="1657184F" w14:textId="6C06F0BB" w:rsidR="00A636B1" w:rsidRPr="00683FF0" w:rsidRDefault="7BF52D2A" w:rsidP="006449DF">
            <w:pPr>
              <w:pStyle w:val="TableBullet"/>
              <w:rPr>
                <w:b/>
                <w:bCs/>
              </w:rPr>
            </w:pPr>
            <w:r w:rsidRPr="00683FF0">
              <w:t>24.5a.</w:t>
            </w:r>
            <w:r w:rsidRPr="00683FF0">
              <w:rPr>
                <w:b/>
                <w:bCs/>
              </w:rPr>
              <w:t xml:space="preserve"> </w:t>
            </w:r>
            <w:r w:rsidRPr="00683FF0">
              <w:t>This work will commence from 2022</w:t>
            </w:r>
            <w:r w:rsidR="00BE6A84" w:rsidRPr="00683FF0">
              <w:t>–</w:t>
            </w:r>
            <w:r w:rsidRPr="00683FF0">
              <w:t>25 (EB1) but implementation will likely span over all three budget periods depending on progress and funding</w:t>
            </w:r>
          </w:p>
          <w:p w14:paraId="63D09118" w14:textId="332B49F0" w:rsidR="00A636B1" w:rsidRPr="00683FF0" w:rsidRDefault="7BF52D2A" w:rsidP="006449DF">
            <w:pPr>
              <w:pStyle w:val="TableBullet"/>
            </w:pPr>
            <w:r w:rsidRPr="00683FF0">
              <w:t>24.5b and c. Policy work from 2022</w:t>
            </w:r>
            <w:r w:rsidR="00BE6A84" w:rsidRPr="00683FF0">
              <w:t>–</w:t>
            </w:r>
            <w:r w:rsidRPr="00683FF0">
              <w:t>25 (EB1) with any new actions commencing from 2026</w:t>
            </w:r>
            <w:r w:rsidR="00BE6A84" w:rsidRPr="00683FF0">
              <w:t>–</w:t>
            </w:r>
            <w:r w:rsidRPr="00683FF0">
              <w:t>30 (EB2)</w:t>
            </w:r>
          </w:p>
        </w:tc>
      </w:tr>
    </w:tbl>
    <w:p w14:paraId="2AEA853D" w14:textId="671A307B" w:rsidR="004C02DA" w:rsidRPr="00683FF0" w:rsidRDefault="004C02DA" w:rsidP="006449DF">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FB1BE0" w:rsidRPr="00683FF0" w14:paraId="28BACE25" w14:textId="77777777" w:rsidTr="00FB1BE0">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372D1050" w14:textId="44689D67" w:rsidR="001E7E77" w:rsidRPr="00683FF0" w:rsidRDefault="001E7E77" w:rsidP="00FB1BE0">
            <w:pPr>
              <w:pStyle w:val="TableTextbold"/>
              <w:rPr>
                <w:color w:val="FFFFFF" w:themeColor="background1"/>
              </w:rPr>
            </w:pPr>
            <w:r w:rsidRPr="00683FF0">
              <w:rPr>
                <w:color w:val="FFFFFF" w:themeColor="background1"/>
              </w:rPr>
              <w:t xml:space="preserve">Report </w:t>
            </w:r>
            <w:r w:rsidR="00BE6A84"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56D79D4F" w14:textId="7C6B478A" w:rsidR="001E7E77" w:rsidRPr="00683FF0" w:rsidRDefault="001E7E77" w:rsidP="00FB1BE0">
            <w:pPr>
              <w:pStyle w:val="TableTextbold"/>
              <w:rPr>
                <w:color w:val="FFFFFF" w:themeColor="background1"/>
              </w:rPr>
            </w:pPr>
            <w:r w:rsidRPr="00683FF0">
              <w:rPr>
                <w:color w:val="FFFFFF" w:themeColor="background1"/>
              </w:rPr>
              <w:t xml:space="preserve">Government </w:t>
            </w:r>
            <w:r w:rsidR="00BE6A84" w:rsidRPr="00683FF0">
              <w:rPr>
                <w:color w:val="FFFFFF" w:themeColor="background1"/>
              </w:rPr>
              <w:t>r</w:t>
            </w:r>
            <w:r w:rsidRPr="00683FF0">
              <w:rPr>
                <w:color w:val="FFFFFF" w:themeColor="background1"/>
              </w:rPr>
              <w:t>esponse</w:t>
            </w:r>
          </w:p>
        </w:tc>
      </w:tr>
      <w:tr w:rsidR="001E7E77" w:rsidRPr="00683FF0" w14:paraId="0673A8D7" w14:textId="77777777" w:rsidTr="00FB1BE0">
        <w:tc>
          <w:tcPr>
            <w:tcW w:w="4508" w:type="dxa"/>
            <w:tcBorders>
              <w:top w:val="single" w:sz="4" w:space="0" w:color="1B556B" w:themeColor="text2"/>
              <w:bottom w:val="nil"/>
            </w:tcBorders>
            <w:shd w:val="clear" w:color="auto" w:fill="D2DDE1" w:themeFill="background2"/>
          </w:tcPr>
          <w:p w14:paraId="4104DC28" w14:textId="526CCE32" w:rsidR="001E7E77" w:rsidRPr="00683FF0" w:rsidRDefault="001E7E77" w:rsidP="00FB1BE0">
            <w:pPr>
              <w:pStyle w:val="TableTextbold"/>
            </w:pPr>
            <w:r w:rsidRPr="00683FF0">
              <w:t>Recommendation 2</w:t>
            </w:r>
            <w:r w:rsidR="000A6344" w:rsidRPr="00683FF0">
              <w:t>4</w:t>
            </w:r>
            <w:r w:rsidRPr="00683FF0">
              <w:t xml:space="preserve"> – Provisional</w:t>
            </w:r>
            <w:r w:rsidR="004E3222" w:rsidRPr="00683FF0">
              <w:t xml:space="preserve"> progress</w:t>
            </w:r>
            <w:r w:rsidRPr="00683FF0">
              <w:t xml:space="preserve"> indicators</w:t>
            </w:r>
          </w:p>
        </w:tc>
        <w:tc>
          <w:tcPr>
            <w:tcW w:w="4508" w:type="dxa"/>
            <w:tcBorders>
              <w:top w:val="single" w:sz="4" w:space="0" w:color="1B556B" w:themeColor="text2"/>
              <w:bottom w:val="nil"/>
            </w:tcBorders>
            <w:shd w:val="clear" w:color="auto" w:fill="D2DDE1" w:themeFill="background2"/>
          </w:tcPr>
          <w:p w14:paraId="727ED30E" w14:textId="77777777" w:rsidR="001E7E77" w:rsidRPr="00683FF0" w:rsidRDefault="001E7E77" w:rsidP="00FB1BE0">
            <w:pPr>
              <w:pStyle w:val="TableTextbold"/>
            </w:pPr>
          </w:p>
        </w:tc>
      </w:tr>
      <w:tr w:rsidR="001E7E77" w:rsidRPr="00683FF0" w14:paraId="2DE6915D" w14:textId="77777777" w:rsidTr="00FB1BE0">
        <w:tc>
          <w:tcPr>
            <w:tcW w:w="4508" w:type="dxa"/>
            <w:tcBorders>
              <w:top w:val="nil"/>
            </w:tcBorders>
            <w:shd w:val="clear" w:color="auto" w:fill="FFFFFF" w:themeFill="background1"/>
          </w:tcPr>
          <w:p w14:paraId="1E20F130" w14:textId="125F3E4F" w:rsidR="001E7E77" w:rsidRPr="00683FF0" w:rsidRDefault="004E3222" w:rsidP="00FB1BE0">
            <w:pPr>
              <w:pStyle w:val="TableText"/>
            </w:pPr>
            <w:r w:rsidRPr="00683FF0">
              <w:t>24.</w:t>
            </w:r>
            <w:r w:rsidR="00F36F26" w:rsidRPr="00683FF0">
              <w:t xml:space="preserve">1. </w:t>
            </w:r>
            <w:r w:rsidR="000A6344" w:rsidRPr="00683FF0">
              <w:t>Government to have, by 31 December 2022, developed and published a long-term plan for funding research and development to support reductions in agricultural emissions. Note: The Commission will also be assessing the progress made towards the milestones of He Waka Eke Noa.</w:t>
            </w:r>
          </w:p>
        </w:tc>
        <w:tc>
          <w:tcPr>
            <w:tcW w:w="4508" w:type="dxa"/>
            <w:tcBorders>
              <w:top w:val="nil"/>
            </w:tcBorders>
            <w:shd w:val="clear" w:color="auto" w:fill="FFFFFF" w:themeFill="background1"/>
          </w:tcPr>
          <w:p w14:paraId="70D170F0" w14:textId="1C6E5345" w:rsidR="001E7E77" w:rsidRPr="00683FF0" w:rsidRDefault="6169947C" w:rsidP="00FB1BE0">
            <w:pPr>
              <w:pStyle w:val="TableText"/>
            </w:pPr>
            <w:r w:rsidRPr="00683FF0">
              <w:rPr>
                <w:b/>
                <w:bCs/>
              </w:rPr>
              <w:t>24.1</w:t>
            </w:r>
            <w:r w:rsidR="005634E2" w:rsidRPr="00683FF0">
              <w:rPr>
                <w:b/>
                <w:bCs/>
              </w:rPr>
              <w:t>.</w:t>
            </w:r>
            <w:r w:rsidRPr="00683FF0">
              <w:rPr>
                <w:b/>
                <w:bCs/>
              </w:rPr>
              <w:t xml:space="preserve"> The Government agrees in principle with this provisional </w:t>
            </w:r>
            <w:r w:rsidR="004E3222" w:rsidRPr="00683FF0">
              <w:rPr>
                <w:b/>
                <w:bCs/>
              </w:rPr>
              <w:t xml:space="preserve">progress </w:t>
            </w:r>
            <w:r w:rsidRPr="00683FF0">
              <w:rPr>
                <w:b/>
                <w:bCs/>
              </w:rPr>
              <w:t xml:space="preserve">indicator. </w:t>
            </w:r>
            <w:r w:rsidR="00A432CF" w:rsidRPr="00683FF0">
              <w:t xml:space="preserve">The </w:t>
            </w:r>
            <w:r w:rsidRPr="00683FF0">
              <w:t>Government, in partnership with industry, Māori and the science sector, is currently developing a research and development plan for science and mātauranga</w:t>
            </w:r>
            <w:r w:rsidR="001F0481" w:rsidRPr="00683FF0">
              <w:t xml:space="preserve"> M</w:t>
            </w:r>
            <w:r w:rsidR="001F0481" w:rsidRPr="00683FF0">
              <w:rPr>
                <w:rFonts w:cstheme="minorHAnsi"/>
              </w:rPr>
              <w:t>ā</w:t>
            </w:r>
            <w:r w:rsidR="001F0481" w:rsidRPr="00683FF0">
              <w:t>ori</w:t>
            </w:r>
            <w:r w:rsidRPr="00683FF0">
              <w:t xml:space="preserve"> to reduce biological emissions from agriculture. This is expected to be published in mid-2022 (</w:t>
            </w:r>
            <w:r w:rsidR="001F0481" w:rsidRPr="00683FF0">
              <w:t>c</w:t>
            </w:r>
            <w:r w:rsidRPr="00683FF0">
              <w:t>hapter 13</w:t>
            </w:r>
            <w:r w:rsidR="001F0481" w:rsidRPr="00683FF0">
              <w:t>:</w:t>
            </w:r>
            <w:r w:rsidRPr="00683FF0">
              <w:t xml:space="preserve"> Agriculture</w:t>
            </w:r>
            <w:r w:rsidR="001F0481" w:rsidRPr="00683FF0">
              <w:t>,</w:t>
            </w:r>
            <w:r w:rsidRPr="00683FF0">
              <w:t xml:space="preserve"> action</w:t>
            </w:r>
            <w:r w:rsidR="00F4613A" w:rsidRPr="00683FF0">
              <w:t> </w:t>
            </w:r>
            <w:r w:rsidR="00336468" w:rsidRPr="00683FF0">
              <w:t>13.</w:t>
            </w:r>
            <w:r w:rsidRPr="00683FF0">
              <w:t xml:space="preserve">2.1). </w:t>
            </w:r>
          </w:p>
        </w:tc>
      </w:tr>
      <w:tr w:rsidR="001E7E77" w:rsidRPr="00683FF0" w14:paraId="3A82EED5" w14:textId="77777777" w:rsidTr="00FB1BE0">
        <w:tc>
          <w:tcPr>
            <w:tcW w:w="4508" w:type="dxa"/>
          </w:tcPr>
          <w:p w14:paraId="01635F1A" w14:textId="13AEAC9E" w:rsidR="001E7E77" w:rsidRPr="00683FF0" w:rsidRDefault="004E3222" w:rsidP="00FB1BE0">
            <w:pPr>
              <w:pStyle w:val="TableText"/>
            </w:pPr>
            <w:r w:rsidRPr="00683FF0">
              <w:t>24.</w:t>
            </w:r>
            <w:r w:rsidR="00F36F26" w:rsidRPr="00683FF0">
              <w:t xml:space="preserve">2. </w:t>
            </w:r>
            <w:r w:rsidR="000A6344" w:rsidRPr="00683FF0">
              <w:t>Government to annually, from 31 December 2022, report information on the total investment into research and development into reducing agricultural emissions.</w:t>
            </w:r>
          </w:p>
        </w:tc>
        <w:tc>
          <w:tcPr>
            <w:tcW w:w="4508" w:type="dxa"/>
          </w:tcPr>
          <w:p w14:paraId="5C441267" w14:textId="79D03BE2" w:rsidR="001E7E77" w:rsidRPr="00683FF0" w:rsidRDefault="001F0481" w:rsidP="00FB1BE0">
            <w:pPr>
              <w:pStyle w:val="TableText"/>
            </w:pPr>
            <w:r w:rsidRPr="00683FF0">
              <w:rPr>
                <w:b/>
                <w:bCs/>
              </w:rPr>
              <w:t>24.2</w:t>
            </w:r>
            <w:r w:rsidR="005634E2" w:rsidRPr="00683FF0">
              <w:rPr>
                <w:b/>
                <w:bCs/>
              </w:rPr>
              <w:t>.</w:t>
            </w:r>
            <w:r w:rsidRPr="00683FF0">
              <w:rPr>
                <w:b/>
                <w:bCs/>
              </w:rPr>
              <w:t xml:space="preserve"> The Government agrees with this provisional </w:t>
            </w:r>
            <w:r w:rsidR="004E3222" w:rsidRPr="00683FF0">
              <w:rPr>
                <w:b/>
                <w:bCs/>
              </w:rPr>
              <w:t xml:space="preserve">progress </w:t>
            </w:r>
            <w:r w:rsidRPr="00683FF0">
              <w:rPr>
                <w:b/>
                <w:bCs/>
              </w:rPr>
              <w:t xml:space="preserve">indicator. </w:t>
            </w:r>
            <w:r w:rsidRPr="00683FF0">
              <w:t>This</w:t>
            </w:r>
            <w:r w:rsidR="00F4613A" w:rsidRPr="00683FF0">
              <w:t xml:space="preserve"> information</w:t>
            </w:r>
            <w:r w:rsidRPr="00683FF0">
              <w:t xml:space="preserve"> will be included as part of</w:t>
            </w:r>
            <w:r w:rsidR="008974EC" w:rsidRPr="00683FF0">
              <w:t xml:space="preserve"> Aotearoa</w:t>
            </w:r>
            <w:r w:rsidRPr="00683FF0">
              <w:t xml:space="preserve"> New Zealand’s climate change reporting. </w:t>
            </w:r>
          </w:p>
        </w:tc>
      </w:tr>
      <w:tr w:rsidR="001F0481" w:rsidRPr="00683FF0" w14:paraId="1270F550" w14:textId="77777777" w:rsidTr="00FB1BE0">
        <w:tc>
          <w:tcPr>
            <w:tcW w:w="4508" w:type="dxa"/>
          </w:tcPr>
          <w:p w14:paraId="614E2D18" w14:textId="77777777" w:rsidR="001F0481" w:rsidRPr="00683FF0" w:rsidRDefault="001F0481" w:rsidP="00FB1BE0">
            <w:pPr>
              <w:pStyle w:val="TableText"/>
            </w:pPr>
          </w:p>
        </w:tc>
        <w:tc>
          <w:tcPr>
            <w:tcW w:w="4508" w:type="dxa"/>
          </w:tcPr>
          <w:p w14:paraId="680FE0B1" w14:textId="77777777" w:rsidR="001F0481" w:rsidRPr="00683FF0" w:rsidRDefault="001F0481" w:rsidP="00FB1BE0">
            <w:pPr>
              <w:pStyle w:val="TableText"/>
              <w:rPr>
                <w:b/>
                <w:bCs/>
              </w:rPr>
            </w:pPr>
            <w:r w:rsidRPr="00683FF0">
              <w:rPr>
                <w:b/>
                <w:bCs/>
              </w:rPr>
              <w:t xml:space="preserve">Responsible agency: </w:t>
            </w:r>
            <w:r w:rsidRPr="00683FF0">
              <w:t xml:space="preserve">Ministry for Primary Industries </w:t>
            </w:r>
          </w:p>
          <w:p w14:paraId="5E73EB5E" w14:textId="77777777" w:rsidR="001F0481" w:rsidRPr="00683FF0" w:rsidRDefault="001F0481" w:rsidP="007C3531">
            <w:pPr>
              <w:pStyle w:val="TableText"/>
              <w:spacing w:before="0"/>
            </w:pPr>
            <w:r w:rsidRPr="00683FF0">
              <w:rPr>
                <w:b/>
                <w:bCs/>
              </w:rPr>
              <w:t xml:space="preserve">Responsible Minister: </w:t>
            </w:r>
            <w:r w:rsidRPr="00683FF0">
              <w:t xml:space="preserve">Minister of Agriculture </w:t>
            </w:r>
          </w:p>
          <w:p w14:paraId="090BAE26" w14:textId="77777777" w:rsidR="001F0481" w:rsidRPr="00683FF0" w:rsidRDefault="001F0481" w:rsidP="007C3531">
            <w:pPr>
              <w:pStyle w:val="TableTextbold"/>
              <w:spacing w:before="0"/>
            </w:pPr>
            <w:r w:rsidRPr="00683FF0">
              <w:t xml:space="preserve">Timeline: </w:t>
            </w:r>
          </w:p>
          <w:p w14:paraId="25AAD018" w14:textId="5CB661A9" w:rsidR="001F0481" w:rsidRPr="00683FF0" w:rsidRDefault="001F0481" w:rsidP="00FB1BE0">
            <w:pPr>
              <w:pStyle w:val="TableBullet"/>
            </w:pPr>
            <w:r w:rsidRPr="00683FF0">
              <w:t>24.1. 2022–25 (EB1)</w:t>
            </w:r>
          </w:p>
          <w:p w14:paraId="0F24D0F5" w14:textId="401FF946" w:rsidR="001F0481" w:rsidRPr="00683FF0" w:rsidRDefault="001F0481" w:rsidP="00FB1BE0">
            <w:pPr>
              <w:pStyle w:val="TableBullet"/>
              <w:rPr>
                <w:b/>
                <w:bCs/>
              </w:rPr>
            </w:pPr>
            <w:r w:rsidRPr="00683FF0">
              <w:t>24.2. 2023 onwards</w:t>
            </w:r>
          </w:p>
        </w:tc>
      </w:tr>
    </w:tbl>
    <w:p w14:paraId="44BB20C5" w14:textId="77777777" w:rsidR="00AB6168" w:rsidRPr="00683FF0" w:rsidRDefault="00AB6168" w:rsidP="00FB1BE0">
      <w:pPr>
        <w:pStyle w:val="BodyText"/>
      </w:pPr>
      <w:r w:rsidRPr="00683FF0">
        <w:br w:type="page"/>
      </w:r>
    </w:p>
    <w:p w14:paraId="1E4B3D5D" w14:textId="40DE1E09" w:rsidR="004C02DA" w:rsidRPr="00683FF0" w:rsidRDefault="00180B6A" w:rsidP="00F36F26">
      <w:pPr>
        <w:pStyle w:val="Heading1"/>
      </w:pPr>
      <w:bookmarkStart w:id="52" w:name="_Toc103175840"/>
      <w:bookmarkStart w:id="53" w:name="_Toc103778803"/>
      <w:r w:rsidRPr="00683FF0">
        <w:lastRenderedPageBreak/>
        <w:t xml:space="preserve">Recommendation 25: </w:t>
      </w:r>
      <w:r w:rsidR="007E2BE8" w:rsidRPr="00683FF0">
        <w:br/>
      </w:r>
      <w:r w:rsidR="00AB6168" w:rsidRPr="00683FF0">
        <w:t>Policy direction for forests and</w:t>
      </w:r>
      <w:r w:rsidR="007E2BE8" w:rsidRPr="00683FF0">
        <w:t> </w:t>
      </w:r>
      <w:r w:rsidR="00AB6168" w:rsidRPr="00683FF0">
        <w:t>other carbon stocks</w:t>
      </w:r>
      <w:bookmarkEnd w:id="52"/>
      <w:bookmarkEnd w:id="53"/>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5F6D33" w:rsidRPr="00683FF0" w14:paraId="418D22FD" w14:textId="77777777" w:rsidTr="00397544">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2A3D6894" w14:textId="350B1E5F" w:rsidR="001E7E77" w:rsidRPr="00683FF0" w:rsidRDefault="001E7E77" w:rsidP="005F6D33">
            <w:pPr>
              <w:pStyle w:val="TableTextbold"/>
              <w:rPr>
                <w:color w:val="FFFFFF" w:themeColor="background1"/>
              </w:rPr>
            </w:pPr>
            <w:r w:rsidRPr="00683FF0">
              <w:rPr>
                <w:color w:val="FFFFFF" w:themeColor="background1"/>
              </w:rPr>
              <w:t xml:space="preserve">Report </w:t>
            </w:r>
            <w:r w:rsidR="00AC68B2" w:rsidRPr="00683FF0">
              <w:rPr>
                <w:color w:val="FFFFFF" w:themeColor="background1"/>
              </w:rPr>
              <w:t>recommendation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10E1CD49" w14:textId="32A37913" w:rsidR="001E7E77" w:rsidRPr="00683FF0" w:rsidRDefault="001E7E77" w:rsidP="005F6D33">
            <w:pPr>
              <w:pStyle w:val="TableTextbold"/>
              <w:rPr>
                <w:color w:val="FFFFFF" w:themeColor="background1"/>
              </w:rPr>
            </w:pPr>
            <w:r w:rsidRPr="00683FF0">
              <w:rPr>
                <w:color w:val="FFFFFF" w:themeColor="background1"/>
              </w:rPr>
              <w:t xml:space="preserve">Government </w:t>
            </w:r>
            <w:r w:rsidR="00AC68B2" w:rsidRPr="00683FF0">
              <w:rPr>
                <w:color w:val="FFFFFF" w:themeColor="background1"/>
              </w:rPr>
              <w:t>response</w:t>
            </w:r>
          </w:p>
        </w:tc>
      </w:tr>
      <w:tr w:rsidR="001E7E77" w:rsidRPr="00683FF0" w14:paraId="04D6E168" w14:textId="77777777" w:rsidTr="005F6D33">
        <w:tc>
          <w:tcPr>
            <w:tcW w:w="4508" w:type="dxa"/>
            <w:tcBorders>
              <w:top w:val="single" w:sz="4" w:space="0" w:color="1B556B" w:themeColor="text2"/>
            </w:tcBorders>
          </w:tcPr>
          <w:p w14:paraId="5E8429F6" w14:textId="1DCD03C6" w:rsidR="001E7E77" w:rsidRPr="00683FF0" w:rsidRDefault="001E7E77" w:rsidP="00397544">
            <w:pPr>
              <w:pStyle w:val="TableTextbold"/>
              <w:spacing w:after="0"/>
            </w:pPr>
            <w:r w:rsidRPr="00683FF0">
              <w:t>Recommendation 2</w:t>
            </w:r>
            <w:r w:rsidR="000A6344" w:rsidRPr="00683FF0">
              <w:t>5</w:t>
            </w:r>
            <w:r w:rsidRPr="00683FF0">
              <w:t xml:space="preserve"> – </w:t>
            </w:r>
            <w:r w:rsidR="000A6344" w:rsidRPr="00683FF0">
              <w:t>Manage forests to provide a long-term carbon sink</w:t>
            </w:r>
          </w:p>
          <w:p w14:paraId="0F4AAB58" w14:textId="514DF93F" w:rsidR="001E7E77" w:rsidRPr="00683FF0" w:rsidRDefault="000A6344" w:rsidP="005F6D33">
            <w:pPr>
              <w:pStyle w:val="TableText"/>
            </w:pPr>
            <w:r w:rsidRPr="00683FF0">
              <w:t>We recommend that, in the first emissions reduction plan, the Government commit to: Developing a framework of actions to deliver a mix of exotic and native forest sinks, and manage these and other carbon stocks, to provide flexibility to meet emissions budgets and targets. This should include:</w:t>
            </w:r>
          </w:p>
        </w:tc>
        <w:tc>
          <w:tcPr>
            <w:tcW w:w="4508" w:type="dxa"/>
            <w:tcBorders>
              <w:top w:val="single" w:sz="4" w:space="0" w:color="1B556B" w:themeColor="text2"/>
            </w:tcBorders>
          </w:tcPr>
          <w:p w14:paraId="3E9C14CD" w14:textId="2AA1A27E" w:rsidR="005C31F9" w:rsidRPr="00683FF0" w:rsidRDefault="005C31F9" w:rsidP="005F6D33">
            <w:pPr>
              <w:pStyle w:val="TableText"/>
              <w:rPr>
                <w:b/>
                <w:bCs/>
                <w:szCs w:val="18"/>
              </w:rPr>
            </w:pPr>
            <w:r w:rsidRPr="00683FF0">
              <w:t xml:space="preserve">The Government will also work with the nursery sector to investigate options to lower costs, address supply chain barriers, and improve the successful establishment of native forests including through research to protect/enhance carbon stored in existing native forests. It will also explore science-based technologies to support sustainable expansion of the sector, and provide training in silviculture as well as support for Māori-led approaches to native forest establishment (chapter 14: Forestry, actions </w:t>
            </w:r>
            <w:r w:rsidRPr="00683FF0">
              <w:rPr>
                <w:rFonts w:eastAsia="Times New Roman"/>
              </w:rPr>
              <w:t xml:space="preserve">14.1.2, 14.1.3, </w:t>
            </w:r>
            <w:r w:rsidRPr="00683FF0">
              <w:t xml:space="preserve">14.2.1 to 14.2.3, </w:t>
            </w:r>
            <w:r w:rsidRPr="00683FF0">
              <w:rPr>
                <w:rFonts w:eastAsia="Times New Roman"/>
              </w:rPr>
              <w:t>14.3.1,</w:t>
            </w:r>
            <w:r w:rsidRPr="00683FF0">
              <w:t>14.3.2, 14.4.1).</w:t>
            </w:r>
          </w:p>
        </w:tc>
      </w:tr>
      <w:tr w:rsidR="001E7E77" w:rsidRPr="00683FF0" w14:paraId="6CF62B2E" w14:textId="77777777" w:rsidTr="005F6D33">
        <w:tc>
          <w:tcPr>
            <w:tcW w:w="4508" w:type="dxa"/>
          </w:tcPr>
          <w:p w14:paraId="143E502D" w14:textId="0E6BDA4F" w:rsidR="001E7E77" w:rsidRPr="00683FF0" w:rsidRDefault="000A6344" w:rsidP="005F6D33">
            <w:pPr>
              <w:pStyle w:val="TableText"/>
            </w:pPr>
            <w:r w:rsidRPr="00683FF0">
              <w:t>25.1</w:t>
            </w:r>
            <w:r w:rsidR="005634E2" w:rsidRPr="00683FF0">
              <w:t>.</w:t>
            </w:r>
            <w:r w:rsidRPr="00683FF0">
              <w:t xml:space="preserve"> Establishing a long-term carbon sink through a comprehensive national programme to incentivise the reversion and planting of new native forests to maintain net zero long-lived greenhouse gas emissions beyond 2050.</w:t>
            </w:r>
          </w:p>
        </w:tc>
        <w:tc>
          <w:tcPr>
            <w:tcW w:w="4508" w:type="dxa"/>
          </w:tcPr>
          <w:p w14:paraId="3596959B" w14:textId="05865D4E" w:rsidR="006C0D74" w:rsidRPr="00683FF0" w:rsidRDefault="22D504FA" w:rsidP="005F6D33">
            <w:pPr>
              <w:pStyle w:val="TableText"/>
            </w:pPr>
            <w:r w:rsidRPr="00683FF0">
              <w:rPr>
                <w:b/>
                <w:bCs/>
              </w:rPr>
              <w:t xml:space="preserve">25.1. </w:t>
            </w:r>
            <w:r w:rsidR="789057A5" w:rsidRPr="00683FF0">
              <w:rPr>
                <w:b/>
                <w:bCs/>
              </w:rPr>
              <w:t>The Government agrees in principle with this recommendation.</w:t>
            </w:r>
            <w:r w:rsidR="62C3FB60" w:rsidRPr="00683FF0">
              <w:rPr>
                <w:b/>
                <w:bCs/>
              </w:rPr>
              <w:t xml:space="preserve"> </w:t>
            </w:r>
            <w:r w:rsidR="62C3FB60" w:rsidRPr="00683FF0">
              <w:t>To</w:t>
            </w:r>
            <w:r w:rsidR="09DA18AE" w:rsidRPr="00683FF0">
              <w:t xml:space="preserve"> encourage native forest as long-term carbon sink, the Government is reviewing the NZ ETS yield tables (carbon look</w:t>
            </w:r>
            <w:r w:rsidR="00547750" w:rsidRPr="00683FF0">
              <w:t>-</w:t>
            </w:r>
            <w:r w:rsidR="09DA18AE" w:rsidRPr="00683FF0">
              <w:t>up tables) to include indigenous species as well as extending the table beyond 50 years</w:t>
            </w:r>
            <w:r w:rsidR="00A667FD" w:rsidRPr="00683FF0">
              <w:t>. It is also</w:t>
            </w:r>
            <w:r w:rsidR="09DA18AE" w:rsidRPr="00683FF0">
              <w:t xml:space="preserve"> exploring technologies that enable accurate measurement of carbon stored in specific forests</w:t>
            </w:r>
            <w:r w:rsidR="62C3FB60" w:rsidRPr="00683FF0">
              <w:t xml:space="preserve"> </w:t>
            </w:r>
          </w:p>
        </w:tc>
      </w:tr>
      <w:tr w:rsidR="000A6344" w:rsidRPr="00683FF0" w14:paraId="650D2CC2" w14:textId="77777777" w:rsidTr="005F6D33">
        <w:tc>
          <w:tcPr>
            <w:tcW w:w="4508" w:type="dxa"/>
          </w:tcPr>
          <w:p w14:paraId="23C19229" w14:textId="5AA2B385" w:rsidR="000A6344" w:rsidRPr="00683FF0" w:rsidRDefault="000A6344" w:rsidP="005F6D33">
            <w:pPr>
              <w:pStyle w:val="TableText"/>
            </w:pPr>
            <w:r w:rsidRPr="00683FF0">
              <w:t>25.2</w:t>
            </w:r>
            <w:r w:rsidR="005634E2" w:rsidRPr="00683FF0">
              <w:t>.</w:t>
            </w:r>
            <w:r w:rsidRPr="00683FF0">
              <w:t xml:space="preserve"> Designing a package of policies to reduce reliance on forestry removals and manage the impacts of afforestation including: </w:t>
            </w:r>
          </w:p>
          <w:p w14:paraId="2A5B3F0F" w14:textId="497840D6" w:rsidR="000A6344" w:rsidRPr="00683FF0" w:rsidRDefault="000A6344" w:rsidP="00D21268">
            <w:pPr>
              <w:pStyle w:val="TableText"/>
              <w:numPr>
                <w:ilvl w:val="0"/>
                <w:numId w:val="40"/>
              </w:numPr>
              <w:spacing w:before="0"/>
              <w:ind w:left="284" w:hanging="284"/>
            </w:pPr>
            <w:r w:rsidRPr="00683FF0">
              <w:t xml:space="preserve">Amendments to the NZ ETS to manage the amount of exotic forest planting driven by the scheme (see also Recommendation 11 on the NZ ETS). </w:t>
            </w:r>
          </w:p>
          <w:p w14:paraId="4C747FEF" w14:textId="7B43D057" w:rsidR="000A6344" w:rsidRPr="00683FF0" w:rsidRDefault="000A6344" w:rsidP="00D21268">
            <w:pPr>
              <w:pStyle w:val="TableText"/>
              <w:numPr>
                <w:ilvl w:val="0"/>
                <w:numId w:val="40"/>
              </w:numPr>
              <w:spacing w:before="0"/>
              <w:ind w:left="284" w:hanging="284"/>
            </w:pPr>
            <w:r w:rsidRPr="00683FF0">
              <w:t>A clear position on the role and desirability of different types of permanent exotic forests as carbon sinks, and amending the NZ ETS and other policies accordingly.</w:t>
            </w:r>
          </w:p>
          <w:p w14:paraId="74621AC1" w14:textId="7F99E2B9" w:rsidR="000A6344" w:rsidRPr="00683FF0" w:rsidRDefault="000A6344" w:rsidP="00D21268">
            <w:pPr>
              <w:pStyle w:val="TableText"/>
              <w:numPr>
                <w:ilvl w:val="0"/>
                <w:numId w:val="40"/>
              </w:numPr>
              <w:spacing w:before="0"/>
              <w:ind w:left="284" w:hanging="284"/>
              <w:rPr>
                <w:szCs w:val="18"/>
              </w:rPr>
            </w:pPr>
            <w:r w:rsidRPr="00683FF0">
              <w:t>Land-use planning, direction and tools to help local government manage afforestation, mitigate localised impacts of afforestation and to achieve environmental co-benefits.</w:t>
            </w:r>
          </w:p>
        </w:tc>
        <w:tc>
          <w:tcPr>
            <w:tcW w:w="4508" w:type="dxa"/>
          </w:tcPr>
          <w:p w14:paraId="163E16AA" w14:textId="1C287CE8" w:rsidR="62BB63F9" w:rsidRPr="00683FF0" w:rsidRDefault="22D504FA" w:rsidP="005F6D33">
            <w:pPr>
              <w:pStyle w:val="TableText"/>
              <w:rPr>
                <w:rFonts w:eastAsia="Times New Roman"/>
              </w:rPr>
            </w:pPr>
            <w:r w:rsidRPr="00683FF0">
              <w:rPr>
                <w:b/>
                <w:bCs/>
              </w:rPr>
              <w:t xml:space="preserve">25.2.a. </w:t>
            </w:r>
            <w:r w:rsidR="789057A5" w:rsidRPr="00683FF0">
              <w:rPr>
                <w:b/>
                <w:bCs/>
              </w:rPr>
              <w:t>The Government agrees in principle with this recommendation.</w:t>
            </w:r>
            <w:r w:rsidRPr="00683FF0">
              <w:rPr>
                <w:b/>
                <w:bCs/>
              </w:rPr>
              <w:t xml:space="preserve"> </w:t>
            </w:r>
            <w:r w:rsidR="33595FA8" w:rsidRPr="00683FF0">
              <w:t>The Government is consulting on potential measures to ensure regulatory settings deliver the right type and scale of forests in the right place</w:t>
            </w:r>
            <w:r w:rsidR="002834E5" w:rsidRPr="00683FF0">
              <w:t>. These measures may</w:t>
            </w:r>
            <w:r w:rsidR="33595FA8" w:rsidRPr="00683FF0">
              <w:t xml:space="preserve"> </w:t>
            </w:r>
            <w:r w:rsidR="002834E5" w:rsidRPr="00683FF0">
              <w:t>involve</w:t>
            </w:r>
            <w:r w:rsidR="33595FA8" w:rsidRPr="00683FF0">
              <w:t xml:space="preserve"> changes to </w:t>
            </w:r>
            <w:r w:rsidR="00004DA7" w:rsidRPr="00683FF0">
              <w:t xml:space="preserve">the </w:t>
            </w:r>
            <w:r w:rsidR="33595FA8" w:rsidRPr="00683FF0">
              <w:t>NZ ETS to support a better mix of forest type, retain important productive land uses and better manage the potential long-term environmental effects of exotic forests, including restricting exotic forests from</w:t>
            </w:r>
            <w:r w:rsidR="002834E5" w:rsidRPr="00683FF0">
              <w:t xml:space="preserve"> the</w:t>
            </w:r>
            <w:r w:rsidR="33595FA8" w:rsidRPr="00683FF0">
              <w:t xml:space="preserve"> permanent post-1989 forest category and adjusting the application of accounting rules to remote/marginal land to support production of this land (</w:t>
            </w:r>
            <w:r w:rsidR="002834E5" w:rsidRPr="00683FF0">
              <w:t>c</w:t>
            </w:r>
            <w:r w:rsidR="33595FA8" w:rsidRPr="00683FF0">
              <w:t>hapter 14</w:t>
            </w:r>
            <w:r w:rsidR="002834E5" w:rsidRPr="00683FF0">
              <w:t>:</w:t>
            </w:r>
            <w:r w:rsidR="33595FA8" w:rsidRPr="00683FF0">
              <w:t xml:space="preserve"> Forestry</w:t>
            </w:r>
            <w:r w:rsidR="002834E5" w:rsidRPr="00683FF0">
              <w:t>,</w:t>
            </w:r>
            <w:r w:rsidR="33595FA8" w:rsidRPr="00683FF0">
              <w:t xml:space="preserve"> action 14.1.1).</w:t>
            </w:r>
          </w:p>
          <w:p w14:paraId="3AE839B8" w14:textId="1EAB4492" w:rsidR="00C54714" w:rsidRPr="00683FF0" w:rsidRDefault="22D504FA" w:rsidP="005F6D33">
            <w:pPr>
              <w:pStyle w:val="TableText"/>
              <w:rPr>
                <w:b/>
                <w:bCs/>
              </w:rPr>
            </w:pPr>
            <w:r w:rsidRPr="00683FF0">
              <w:rPr>
                <w:b/>
                <w:bCs/>
              </w:rPr>
              <w:t xml:space="preserve">25.2.b. </w:t>
            </w:r>
            <w:r w:rsidR="789057A5" w:rsidRPr="00683FF0">
              <w:rPr>
                <w:b/>
                <w:bCs/>
              </w:rPr>
              <w:t>The Government agrees in principle with this recommendation.</w:t>
            </w:r>
            <w:r w:rsidRPr="00683FF0">
              <w:rPr>
                <w:b/>
                <w:bCs/>
              </w:rPr>
              <w:t xml:space="preserve"> </w:t>
            </w:r>
            <w:r w:rsidR="2545F9D3" w:rsidRPr="00683FF0">
              <w:t xml:space="preserve">The Government is currently consulting on possible changes to forestry settings in the NZ ETS to balance the mix of forests </w:t>
            </w:r>
            <w:r w:rsidR="2545F9D3" w:rsidRPr="00683FF0">
              <w:rPr>
                <w:rFonts w:eastAsia="Times New Roman"/>
              </w:rPr>
              <w:t>(</w:t>
            </w:r>
            <w:r w:rsidR="00D70202" w:rsidRPr="00683FF0">
              <w:rPr>
                <w:rFonts w:eastAsia="Times New Roman"/>
              </w:rPr>
              <w:t>c</w:t>
            </w:r>
            <w:r w:rsidR="2545F9D3" w:rsidRPr="00683FF0">
              <w:rPr>
                <w:rFonts w:eastAsia="Times New Roman"/>
              </w:rPr>
              <w:t>hapter 14</w:t>
            </w:r>
            <w:r w:rsidR="00D70202" w:rsidRPr="00683FF0">
              <w:rPr>
                <w:rFonts w:eastAsia="Times New Roman"/>
              </w:rPr>
              <w:t>:</w:t>
            </w:r>
            <w:r w:rsidR="2545F9D3" w:rsidRPr="00683FF0">
              <w:rPr>
                <w:rFonts w:eastAsia="Times New Roman"/>
              </w:rPr>
              <w:t xml:space="preserve"> Forestry</w:t>
            </w:r>
            <w:r w:rsidR="00D70202" w:rsidRPr="00683FF0">
              <w:rPr>
                <w:rFonts w:eastAsia="Times New Roman"/>
              </w:rPr>
              <w:t>,</w:t>
            </w:r>
            <w:r w:rsidR="2545F9D3" w:rsidRPr="00683FF0">
              <w:rPr>
                <w:rFonts w:eastAsia="Times New Roman"/>
              </w:rPr>
              <w:t xml:space="preserve"> action</w:t>
            </w:r>
            <w:r w:rsidR="00004DA7" w:rsidRPr="00683FF0">
              <w:rPr>
                <w:rFonts w:eastAsia="Times New Roman"/>
              </w:rPr>
              <w:t> </w:t>
            </w:r>
            <w:r w:rsidR="2545F9D3" w:rsidRPr="00683FF0">
              <w:rPr>
                <w:rFonts w:eastAsia="Times New Roman"/>
              </w:rPr>
              <w:t>14.1.1).</w:t>
            </w:r>
          </w:p>
          <w:p w14:paraId="72A9541F" w14:textId="577B03D1" w:rsidR="00C54714" w:rsidRPr="00683FF0" w:rsidRDefault="22D504FA" w:rsidP="005F6D33">
            <w:pPr>
              <w:pStyle w:val="TableText"/>
              <w:rPr>
                <w:rFonts w:eastAsia="Times New Roman"/>
              </w:rPr>
            </w:pPr>
            <w:r w:rsidRPr="00683FF0">
              <w:rPr>
                <w:b/>
                <w:bCs/>
              </w:rPr>
              <w:t xml:space="preserve">25.2.c. </w:t>
            </w:r>
            <w:r w:rsidR="789057A5" w:rsidRPr="00683FF0">
              <w:rPr>
                <w:b/>
                <w:bCs/>
              </w:rPr>
              <w:t>The Government agrees in principle with this recommendation.</w:t>
            </w:r>
            <w:r w:rsidRPr="00683FF0">
              <w:rPr>
                <w:b/>
                <w:bCs/>
              </w:rPr>
              <w:t xml:space="preserve"> </w:t>
            </w:r>
            <w:r w:rsidR="2545F9D3" w:rsidRPr="00683FF0">
              <w:t>The Government later in 2022 will consult on possible changes to the land use planning systems (</w:t>
            </w:r>
            <w:r w:rsidR="001548FA" w:rsidRPr="00683FF0">
              <w:t>National Environmental Standards for Plantation Forestry</w:t>
            </w:r>
            <w:r w:rsidR="2545F9D3" w:rsidRPr="00683FF0">
              <w:t>) to ensure environmental management of all exotic afforestation</w:t>
            </w:r>
            <w:r w:rsidR="00854E47" w:rsidRPr="00683FF0">
              <w:t>. This wor</w:t>
            </w:r>
            <w:r w:rsidR="001548FA" w:rsidRPr="00683FF0">
              <w:t>k</w:t>
            </w:r>
            <w:r w:rsidR="00854E47" w:rsidRPr="00683FF0">
              <w:t xml:space="preserve"> will</w:t>
            </w:r>
            <w:r w:rsidR="2545F9D3" w:rsidRPr="00683FF0">
              <w:t xml:space="preserve"> includ</w:t>
            </w:r>
            <w:r w:rsidR="00854E47" w:rsidRPr="00683FF0">
              <w:t>e</w:t>
            </w:r>
            <w:r w:rsidR="2545F9D3" w:rsidRPr="00683FF0">
              <w:t xml:space="preserve"> consulting on whether greater local control over location </w:t>
            </w:r>
            <w:r w:rsidR="6252BAFC" w:rsidRPr="00683FF0">
              <w:t xml:space="preserve">and forest types/species </w:t>
            </w:r>
            <w:r w:rsidR="2545F9D3" w:rsidRPr="00683FF0">
              <w:t xml:space="preserve">of forests is required </w:t>
            </w:r>
            <w:r w:rsidR="2545F9D3" w:rsidRPr="00683FF0">
              <w:rPr>
                <w:rFonts w:eastAsia="Times New Roman"/>
              </w:rPr>
              <w:t>(</w:t>
            </w:r>
            <w:r w:rsidR="00854E47" w:rsidRPr="00683FF0">
              <w:rPr>
                <w:rFonts w:eastAsia="Times New Roman"/>
              </w:rPr>
              <w:t>c</w:t>
            </w:r>
            <w:r w:rsidR="2545F9D3" w:rsidRPr="00683FF0">
              <w:rPr>
                <w:rFonts w:eastAsia="Times New Roman"/>
              </w:rPr>
              <w:t>hapter 14</w:t>
            </w:r>
            <w:r w:rsidR="00854E47" w:rsidRPr="00683FF0">
              <w:rPr>
                <w:rFonts w:eastAsia="Times New Roman"/>
              </w:rPr>
              <w:t>:</w:t>
            </w:r>
            <w:r w:rsidR="2545F9D3" w:rsidRPr="00683FF0">
              <w:rPr>
                <w:rFonts w:eastAsia="Times New Roman"/>
              </w:rPr>
              <w:t xml:space="preserve"> Forestry</w:t>
            </w:r>
            <w:r w:rsidR="00854E47" w:rsidRPr="00683FF0">
              <w:rPr>
                <w:rFonts w:eastAsia="Times New Roman"/>
              </w:rPr>
              <w:t>,</w:t>
            </w:r>
            <w:r w:rsidR="2545F9D3" w:rsidRPr="00683FF0">
              <w:rPr>
                <w:rFonts w:eastAsia="Times New Roman"/>
              </w:rPr>
              <w:t xml:space="preserve"> action 14.1.1).</w:t>
            </w:r>
          </w:p>
        </w:tc>
      </w:tr>
      <w:tr w:rsidR="000A6344" w:rsidRPr="00683FF0" w14:paraId="1A02C536" w14:textId="77777777" w:rsidTr="005F6D33">
        <w:tc>
          <w:tcPr>
            <w:tcW w:w="4508" w:type="dxa"/>
          </w:tcPr>
          <w:p w14:paraId="07204D81" w14:textId="63524467" w:rsidR="000A6344" w:rsidRPr="00683FF0" w:rsidRDefault="000A6344" w:rsidP="005F6D33">
            <w:pPr>
              <w:pStyle w:val="TableText"/>
            </w:pPr>
            <w:r w:rsidRPr="00683FF0">
              <w:lastRenderedPageBreak/>
              <w:t>25.3</w:t>
            </w:r>
            <w:r w:rsidR="001548FA" w:rsidRPr="00683FF0">
              <w:t>.</w:t>
            </w:r>
            <w:r w:rsidRPr="00683FF0">
              <w:t xml:space="preserve"> Managing pests in an integrated way, to ensure forests are successfully established and all forests are maintained long term.</w:t>
            </w:r>
          </w:p>
        </w:tc>
        <w:tc>
          <w:tcPr>
            <w:tcW w:w="4508" w:type="dxa"/>
          </w:tcPr>
          <w:p w14:paraId="7D49F9D8" w14:textId="68BD6AE0" w:rsidR="000A6344" w:rsidRPr="00683FF0" w:rsidRDefault="2B7F625C" w:rsidP="007C3531">
            <w:pPr>
              <w:pStyle w:val="TableText"/>
              <w:spacing w:after="40"/>
              <w:rPr>
                <w:rFonts w:eastAsia="Times New Roman"/>
              </w:rPr>
            </w:pPr>
            <w:r w:rsidRPr="00683FF0">
              <w:rPr>
                <w:b/>
                <w:bCs/>
              </w:rPr>
              <w:t xml:space="preserve">25.3. </w:t>
            </w:r>
            <w:r w:rsidR="138667EA" w:rsidRPr="00683FF0">
              <w:rPr>
                <w:b/>
                <w:bCs/>
              </w:rPr>
              <w:t>The Government agrees in principle with this recommendation.</w:t>
            </w:r>
            <w:r w:rsidRPr="00683FF0">
              <w:rPr>
                <w:b/>
                <w:bCs/>
              </w:rPr>
              <w:t xml:space="preserve"> </w:t>
            </w:r>
            <w:r w:rsidR="534F368E" w:rsidRPr="00683FF0">
              <w:t>The Government is</w:t>
            </w:r>
            <w:r w:rsidR="2545F9D3" w:rsidRPr="00683FF0">
              <w:t xml:space="preserve"> investigating the option of developing an updated strategy for the pest management part of the biosecurity system</w:t>
            </w:r>
            <w:r w:rsidR="001548FA" w:rsidRPr="00683FF0">
              <w:t>,</w:t>
            </w:r>
            <w:r w:rsidR="2545F9D3" w:rsidRPr="00683FF0">
              <w:t xml:space="preserve"> which will clarify future investment needs.</w:t>
            </w:r>
            <w:r w:rsidRPr="00683FF0">
              <w:t xml:space="preserve"> </w:t>
            </w:r>
            <w:r w:rsidR="534F368E" w:rsidRPr="00683FF0">
              <w:t>The Government is</w:t>
            </w:r>
            <w:r w:rsidR="2545F9D3" w:rsidRPr="00683FF0">
              <w:t xml:space="preserve"> further developing pest control plans and looking at how they can contribute to protecting and enhancing our carbon stores. </w:t>
            </w:r>
            <w:r w:rsidR="534F368E" w:rsidRPr="00683FF0">
              <w:t>The Government’s</w:t>
            </w:r>
            <w:r w:rsidR="2545F9D3" w:rsidRPr="00683FF0">
              <w:t xml:space="preserve"> long-term work programme to support native restoration and afforestation will look at the role that pest control can play in enhancing </w:t>
            </w:r>
            <w:r w:rsidR="001548FA" w:rsidRPr="00683FF0">
              <w:t xml:space="preserve">the </w:t>
            </w:r>
            <w:r w:rsidR="2545F9D3" w:rsidRPr="00683FF0">
              <w:t xml:space="preserve">carbon stored by indigenous vegetation </w:t>
            </w:r>
            <w:r w:rsidR="2545F9D3" w:rsidRPr="00683FF0">
              <w:rPr>
                <w:rFonts w:eastAsia="Times New Roman"/>
              </w:rPr>
              <w:t>(</w:t>
            </w:r>
            <w:r w:rsidR="001548FA" w:rsidRPr="00683FF0">
              <w:rPr>
                <w:rFonts w:eastAsia="Times New Roman"/>
              </w:rPr>
              <w:t>c</w:t>
            </w:r>
            <w:r w:rsidR="2545F9D3" w:rsidRPr="00683FF0">
              <w:rPr>
                <w:rFonts w:eastAsia="Times New Roman"/>
              </w:rPr>
              <w:t>hapter 4</w:t>
            </w:r>
            <w:r w:rsidR="001548FA" w:rsidRPr="00683FF0">
              <w:rPr>
                <w:rFonts w:eastAsia="Times New Roman"/>
              </w:rPr>
              <w:t>:</w:t>
            </w:r>
            <w:r w:rsidR="2545F9D3" w:rsidRPr="00683FF0">
              <w:rPr>
                <w:rFonts w:eastAsia="Times New Roman"/>
              </w:rPr>
              <w:t xml:space="preserve"> Working with nature</w:t>
            </w:r>
            <w:r w:rsidR="00F070DC" w:rsidRPr="00683FF0">
              <w:rPr>
                <w:rFonts w:eastAsia="Times New Roman"/>
              </w:rPr>
              <w:t>,</w:t>
            </w:r>
            <w:r w:rsidR="2545F9D3" w:rsidRPr="00683FF0">
              <w:rPr>
                <w:rFonts w:eastAsia="Times New Roman"/>
              </w:rPr>
              <w:t xml:space="preserve"> action 2</w:t>
            </w:r>
            <w:r w:rsidR="00F070DC" w:rsidRPr="00683FF0">
              <w:rPr>
                <w:rFonts w:eastAsia="Times New Roman"/>
              </w:rPr>
              <w:t>;</w:t>
            </w:r>
            <w:r w:rsidR="2545F9D3" w:rsidRPr="00683FF0">
              <w:rPr>
                <w:rFonts w:eastAsia="Times New Roman"/>
              </w:rPr>
              <w:t xml:space="preserve"> </w:t>
            </w:r>
            <w:r w:rsidR="00F070DC" w:rsidRPr="00683FF0">
              <w:rPr>
                <w:rFonts w:eastAsia="Times New Roman"/>
              </w:rPr>
              <w:t>c</w:t>
            </w:r>
            <w:r w:rsidR="2545F9D3" w:rsidRPr="00683FF0">
              <w:rPr>
                <w:rFonts w:eastAsia="Times New Roman"/>
              </w:rPr>
              <w:t>hapter 14</w:t>
            </w:r>
            <w:r w:rsidR="00F070DC" w:rsidRPr="00683FF0">
              <w:rPr>
                <w:rFonts w:eastAsia="Times New Roman"/>
              </w:rPr>
              <w:t>:</w:t>
            </w:r>
            <w:r w:rsidR="2545F9D3" w:rsidRPr="00683FF0">
              <w:rPr>
                <w:rFonts w:eastAsia="Times New Roman"/>
              </w:rPr>
              <w:t xml:space="preserve"> Forestry</w:t>
            </w:r>
            <w:r w:rsidR="00F070DC" w:rsidRPr="00683FF0">
              <w:rPr>
                <w:rFonts w:eastAsia="Times New Roman"/>
              </w:rPr>
              <w:t>,</w:t>
            </w:r>
            <w:r w:rsidR="2545F9D3" w:rsidRPr="00683FF0">
              <w:rPr>
                <w:rFonts w:eastAsia="Times New Roman"/>
              </w:rPr>
              <w:t xml:space="preserve"> actions 14.2.1</w:t>
            </w:r>
            <w:r w:rsidR="002B41F2" w:rsidRPr="00683FF0">
              <w:rPr>
                <w:rFonts w:eastAsia="Times New Roman"/>
              </w:rPr>
              <w:t>-</w:t>
            </w:r>
            <w:r w:rsidR="2545F9D3" w:rsidRPr="00683FF0">
              <w:rPr>
                <w:rFonts w:eastAsia="Times New Roman"/>
              </w:rPr>
              <w:t>14.3.2, 14.4.3 .</w:t>
            </w:r>
          </w:p>
        </w:tc>
      </w:tr>
      <w:tr w:rsidR="000A6344" w:rsidRPr="00683FF0" w14:paraId="499ABB01" w14:textId="77777777" w:rsidTr="005F6D33">
        <w:tc>
          <w:tcPr>
            <w:tcW w:w="4508" w:type="dxa"/>
          </w:tcPr>
          <w:p w14:paraId="1219F445" w14:textId="78A1DEDD" w:rsidR="000A6344" w:rsidRPr="00683FF0" w:rsidRDefault="000A6344" w:rsidP="007C3531">
            <w:pPr>
              <w:pStyle w:val="TableText"/>
              <w:spacing w:before="40" w:after="40"/>
            </w:pPr>
            <w:r w:rsidRPr="00683FF0">
              <w:t>25.4</w:t>
            </w:r>
            <w:r w:rsidR="001548FA" w:rsidRPr="00683FF0">
              <w:t>.</w:t>
            </w:r>
            <w:r w:rsidRPr="00683FF0">
              <w:t xml:space="preserve"> Considering ways to allow more flexibility for Māori-collectives with pre-1990 forest on their whenua, to give them more scope to manage their whenua in alignment with the intergenerational aspirations of their members. This could include, for</w:t>
            </w:r>
            <w:r w:rsidR="00397544" w:rsidRPr="00683FF0">
              <w:t> </w:t>
            </w:r>
            <w:r w:rsidRPr="00683FF0">
              <w:t>example, assisting capital</w:t>
            </w:r>
            <w:r w:rsidR="00F90AAF" w:rsidRPr="00683FF0">
              <w:t xml:space="preserve"> </w:t>
            </w:r>
            <w:r w:rsidRPr="00683FF0">
              <w:t>constrained Māori-collectives to offset deforestation on pre-1990 forest</w:t>
            </w:r>
            <w:r w:rsidR="00397544" w:rsidRPr="00683FF0">
              <w:t> </w:t>
            </w:r>
            <w:r w:rsidRPr="00683FF0">
              <w:t>land</w:t>
            </w:r>
            <w:r w:rsidR="6533B064" w:rsidRPr="00683FF0">
              <w:t>.</w:t>
            </w:r>
          </w:p>
        </w:tc>
        <w:tc>
          <w:tcPr>
            <w:tcW w:w="4508" w:type="dxa"/>
          </w:tcPr>
          <w:p w14:paraId="08BCAF38" w14:textId="29C9690F" w:rsidR="00C54714" w:rsidRPr="00683FF0" w:rsidRDefault="4EDE6566" w:rsidP="005F6D33">
            <w:pPr>
              <w:pStyle w:val="TableText"/>
              <w:rPr>
                <w:b/>
                <w:bCs/>
              </w:rPr>
            </w:pPr>
            <w:r w:rsidRPr="00683FF0">
              <w:rPr>
                <w:b/>
                <w:bCs/>
              </w:rPr>
              <w:t xml:space="preserve">25.4. </w:t>
            </w:r>
            <w:r w:rsidR="44ED64FE" w:rsidRPr="00683FF0">
              <w:rPr>
                <w:b/>
                <w:bCs/>
              </w:rPr>
              <w:t>The Government agrees with this recommendation.</w:t>
            </w:r>
            <w:r w:rsidR="33595FA8" w:rsidRPr="00683FF0">
              <w:rPr>
                <w:rFonts w:eastAsia="Calibri" w:cs="Calibri"/>
              </w:rPr>
              <w:t xml:space="preserve"> The Government is working with Māori to understand their aspirations and to inform advice on options for forestry policies and support Māori-led approaches to native forest establishment (</w:t>
            </w:r>
            <w:r w:rsidR="004C0E7D" w:rsidRPr="00683FF0">
              <w:rPr>
                <w:rFonts w:eastAsia="Calibri" w:cs="Calibri"/>
              </w:rPr>
              <w:t>c</w:t>
            </w:r>
            <w:r w:rsidR="33595FA8" w:rsidRPr="00683FF0">
              <w:rPr>
                <w:rFonts w:eastAsia="Calibri" w:cs="Calibri"/>
              </w:rPr>
              <w:t>hapter 14</w:t>
            </w:r>
            <w:r w:rsidR="004C0E7D" w:rsidRPr="00683FF0">
              <w:rPr>
                <w:rFonts w:eastAsia="Calibri" w:cs="Calibri"/>
              </w:rPr>
              <w:t>:</w:t>
            </w:r>
            <w:r w:rsidR="33595FA8" w:rsidRPr="00683FF0">
              <w:rPr>
                <w:rFonts w:eastAsia="Calibri" w:cs="Calibri"/>
              </w:rPr>
              <w:t xml:space="preserve"> Forestry</w:t>
            </w:r>
            <w:r w:rsidR="004C0E7D" w:rsidRPr="00683FF0">
              <w:rPr>
                <w:rFonts w:eastAsia="Calibri" w:cs="Calibri"/>
              </w:rPr>
              <w:t>, all</w:t>
            </w:r>
            <w:r w:rsidR="33595FA8" w:rsidRPr="00683FF0">
              <w:rPr>
                <w:rFonts w:eastAsia="Calibri" w:cs="Calibri"/>
              </w:rPr>
              <w:t xml:space="preserve"> </w:t>
            </w:r>
            <w:r w:rsidR="3C84916A" w:rsidRPr="00683FF0">
              <w:rPr>
                <w:rFonts w:eastAsia="Calibri" w:cs="Calibri"/>
              </w:rPr>
              <w:t>a</w:t>
            </w:r>
            <w:r w:rsidR="33595FA8" w:rsidRPr="00683FF0">
              <w:rPr>
                <w:rFonts w:eastAsia="Calibri" w:cs="Calibri"/>
              </w:rPr>
              <w:t>ctions).</w:t>
            </w:r>
          </w:p>
        </w:tc>
      </w:tr>
      <w:tr w:rsidR="001E7E77" w:rsidRPr="00683FF0" w14:paraId="54A41BC8" w14:textId="77777777" w:rsidTr="005F6D33">
        <w:tc>
          <w:tcPr>
            <w:tcW w:w="4508" w:type="dxa"/>
          </w:tcPr>
          <w:p w14:paraId="74A0E6C5" w14:textId="760FCD7C" w:rsidR="000A6344" w:rsidRPr="00683FF0" w:rsidRDefault="000A6344" w:rsidP="007C3531">
            <w:pPr>
              <w:pStyle w:val="TableText"/>
              <w:spacing w:before="40"/>
            </w:pPr>
            <w:r w:rsidRPr="00683FF0">
              <w:t>25.5</w:t>
            </w:r>
            <w:r w:rsidR="00CE0324" w:rsidRPr="00683FF0">
              <w:t>.</w:t>
            </w:r>
            <w:r w:rsidRPr="00683FF0">
              <w:t xml:space="preserve"> Maintaining and increasing other carbon stocks through: </w:t>
            </w:r>
          </w:p>
          <w:p w14:paraId="3BD9E837" w14:textId="6BC559B2" w:rsidR="000A6344" w:rsidRPr="00683FF0" w:rsidRDefault="000A6344" w:rsidP="00D21268">
            <w:pPr>
              <w:pStyle w:val="TableText"/>
              <w:numPr>
                <w:ilvl w:val="0"/>
                <w:numId w:val="41"/>
              </w:numPr>
              <w:spacing w:before="0"/>
              <w:ind w:left="284" w:hanging="284"/>
            </w:pPr>
            <w:r w:rsidRPr="00683FF0">
              <w:t xml:space="preserve">Improving and enforcing measures to reduce deforestation of pre-1990 native forests. </w:t>
            </w:r>
          </w:p>
          <w:p w14:paraId="09796EA5" w14:textId="039F844B" w:rsidR="000A6344" w:rsidRPr="00683FF0" w:rsidRDefault="000A6344" w:rsidP="00D21268">
            <w:pPr>
              <w:pStyle w:val="TableText"/>
              <w:numPr>
                <w:ilvl w:val="0"/>
                <w:numId w:val="41"/>
              </w:numPr>
              <w:spacing w:before="0"/>
              <w:ind w:left="284" w:hanging="284"/>
            </w:pPr>
            <w:r w:rsidRPr="00683FF0">
              <w:t xml:space="preserve">Noting that emissions and carbon dioxide removals may not currently be reliably quantifiable or accounted for in targets (see Recommendation 5 on rules for measuring progress), taking steps to: </w:t>
            </w:r>
          </w:p>
          <w:p w14:paraId="30A71811" w14:textId="4345D55A" w:rsidR="000A6344" w:rsidRPr="00683FF0" w:rsidRDefault="000A6344" w:rsidP="00D21268">
            <w:pPr>
              <w:pStyle w:val="TableText"/>
              <w:numPr>
                <w:ilvl w:val="0"/>
                <w:numId w:val="42"/>
              </w:numPr>
              <w:spacing w:before="0"/>
              <w:ind w:left="568" w:hanging="284"/>
            </w:pPr>
            <w:r w:rsidRPr="00683FF0">
              <w:t xml:space="preserve">Protect and increase the carbon stocks of pre-1990 forests through activities such as pest and fire control, and enrichment planting. </w:t>
            </w:r>
          </w:p>
          <w:p w14:paraId="2FB37CA3" w14:textId="5AE541C6" w:rsidR="000A6344" w:rsidRPr="00683FF0" w:rsidRDefault="000A6344" w:rsidP="00D21268">
            <w:pPr>
              <w:pStyle w:val="TableText"/>
              <w:numPr>
                <w:ilvl w:val="0"/>
                <w:numId w:val="42"/>
              </w:numPr>
              <w:spacing w:before="0"/>
              <w:ind w:left="568" w:hanging="284"/>
            </w:pPr>
            <w:r w:rsidRPr="00683FF0">
              <w:t xml:space="preserve">Encourage carbon removals by new and additional small blocks of trees and vegetation. </w:t>
            </w:r>
          </w:p>
          <w:p w14:paraId="692E8289" w14:textId="10639311" w:rsidR="001E7E77" w:rsidRPr="00683FF0" w:rsidRDefault="000A6344" w:rsidP="00D21268">
            <w:pPr>
              <w:pStyle w:val="TableText"/>
              <w:numPr>
                <w:ilvl w:val="0"/>
                <w:numId w:val="42"/>
              </w:numPr>
              <w:spacing w:before="0"/>
              <w:ind w:left="568" w:hanging="284"/>
            </w:pPr>
            <w:r w:rsidRPr="00683FF0">
              <w:t>Preventing further loss of carbon from organic soils, particularly due to the degradation of drained peatlands and the destruction of wetlands.</w:t>
            </w:r>
          </w:p>
        </w:tc>
        <w:tc>
          <w:tcPr>
            <w:tcW w:w="4508" w:type="dxa"/>
          </w:tcPr>
          <w:p w14:paraId="64DA8BBB" w14:textId="6E67C3E5" w:rsidR="00CA2064" w:rsidRPr="00683FF0" w:rsidRDefault="2B7F625C" w:rsidP="007C3531">
            <w:pPr>
              <w:pStyle w:val="TableText"/>
              <w:spacing w:before="40" w:after="40"/>
              <w:rPr>
                <w:rFonts w:eastAsia="Times New Roman" w:cstheme="minorHAnsi"/>
              </w:rPr>
            </w:pPr>
            <w:r w:rsidRPr="00683FF0">
              <w:rPr>
                <w:b/>
                <w:bCs/>
              </w:rPr>
              <w:t xml:space="preserve">25.5.a. </w:t>
            </w:r>
            <w:r w:rsidR="138667EA" w:rsidRPr="00683FF0">
              <w:rPr>
                <w:b/>
                <w:bCs/>
              </w:rPr>
              <w:t>The Government agrees in principle with this recommendation.</w:t>
            </w:r>
            <w:r w:rsidRPr="00683FF0">
              <w:rPr>
                <w:b/>
                <w:bCs/>
              </w:rPr>
              <w:t xml:space="preserve"> </w:t>
            </w:r>
            <w:r w:rsidR="7864DB3D" w:rsidRPr="00683FF0">
              <w:t>The Government will monitor the effectiveness of existing policies to manage or restrict the harvest or deforestation of pre-1990 native forests and consider changes if required</w:t>
            </w:r>
            <w:r w:rsidRPr="00683FF0">
              <w:t xml:space="preserve"> </w:t>
            </w:r>
            <w:r w:rsidR="7864DB3D" w:rsidRPr="00683FF0">
              <w:t>(</w:t>
            </w:r>
            <w:r w:rsidR="00563EB8" w:rsidRPr="00683FF0">
              <w:rPr>
                <w:rFonts w:eastAsia="Times New Roman"/>
              </w:rPr>
              <w:t>c</w:t>
            </w:r>
            <w:r w:rsidR="7864DB3D" w:rsidRPr="00683FF0">
              <w:rPr>
                <w:rFonts w:eastAsia="Times New Roman"/>
              </w:rPr>
              <w:t>hapter 14</w:t>
            </w:r>
            <w:r w:rsidR="00563EB8" w:rsidRPr="00683FF0">
              <w:rPr>
                <w:rFonts w:eastAsia="Times New Roman"/>
              </w:rPr>
              <w:t>:</w:t>
            </w:r>
            <w:r w:rsidR="7864DB3D" w:rsidRPr="00683FF0">
              <w:rPr>
                <w:rFonts w:eastAsia="Times New Roman"/>
              </w:rPr>
              <w:t xml:space="preserve"> Forestry</w:t>
            </w:r>
            <w:r w:rsidR="00563EB8" w:rsidRPr="00683FF0">
              <w:rPr>
                <w:rFonts w:eastAsia="Times New Roman"/>
              </w:rPr>
              <w:t>,</w:t>
            </w:r>
            <w:r w:rsidR="7864DB3D" w:rsidRPr="00683FF0">
              <w:rPr>
                <w:rFonts w:eastAsia="Times New Roman"/>
              </w:rPr>
              <w:t xml:space="preserve"> action</w:t>
            </w:r>
            <w:r w:rsidR="00C1630D" w:rsidRPr="00683FF0">
              <w:rPr>
                <w:rFonts w:eastAsia="Times New Roman"/>
              </w:rPr>
              <w:t xml:space="preserve"> </w:t>
            </w:r>
            <w:r w:rsidR="45852491" w:rsidRPr="00683FF0">
              <w:rPr>
                <w:rFonts w:eastAsia="Times New Roman"/>
              </w:rPr>
              <w:t>14</w:t>
            </w:r>
            <w:r w:rsidR="7864DB3D" w:rsidRPr="00683FF0">
              <w:rPr>
                <w:rFonts w:eastAsia="Times New Roman"/>
              </w:rPr>
              <w:t>3.1).</w:t>
            </w:r>
          </w:p>
          <w:p w14:paraId="011A90C9" w14:textId="493A3702" w:rsidR="00CA2064" w:rsidRPr="00683FF0" w:rsidRDefault="00F90AAF" w:rsidP="005F6D33">
            <w:pPr>
              <w:pStyle w:val="TableText"/>
              <w:rPr>
                <w:b/>
                <w:bCs/>
                <w:szCs w:val="18"/>
              </w:rPr>
            </w:pPr>
            <w:r w:rsidRPr="00683FF0">
              <w:rPr>
                <w:b/>
                <w:bCs/>
              </w:rPr>
              <w:t xml:space="preserve">25.5.b. </w:t>
            </w:r>
            <w:r w:rsidR="00906BE4" w:rsidRPr="00683FF0">
              <w:rPr>
                <w:b/>
                <w:bCs/>
              </w:rPr>
              <w:t>The Government agrees in principle with this recommendation.</w:t>
            </w:r>
            <w:r w:rsidRPr="00683FF0">
              <w:rPr>
                <w:b/>
                <w:bCs/>
              </w:rPr>
              <w:t xml:space="preserve"> </w:t>
            </w:r>
            <w:r w:rsidR="00CA2064" w:rsidRPr="00683FF0">
              <w:t>Research has been commissioned into the sequestration rates of non-forestry vegetation as the first step in investigating how these can be better recognised and incentivised. Work underway for species diversification will also respond to</w:t>
            </w:r>
            <w:r w:rsidR="004F62CD" w:rsidRPr="00683FF0">
              <w:t xml:space="preserve"> the aim of</w:t>
            </w:r>
            <w:r w:rsidR="00CA2064" w:rsidRPr="00683FF0">
              <w:t xml:space="preserve"> increasing the resilience of carbon stock</w:t>
            </w:r>
            <w:r w:rsidR="00BD0959" w:rsidRPr="00683FF0">
              <w:t xml:space="preserve"> </w:t>
            </w:r>
            <w:r w:rsidR="7864DB3D" w:rsidRPr="00683FF0">
              <w:t>(</w:t>
            </w:r>
            <w:r w:rsidR="00BD0959" w:rsidRPr="00683FF0">
              <w:rPr>
                <w:rFonts w:eastAsia="Times New Roman"/>
              </w:rPr>
              <w:t>chapter 4: Working with nature, action 2; c</w:t>
            </w:r>
            <w:r w:rsidR="7864DB3D" w:rsidRPr="00683FF0">
              <w:rPr>
                <w:rFonts w:eastAsia="Times New Roman"/>
              </w:rPr>
              <w:t>hapter 14</w:t>
            </w:r>
            <w:r w:rsidR="00BD0959" w:rsidRPr="00683FF0">
              <w:rPr>
                <w:rFonts w:eastAsia="Times New Roman"/>
              </w:rPr>
              <w:t>:</w:t>
            </w:r>
            <w:r w:rsidR="7864DB3D" w:rsidRPr="00683FF0">
              <w:rPr>
                <w:rFonts w:eastAsia="Times New Roman"/>
              </w:rPr>
              <w:t xml:space="preserve"> Forestry</w:t>
            </w:r>
            <w:r w:rsidR="00BD0959" w:rsidRPr="00683FF0">
              <w:rPr>
                <w:rFonts w:eastAsia="Times New Roman"/>
              </w:rPr>
              <w:t>,</w:t>
            </w:r>
            <w:r w:rsidR="7864DB3D" w:rsidRPr="00683FF0">
              <w:rPr>
                <w:rFonts w:eastAsia="Times New Roman"/>
              </w:rPr>
              <w:t xml:space="preserve"> action</w:t>
            </w:r>
            <w:r w:rsidR="00BD0959" w:rsidRPr="00683FF0">
              <w:rPr>
                <w:rFonts w:eastAsia="Times New Roman"/>
              </w:rPr>
              <w:t>s</w:t>
            </w:r>
            <w:r w:rsidR="7864DB3D" w:rsidRPr="00683FF0">
              <w:rPr>
                <w:rFonts w:eastAsia="Times New Roman"/>
              </w:rPr>
              <w:t xml:space="preserve"> 14.1.1, 14.1.3, </w:t>
            </w:r>
            <w:r w:rsidR="6DFA5FF8" w:rsidRPr="00683FF0">
              <w:rPr>
                <w:rFonts w:eastAsia="Times New Roman"/>
              </w:rPr>
              <w:t>14.</w:t>
            </w:r>
            <w:r w:rsidR="6A8CB8F8" w:rsidRPr="00683FF0">
              <w:rPr>
                <w:rFonts w:eastAsia="Times New Roman"/>
              </w:rPr>
              <w:t>2.1,</w:t>
            </w:r>
            <w:r w:rsidR="00C1630D" w:rsidRPr="00683FF0">
              <w:rPr>
                <w:rFonts w:eastAsia="Times New Roman"/>
              </w:rPr>
              <w:t xml:space="preserve"> </w:t>
            </w:r>
            <w:r w:rsidR="33B4EDC4" w:rsidRPr="00683FF0">
              <w:rPr>
                <w:rFonts w:eastAsia="Times New Roman"/>
              </w:rPr>
              <w:t>14.</w:t>
            </w:r>
            <w:r w:rsidR="7864DB3D" w:rsidRPr="00683FF0">
              <w:rPr>
                <w:rFonts w:eastAsia="Times New Roman"/>
              </w:rPr>
              <w:t>3.2 ).</w:t>
            </w:r>
          </w:p>
          <w:p w14:paraId="4C28BF8F" w14:textId="007A90BD" w:rsidR="00CA2064" w:rsidRPr="00683FF0" w:rsidRDefault="00413E67" w:rsidP="005F6D33">
            <w:pPr>
              <w:pStyle w:val="TableText"/>
            </w:pPr>
            <w:r w:rsidRPr="00683FF0">
              <w:t>25.5.b.</w:t>
            </w:r>
            <w:r w:rsidR="007E118D" w:rsidRPr="00683FF0">
              <w:t>I</w:t>
            </w:r>
            <w:r w:rsidRPr="00683FF0">
              <w:t xml:space="preserve">. </w:t>
            </w:r>
            <w:r w:rsidR="00906BE4" w:rsidRPr="00683FF0">
              <w:t>The Government agrees in principle with this recommendation.</w:t>
            </w:r>
            <w:r w:rsidRPr="00683FF0">
              <w:t xml:space="preserve"> </w:t>
            </w:r>
            <w:r w:rsidR="00CA2064" w:rsidRPr="00683FF0">
              <w:rPr>
                <w:rFonts w:eastAsia="Times New Roman" w:cstheme="minorHAnsi"/>
              </w:rPr>
              <w:t>The Government will undertake research to:</w:t>
            </w:r>
          </w:p>
          <w:p w14:paraId="5249A458" w14:textId="790F4473" w:rsidR="00CA2064" w:rsidRPr="00683FF0" w:rsidRDefault="7864DB3D" w:rsidP="005F6D33">
            <w:pPr>
              <w:pStyle w:val="TableBullet"/>
            </w:pPr>
            <w:r w:rsidRPr="00683FF0">
              <w:t>understand the drivers and opportunities for maintaining and increasing carbon stocks in existing native forests</w:t>
            </w:r>
            <w:r w:rsidR="00B82E22" w:rsidRPr="00683FF0">
              <w:t>,</w:t>
            </w:r>
            <w:r w:rsidRPr="00683FF0">
              <w:t xml:space="preserve"> including quantifying the carbon impacts of pests on native ecosystems, and </w:t>
            </w:r>
            <w:r w:rsidR="00B82E22" w:rsidRPr="00683FF0">
              <w:t xml:space="preserve">identifying </w:t>
            </w:r>
            <w:r w:rsidRPr="00683FF0">
              <w:t>the management interventions and areas to target for maximum benefit</w:t>
            </w:r>
          </w:p>
          <w:p w14:paraId="4C1B4E3D" w14:textId="62E67FFA" w:rsidR="00CA2064" w:rsidRPr="00683FF0" w:rsidRDefault="780363E2" w:rsidP="005F6D33">
            <w:pPr>
              <w:pStyle w:val="TableBullet"/>
              <w:rPr>
                <w:b/>
              </w:rPr>
            </w:pPr>
            <w:r w:rsidRPr="00683FF0">
              <w:t xml:space="preserve">expand </w:t>
            </w:r>
            <w:r w:rsidR="00B82E22" w:rsidRPr="00683FF0">
              <w:t xml:space="preserve">the Ministry for the Environment’s </w:t>
            </w:r>
            <w:r w:rsidR="004F62CD" w:rsidRPr="00683FF0">
              <w:t>Land Use and Carbon Analysis System (</w:t>
            </w:r>
            <w:r w:rsidRPr="00683FF0">
              <w:t>LUCAS</w:t>
            </w:r>
            <w:r w:rsidR="004F62CD" w:rsidRPr="00683FF0">
              <w:t>)</w:t>
            </w:r>
            <w:r w:rsidRPr="00683FF0">
              <w:t xml:space="preserve"> programme of monitoring and research that also supports this recommendation </w:t>
            </w:r>
            <w:r w:rsidR="7864DB3D" w:rsidRPr="00683FF0">
              <w:rPr>
                <w:rFonts w:eastAsia="Calibri" w:cs="Calibri"/>
              </w:rPr>
              <w:t>(</w:t>
            </w:r>
            <w:r w:rsidR="002C3123" w:rsidRPr="00683FF0">
              <w:t>chapter 4: Working with nature, action 2</w:t>
            </w:r>
            <w:r w:rsidR="002C3123" w:rsidRPr="00683FF0">
              <w:rPr>
                <w:rFonts w:eastAsia="Calibri" w:cs="Calibri"/>
              </w:rPr>
              <w:t xml:space="preserve">; </w:t>
            </w:r>
            <w:r w:rsidR="002C3123" w:rsidRPr="00683FF0">
              <w:t>c</w:t>
            </w:r>
            <w:r w:rsidR="7864DB3D" w:rsidRPr="00683FF0">
              <w:t>hapter 14</w:t>
            </w:r>
            <w:r w:rsidR="002C3123" w:rsidRPr="00683FF0">
              <w:t>:</w:t>
            </w:r>
            <w:r w:rsidR="7864DB3D" w:rsidRPr="00683FF0">
              <w:t xml:space="preserve"> Forestry</w:t>
            </w:r>
            <w:r w:rsidR="002C3123" w:rsidRPr="00683FF0">
              <w:t>,</w:t>
            </w:r>
            <w:r w:rsidR="7864DB3D" w:rsidRPr="00683FF0">
              <w:t xml:space="preserve"> actions 14.1.</w:t>
            </w:r>
            <w:r w:rsidR="2BAF94DF" w:rsidRPr="00683FF0">
              <w:t>1, 14,1.2</w:t>
            </w:r>
            <w:r w:rsidR="7864DB3D" w:rsidRPr="00683FF0">
              <w:t xml:space="preserve">14.1.3, </w:t>
            </w:r>
            <w:r w:rsidR="6DFA5FF8" w:rsidRPr="00683FF0">
              <w:t>14.</w:t>
            </w:r>
            <w:r w:rsidR="6A8CB8F8" w:rsidRPr="00683FF0">
              <w:t>2.1</w:t>
            </w:r>
            <w:r w:rsidR="1DA63BE3" w:rsidRPr="00683FF0">
              <w:t>, 14.2.2</w:t>
            </w:r>
            <w:r w:rsidR="33B4EDC4" w:rsidRPr="00683FF0">
              <w:t>14.</w:t>
            </w:r>
            <w:r w:rsidR="6DFA5FF8" w:rsidRPr="00683FF0">
              <w:t>3</w:t>
            </w:r>
            <w:r w:rsidR="7864DB3D" w:rsidRPr="00683FF0">
              <w:t>.2</w:t>
            </w:r>
            <w:r w:rsidR="2BAF94DF" w:rsidRPr="00683FF0">
              <w:t>, 5</w:t>
            </w:r>
            <w:r w:rsidR="00C1630D" w:rsidRPr="00683FF0">
              <w:t xml:space="preserve"> </w:t>
            </w:r>
            <w:r w:rsidR="7864DB3D" w:rsidRPr="00683FF0">
              <w:t>).</w:t>
            </w:r>
          </w:p>
          <w:p w14:paraId="5C74320D" w14:textId="66D7DD79" w:rsidR="00CA2064" w:rsidRPr="00683FF0" w:rsidRDefault="30A32A0B" w:rsidP="00397544">
            <w:pPr>
              <w:pStyle w:val="TableText"/>
              <w:rPr>
                <w:b/>
                <w:bCs/>
              </w:rPr>
            </w:pPr>
            <w:r w:rsidRPr="00683FF0">
              <w:rPr>
                <w:b/>
                <w:bCs/>
              </w:rPr>
              <w:t>25.5.b.</w:t>
            </w:r>
            <w:r w:rsidR="007E118D" w:rsidRPr="00683FF0">
              <w:rPr>
                <w:b/>
                <w:bCs/>
              </w:rPr>
              <w:t>II</w:t>
            </w:r>
            <w:r w:rsidRPr="00683FF0">
              <w:rPr>
                <w:b/>
                <w:bCs/>
              </w:rPr>
              <w:t xml:space="preserve">. </w:t>
            </w:r>
            <w:r w:rsidR="138667EA" w:rsidRPr="00683FF0">
              <w:rPr>
                <w:b/>
                <w:bCs/>
              </w:rPr>
              <w:t>The Government agrees with this recommendation.</w:t>
            </w:r>
            <w:r w:rsidRPr="00683FF0">
              <w:rPr>
                <w:b/>
                <w:bCs/>
              </w:rPr>
              <w:t xml:space="preserve"> </w:t>
            </w:r>
            <w:r w:rsidRPr="00683FF0">
              <w:t>This is a</w:t>
            </w:r>
            <w:r w:rsidR="264DCB5C" w:rsidRPr="00683FF0">
              <w:t xml:space="preserve">ddressed through He Waka Eke Noa. </w:t>
            </w:r>
            <w:r w:rsidR="009803FD" w:rsidRPr="00683FF0">
              <w:t xml:space="preserve">The </w:t>
            </w:r>
            <w:r w:rsidR="264DCB5C" w:rsidRPr="00683FF0">
              <w:t xml:space="preserve">Government is working with industry and Māori to design a farm-level pricing scheme to be </w:t>
            </w:r>
            <w:r w:rsidR="264DCB5C" w:rsidRPr="00683FF0">
              <w:lastRenderedPageBreak/>
              <w:t xml:space="preserve">implemented from 2025. </w:t>
            </w:r>
            <w:r w:rsidR="009803FD" w:rsidRPr="00683FF0">
              <w:t xml:space="preserve">The </w:t>
            </w:r>
            <w:r w:rsidR="264DCB5C" w:rsidRPr="00683FF0">
              <w:t xml:space="preserve">Government will </w:t>
            </w:r>
            <w:r w:rsidR="009803FD" w:rsidRPr="00683FF0">
              <w:t>m</w:t>
            </w:r>
            <w:r w:rsidR="264DCB5C" w:rsidRPr="00683FF0">
              <w:t>ake final decisions by the end of 2022. Budget 2022 provided one year</w:t>
            </w:r>
            <w:r w:rsidR="009803FD" w:rsidRPr="00683FF0">
              <w:t>’</w:t>
            </w:r>
            <w:r w:rsidR="264DCB5C" w:rsidRPr="00683FF0">
              <w:t>s funding to support essential work to enable decisions on agriculture emissions pricing in 2022 (</w:t>
            </w:r>
            <w:r w:rsidR="009803FD" w:rsidRPr="00683FF0">
              <w:t>c</w:t>
            </w:r>
            <w:r w:rsidR="264DCB5C" w:rsidRPr="00683FF0">
              <w:t>hapter 13</w:t>
            </w:r>
            <w:r w:rsidR="009803FD" w:rsidRPr="00683FF0">
              <w:t>:</w:t>
            </w:r>
            <w:r w:rsidR="017B69C6" w:rsidRPr="00683FF0">
              <w:t xml:space="preserve"> </w:t>
            </w:r>
            <w:r w:rsidR="264DCB5C" w:rsidRPr="00683FF0">
              <w:t>Agriculture</w:t>
            </w:r>
            <w:r w:rsidR="009803FD" w:rsidRPr="00683FF0">
              <w:t>,</w:t>
            </w:r>
            <w:r w:rsidR="264DCB5C" w:rsidRPr="00683FF0">
              <w:t xml:space="preserve"> actions </w:t>
            </w:r>
            <w:r w:rsidR="017B69C6" w:rsidRPr="00683FF0">
              <w:t>13.</w:t>
            </w:r>
            <w:r w:rsidR="264DCB5C" w:rsidRPr="00683FF0">
              <w:t xml:space="preserve">1.1 and </w:t>
            </w:r>
            <w:r w:rsidR="017B69C6" w:rsidRPr="00683FF0">
              <w:t>13.</w:t>
            </w:r>
            <w:r w:rsidR="264DCB5C" w:rsidRPr="00683FF0">
              <w:t>1.2</w:t>
            </w:r>
            <w:r w:rsidR="009803FD" w:rsidRPr="00683FF0">
              <w:t>; chapter 14:</w:t>
            </w:r>
            <w:r w:rsidR="264DCB5C" w:rsidRPr="00683FF0">
              <w:t xml:space="preserve"> Forestry</w:t>
            </w:r>
            <w:r w:rsidR="009803FD" w:rsidRPr="00683FF0">
              <w:t>,</w:t>
            </w:r>
            <w:r w:rsidR="264DCB5C" w:rsidRPr="00683FF0">
              <w:t xml:space="preserve"> actions</w:t>
            </w:r>
            <w:r w:rsidR="004F62CD" w:rsidRPr="00683FF0">
              <w:t> </w:t>
            </w:r>
            <w:r w:rsidR="264DCB5C" w:rsidRPr="00683FF0">
              <w:t>14.1.1</w:t>
            </w:r>
            <w:r w:rsidR="00975857" w:rsidRPr="00683FF0">
              <w:t>-</w:t>
            </w:r>
            <w:r w:rsidR="264DCB5C" w:rsidRPr="00683FF0">
              <w:t>14.1.3)</w:t>
            </w:r>
            <w:r w:rsidRPr="00683FF0">
              <w:t xml:space="preserve">. </w:t>
            </w:r>
          </w:p>
          <w:p w14:paraId="38529ED5" w14:textId="5D56EF15" w:rsidR="00C54714" w:rsidRPr="00683FF0" w:rsidRDefault="00E17D47" w:rsidP="00397544">
            <w:pPr>
              <w:pStyle w:val="TableText"/>
            </w:pPr>
            <w:r w:rsidRPr="00683FF0">
              <w:rPr>
                <w:b/>
                <w:bCs/>
              </w:rPr>
              <w:t>25.5.b.</w:t>
            </w:r>
            <w:r w:rsidR="007E118D" w:rsidRPr="00683FF0">
              <w:rPr>
                <w:b/>
                <w:bCs/>
              </w:rPr>
              <w:t>III</w:t>
            </w:r>
            <w:r w:rsidRPr="00683FF0">
              <w:rPr>
                <w:b/>
                <w:bCs/>
              </w:rPr>
              <w:t xml:space="preserve"> </w:t>
            </w:r>
            <w:r w:rsidR="00906BE4" w:rsidRPr="00683FF0">
              <w:rPr>
                <w:b/>
                <w:bCs/>
              </w:rPr>
              <w:t>The Government agrees in principle with this recommendation.</w:t>
            </w:r>
            <w:r w:rsidRPr="00683FF0">
              <w:rPr>
                <w:b/>
                <w:bCs/>
              </w:rPr>
              <w:t xml:space="preserve"> </w:t>
            </w:r>
            <w:r w:rsidR="00175F63" w:rsidRPr="00683FF0">
              <w:t xml:space="preserve">The Ministry for Primary Industries </w:t>
            </w:r>
            <w:r w:rsidR="00250FBD" w:rsidRPr="00683FF0">
              <w:t xml:space="preserve">is currently funding a project to scope how to improve national organic soil emissions estimates and </w:t>
            </w:r>
            <w:r w:rsidR="00237DD5" w:rsidRPr="00683FF0">
              <w:t xml:space="preserve">what </w:t>
            </w:r>
            <w:r w:rsidR="00250FBD" w:rsidRPr="00683FF0">
              <w:t xml:space="preserve">further work </w:t>
            </w:r>
            <w:r w:rsidR="00237DD5" w:rsidRPr="00683FF0">
              <w:t xml:space="preserve">is </w:t>
            </w:r>
            <w:r w:rsidR="00250FBD" w:rsidRPr="00683FF0">
              <w:t>required to acquire</w:t>
            </w:r>
            <w:r w:rsidR="00237DD5" w:rsidRPr="00683FF0">
              <w:t xml:space="preserve"> estimates</w:t>
            </w:r>
            <w:r w:rsidR="00397544" w:rsidRPr="00683FF0">
              <w:t> </w:t>
            </w:r>
            <w:r w:rsidR="00237DD5" w:rsidRPr="00683FF0">
              <w:t>that are</w:t>
            </w:r>
            <w:r w:rsidR="00250FBD" w:rsidRPr="00683FF0">
              <w:t xml:space="preserve"> specific </w:t>
            </w:r>
            <w:r w:rsidR="00237DD5" w:rsidRPr="00683FF0">
              <w:t>to Aotearoa</w:t>
            </w:r>
            <w:r w:rsidR="00250FBD" w:rsidRPr="00683FF0">
              <w:t>. Th</w:t>
            </w:r>
            <w:r w:rsidR="00237DD5" w:rsidRPr="00683FF0">
              <w:t>ese</w:t>
            </w:r>
            <w:r w:rsidR="00250FBD" w:rsidRPr="00683FF0">
              <w:t xml:space="preserve"> improved data will </w:t>
            </w:r>
            <w:r w:rsidR="004F62CD" w:rsidRPr="00683FF0">
              <w:t>improve</w:t>
            </w:r>
            <w:r w:rsidR="00250FBD" w:rsidRPr="00683FF0">
              <w:t xml:space="preserve"> understanding of the emissions removals and whether they can be included in our international targets </w:t>
            </w:r>
            <w:r w:rsidR="00250FBD" w:rsidRPr="00683FF0">
              <w:rPr>
                <w:rFonts w:eastAsia="Calibri" w:cs="Calibri"/>
              </w:rPr>
              <w:t>(</w:t>
            </w:r>
            <w:r w:rsidR="00237DD5" w:rsidRPr="00683FF0">
              <w:rPr>
                <w:rFonts w:cstheme="minorHAnsi"/>
              </w:rPr>
              <w:t>c</w:t>
            </w:r>
            <w:r w:rsidR="00250FBD" w:rsidRPr="00683FF0">
              <w:rPr>
                <w:rFonts w:cstheme="minorHAnsi"/>
              </w:rPr>
              <w:t>hapter 4</w:t>
            </w:r>
            <w:r w:rsidR="00237DD5" w:rsidRPr="00683FF0">
              <w:rPr>
                <w:rFonts w:cstheme="minorHAnsi"/>
              </w:rPr>
              <w:t>:</w:t>
            </w:r>
            <w:r w:rsidR="00250FBD" w:rsidRPr="00683FF0">
              <w:rPr>
                <w:rFonts w:cstheme="minorHAnsi"/>
              </w:rPr>
              <w:t xml:space="preserve"> Working with nature</w:t>
            </w:r>
            <w:r w:rsidR="00237DD5" w:rsidRPr="00683FF0">
              <w:rPr>
                <w:rFonts w:cstheme="minorHAnsi"/>
              </w:rPr>
              <w:t>,</w:t>
            </w:r>
            <w:r w:rsidR="00250FBD" w:rsidRPr="00683FF0">
              <w:rPr>
                <w:rFonts w:cstheme="minorHAnsi"/>
              </w:rPr>
              <w:t xml:space="preserve"> actions </w:t>
            </w:r>
            <w:r w:rsidR="00975857" w:rsidRPr="00683FF0">
              <w:rPr>
                <w:rFonts w:cstheme="minorHAnsi"/>
              </w:rPr>
              <w:t>4.</w:t>
            </w:r>
            <w:r w:rsidR="00250FBD" w:rsidRPr="00683FF0">
              <w:rPr>
                <w:rFonts w:cstheme="minorHAnsi"/>
              </w:rPr>
              <w:t>1</w:t>
            </w:r>
            <w:r w:rsidR="00237DD5" w:rsidRPr="00683FF0">
              <w:rPr>
                <w:rFonts w:cstheme="minorHAnsi"/>
              </w:rPr>
              <w:t>–</w:t>
            </w:r>
            <w:r w:rsidR="00975857" w:rsidRPr="00683FF0">
              <w:rPr>
                <w:rFonts w:cstheme="minorHAnsi"/>
              </w:rPr>
              <w:t>4.</w:t>
            </w:r>
            <w:r w:rsidR="00250FBD" w:rsidRPr="00683FF0">
              <w:rPr>
                <w:rFonts w:cstheme="minorHAnsi"/>
              </w:rPr>
              <w:t>3).</w:t>
            </w:r>
          </w:p>
        </w:tc>
      </w:tr>
      <w:tr w:rsidR="006930AC" w:rsidRPr="00683FF0" w14:paraId="3EDE39A6" w14:textId="77777777" w:rsidTr="005F6D33">
        <w:tc>
          <w:tcPr>
            <w:tcW w:w="4508" w:type="dxa"/>
          </w:tcPr>
          <w:p w14:paraId="56037BF6" w14:textId="4428D296" w:rsidR="00413E67" w:rsidRPr="00683FF0" w:rsidRDefault="00413E67" w:rsidP="00413E67">
            <w:pPr>
              <w:rPr>
                <w:sz w:val="18"/>
                <w:szCs w:val="18"/>
              </w:rPr>
            </w:pPr>
          </w:p>
        </w:tc>
        <w:tc>
          <w:tcPr>
            <w:tcW w:w="4508" w:type="dxa"/>
          </w:tcPr>
          <w:p w14:paraId="349B937A" w14:textId="77777777" w:rsidR="006930AC" w:rsidRPr="00683FF0" w:rsidRDefault="006930AC" w:rsidP="00397544">
            <w:pPr>
              <w:pStyle w:val="TableTextbold"/>
            </w:pPr>
            <w:r w:rsidRPr="00683FF0">
              <w:t xml:space="preserve">Responsible agencies: </w:t>
            </w:r>
          </w:p>
          <w:p w14:paraId="4EE7463A" w14:textId="2A303D9B" w:rsidR="006930AC" w:rsidRPr="00683FF0" w:rsidRDefault="62BB63F9" w:rsidP="00397544">
            <w:pPr>
              <w:pStyle w:val="TableBullet"/>
            </w:pPr>
            <w:r w:rsidRPr="00683FF0">
              <w:t>25.1</w:t>
            </w:r>
            <w:r w:rsidR="4EDE6566" w:rsidRPr="00683FF0">
              <w:t xml:space="preserve">, </w:t>
            </w:r>
            <w:r w:rsidR="00475F95" w:rsidRPr="00683FF0">
              <w:t>25.</w:t>
            </w:r>
            <w:r w:rsidR="1152A629" w:rsidRPr="00683FF0">
              <w:t>2,</w:t>
            </w:r>
            <w:r w:rsidR="4EDE6566" w:rsidRPr="00683FF0">
              <w:t xml:space="preserve"> </w:t>
            </w:r>
            <w:r w:rsidR="00475F95" w:rsidRPr="00683FF0">
              <w:t>25.</w:t>
            </w:r>
            <w:r w:rsidR="4EDE6566" w:rsidRPr="00683FF0">
              <w:t xml:space="preserve">4 and </w:t>
            </w:r>
            <w:r w:rsidR="00475F95" w:rsidRPr="00683FF0">
              <w:t>25.</w:t>
            </w:r>
            <w:r w:rsidR="4EDE6566" w:rsidRPr="00683FF0">
              <w:t>5a.</w:t>
            </w:r>
            <w:r w:rsidRPr="00683FF0">
              <w:t xml:space="preserve"> Ministry for Primary Industries</w:t>
            </w:r>
          </w:p>
          <w:p w14:paraId="4A012ED7" w14:textId="68C52A2E" w:rsidR="00F90AAF" w:rsidRPr="00683FF0" w:rsidRDefault="4EDE6566" w:rsidP="00397544">
            <w:pPr>
              <w:pStyle w:val="TableBullet"/>
            </w:pPr>
            <w:r w:rsidRPr="00683FF0">
              <w:t>25.3</w:t>
            </w:r>
            <w:r w:rsidR="0004492D" w:rsidRPr="00683FF0">
              <w:t>.</w:t>
            </w:r>
            <w:r w:rsidR="1152A629" w:rsidRPr="00683FF0">
              <w:t xml:space="preserve"> </w:t>
            </w:r>
            <w:r w:rsidRPr="00683FF0">
              <w:t>Ministry for Primary Industries</w:t>
            </w:r>
            <w:r w:rsidR="0004492D" w:rsidRPr="00683FF0">
              <w:t>,</w:t>
            </w:r>
            <w:r w:rsidRPr="00683FF0">
              <w:t xml:space="preserve"> Department of Conservation</w:t>
            </w:r>
          </w:p>
          <w:p w14:paraId="2A299857" w14:textId="6EF0100F" w:rsidR="00413E67" w:rsidRPr="00683FF0" w:rsidRDefault="1E26974D" w:rsidP="00397544">
            <w:pPr>
              <w:pStyle w:val="TableBullet"/>
            </w:pPr>
            <w:r w:rsidRPr="00683FF0">
              <w:t>25.5.b</w:t>
            </w:r>
            <w:r w:rsidR="1152A629" w:rsidRPr="00683FF0">
              <w:t>.</w:t>
            </w:r>
            <w:r w:rsidRPr="00683FF0">
              <w:t xml:space="preserve"> Ministry for Primary Industries, Department of Conservation</w:t>
            </w:r>
            <w:r w:rsidR="0004492D" w:rsidRPr="00683FF0">
              <w:t>,</w:t>
            </w:r>
            <w:r w:rsidRPr="00683FF0">
              <w:t xml:space="preserve"> Ministry for the Environment</w:t>
            </w:r>
          </w:p>
          <w:p w14:paraId="160D3AB0" w14:textId="77777777" w:rsidR="006930AC" w:rsidRPr="00683FF0" w:rsidRDefault="006930AC" w:rsidP="00397544">
            <w:pPr>
              <w:pStyle w:val="TableTextbold"/>
            </w:pPr>
            <w:r w:rsidRPr="00683FF0">
              <w:t xml:space="preserve">Responsible Ministers: </w:t>
            </w:r>
          </w:p>
          <w:p w14:paraId="197DF936" w14:textId="33E9A32D" w:rsidR="006930AC" w:rsidRPr="00683FF0" w:rsidRDefault="62BB63F9" w:rsidP="00397544">
            <w:pPr>
              <w:pStyle w:val="TableBullet"/>
            </w:pPr>
            <w:r w:rsidRPr="00683FF0">
              <w:t>25.1</w:t>
            </w:r>
            <w:r w:rsidR="4EDE6566" w:rsidRPr="00683FF0">
              <w:t xml:space="preserve">, </w:t>
            </w:r>
            <w:r w:rsidR="0004492D" w:rsidRPr="00683FF0">
              <w:t>25.</w:t>
            </w:r>
            <w:r w:rsidRPr="00683FF0">
              <w:t>2</w:t>
            </w:r>
            <w:r w:rsidR="4EDE6566" w:rsidRPr="00683FF0">
              <w:t xml:space="preserve">, </w:t>
            </w:r>
            <w:r w:rsidR="0004492D" w:rsidRPr="00683FF0">
              <w:t>25.</w:t>
            </w:r>
            <w:r w:rsidR="4EDE6566" w:rsidRPr="00683FF0">
              <w:t xml:space="preserve">4 and </w:t>
            </w:r>
            <w:r w:rsidR="0004492D" w:rsidRPr="00683FF0">
              <w:t>25.</w:t>
            </w:r>
            <w:r w:rsidR="4EDE6566" w:rsidRPr="00683FF0">
              <w:t xml:space="preserve">5a. </w:t>
            </w:r>
            <w:r w:rsidRPr="00683FF0">
              <w:t>Minister of Forestry</w:t>
            </w:r>
          </w:p>
          <w:p w14:paraId="7B2CA304" w14:textId="0AA4F821" w:rsidR="00F90AAF" w:rsidRPr="00683FF0" w:rsidRDefault="4EDE6566" w:rsidP="00397544">
            <w:pPr>
              <w:pStyle w:val="TableBullet"/>
            </w:pPr>
            <w:r w:rsidRPr="00683FF0">
              <w:t>25.3.</w:t>
            </w:r>
            <w:r w:rsidR="1152A629" w:rsidRPr="00683FF0">
              <w:t xml:space="preserve"> </w:t>
            </w:r>
            <w:r w:rsidRPr="00683FF0">
              <w:t>Ministers of Forestry</w:t>
            </w:r>
            <w:r w:rsidR="009446D5" w:rsidRPr="00683FF0">
              <w:t>,</w:t>
            </w:r>
            <w:r w:rsidRPr="00683FF0">
              <w:t xml:space="preserve"> Conservation</w:t>
            </w:r>
          </w:p>
          <w:p w14:paraId="34306E43" w14:textId="75CFB405" w:rsidR="00413E67" w:rsidRPr="00683FF0" w:rsidRDefault="1E26974D" w:rsidP="00397544">
            <w:pPr>
              <w:pStyle w:val="TableBullet"/>
            </w:pPr>
            <w:r w:rsidRPr="00683FF0">
              <w:t>25.5.b. Min</w:t>
            </w:r>
            <w:r w:rsidR="009446D5" w:rsidRPr="00683FF0">
              <w:t>i</w:t>
            </w:r>
            <w:r w:rsidRPr="00683FF0">
              <w:t>sters of Forestry, Conservation</w:t>
            </w:r>
            <w:r w:rsidR="009446D5" w:rsidRPr="00683FF0">
              <w:t>,</w:t>
            </w:r>
            <w:r w:rsidRPr="00683FF0">
              <w:t xml:space="preserve"> Climate Change</w:t>
            </w:r>
          </w:p>
          <w:p w14:paraId="2E4DD182" w14:textId="77777777" w:rsidR="006930AC" w:rsidRPr="00683FF0" w:rsidRDefault="006930AC" w:rsidP="00397544">
            <w:pPr>
              <w:pStyle w:val="TableTextbold"/>
              <w:rPr>
                <w:rFonts w:eastAsia="Times New Roman" w:cstheme="minorHAnsi"/>
              </w:rPr>
            </w:pPr>
            <w:r w:rsidRPr="00683FF0">
              <w:t>Timeline:</w:t>
            </w:r>
            <w:r w:rsidRPr="00683FF0">
              <w:rPr>
                <w:rFonts w:eastAsia="Times New Roman" w:cstheme="minorHAnsi"/>
              </w:rPr>
              <w:t xml:space="preserve"> </w:t>
            </w:r>
          </w:p>
          <w:p w14:paraId="6213A3A8" w14:textId="0CC66D61" w:rsidR="006930AC" w:rsidRPr="00683FF0" w:rsidRDefault="24911CC2" w:rsidP="00397544">
            <w:pPr>
              <w:pStyle w:val="TableBullet"/>
            </w:pPr>
            <w:r w:rsidRPr="00683FF0">
              <w:t>25.1. Action from 2022</w:t>
            </w:r>
            <w:r w:rsidR="00B65C75" w:rsidRPr="00683FF0">
              <w:t>–</w:t>
            </w:r>
            <w:r w:rsidRPr="00683FF0">
              <w:t>25 (EB1). Impact (EB2) onwards</w:t>
            </w:r>
          </w:p>
          <w:p w14:paraId="5AEE132A" w14:textId="335EDD5C" w:rsidR="006930AC" w:rsidRPr="00683FF0" w:rsidRDefault="24911CC2" w:rsidP="00397544">
            <w:pPr>
              <w:pStyle w:val="TableBullet"/>
            </w:pPr>
            <w:r w:rsidRPr="00683FF0">
              <w:t>25.2a. Recommendations to Cabinet (EB1)</w:t>
            </w:r>
          </w:p>
          <w:p w14:paraId="01941E9D" w14:textId="241506BE" w:rsidR="006930AC" w:rsidRPr="00683FF0" w:rsidRDefault="24911CC2" w:rsidP="00397544">
            <w:pPr>
              <w:pStyle w:val="TableBullet"/>
            </w:pPr>
            <w:r w:rsidRPr="00683FF0">
              <w:t xml:space="preserve">25.2b. 4 March to 22 April 2022 </w:t>
            </w:r>
            <w:r w:rsidR="00B65C75" w:rsidRPr="00683FF0">
              <w:t>– p</w:t>
            </w:r>
            <w:r w:rsidRPr="00683FF0">
              <w:t>ublic consultation. Mid-2022 decisions on proposals to limit incentives for permanent exotics. December 2022</w:t>
            </w:r>
            <w:r w:rsidR="00B65C75" w:rsidRPr="00683FF0">
              <w:t xml:space="preserve"> –</w:t>
            </w:r>
            <w:r w:rsidRPr="00683FF0">
              <w:t xml:space="preserve"> option to adjust how averaging accounting applies to remote and marginal land</w:t>
            </w:r>
          </w:p>
          <w:p w14:paraId="3E1EAB4D" w14:textId="0C9057F4" w:rsidR="006930AC" w:rsidRPr="00683FF0" w:rsidRDefault="24911CC2" w:rsidP="00397544">
            <w:pPr>
              <w:pStyle w:val="TableBullet"/>
            </w:pPr>
            <w:r w:rsidRPr="00683FF0">
              <w:t>25.2c. Public consultation expected</w:t>
            </w:r>
            <w:r w:rsidR="00C1630D" w:rsidRPr="00683FF0">
              <w:t xml:space="preserve"> </w:t>
            </w:r>
            <w:r w:rsidRPr="00683FF0">
              <w:t>2022</w:t>
            </w:r>
          </w:p>
          <w:p w14:paraId="253CDBD4" w14:textId="0FE96182" w:rsidR="006930AC" w:rsidRPr="00683FF0" w:rsidRDefault="24911CC2" w:rsidP="00397544">
            <w:pPr>
              <w:pStyle w:val="TableBullet"/>
            </w:pPr>
            <w:r w:rsidRPr="00683FF0">
              <w:t xml:space="preserve">25.3. </w:t>
            </w:r>
            <w:r w:rsidR="18D622C3" w:rsidRPr="00683FF0">
              <w:t>Implementation planning 2023</w:t>
            </w:r>
          </w:p>
          <w:p w14:paraId="76ECE613" w14:textId="14A2F85A" w:rsidR="006930AC" w:rsidRPr="00683FF0" w:rsidRDefault="24911CC2" w:rsidP="00397544">
            <w:pPr>
              <w:pStyle w:val="TableBullet"/>
            </w:pPr>
            <w:r w:rsidRPr="00683FF0">
              <w:t>25.4. 2022 and ongoing. Impact (EB2) onwards</w:t>
            </w:r>
          </w:p>
          <w:p w14:paraId="5EB773B1" w14:textId="22487917" w:rsidR="006930AC" w:rsidRPr="00683FF0" w:rsidRDefault="24911CC2" w:rsidP="00397544">
            <w:pPr>
              <w:pStyle w:val="TableBullet"/>
            </w:pPr>
            <w:r w:rsidRPr="00683FF0">
              <w:t xml:space="preserve">25.5a </w:t>
            </w:r>
            <w:r w:rsidR="00B65C75" w:rsidRPr="00683FF0">
              <w:t xml:space="preserve">and </w:t>
            </w:r>
            <w:r w:rsidRPr="00683FF0">
              <w:t>b. 2022</w:t>
            </w:r>
            <w:r w:rsidR="00B65C75" w:rsidRPr="00683FF0">
              <w:t>–</w:t>
            </w:r>
            <w:r w:rsidRPr="00683FF0">
              <w:t>25 (EB1) onwards</w:t>
            </w:r>
          </w:p>
        </w:tc>
      </w:tr>
    </w:tbl>
    <w:p w14:paraId="406B1401" w14:textId="4C113885" w:rsidR="004C02DA" w:rsidRPr="00683FF0" w:rsidRDefault="004C02DA" w:rsidP="00397544">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3B2BB0" w:rsidRPr="00683FF0" w14:paraId="7D9AE621" w14:textId="77777777" w:rsidTr="006C66D5">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0CF57FC8" w14:textId="1341DCB4" w:rsidR="001E7E77" w:rsidRPr="00683FF0" w:rsidRDefault="001E7E77" w:rsidP="006C66D5">
            <w:pPr>
              <w:pStyle w:val="TableTextbold"/>
              <w:keepNext/>
              <w:rPr>
                <w:color w:val="FFFFFF" w:themeColor="background1"/>
              </w:rPr>
            </w:pPr>
            <w:r w:rsidRPr="00683FF0">
              <w:rPr>
                <w:color w:val="FFFFFF" w:themeColor="background1"/>
              </w:rPr>
              <w:lastRenderedPageBreak/>
              <w:t xml:space="preserve">Report </w:t>
            </w:r>
            <w:r w:rsidR="00B65C75"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4133DC65" w14:textId="60BCA84D" w:rsidR="001E7E77" w:rsidRPr="00683FF0" w:rsidRDefault="001E7E77" w:rsidP="006C66D5">
            <w:pPr>
              <w:pStyle w:val="TableTextbold"/>
              <w:keepNext/>
              <w:rPr>
                <w:color w:val="FFFFFF" w:themeColor="background1"/>
              </w:rPr>
            </w:pPr>
            <w:r w:rsidRPr="00683FF0">
              <w:rPr>
                <w:color w:val="FFFFFF" w:themeColor="background1"/>
              </w:rPr>
              <w:t xml:space="preserve">Government </w:t>
            </w:r>
            <w:r w:rsidR="00B65C75" w:rsidRPr="00683FF0">
              <w:rPr>
                <w:color w:val="FFFFFF" w:themeColor="background1"/>
              </w:rPr>
              <w:t>r</w:t>
            </w:r>
            <w:r w:rsidRPr="00683FF0">
              <w:rPr>
                <w:color w:val="FFFFFF" w:themeColor="background1"/>
              </w:rPr>
              <w:t>esponse</w:t>
            </w:r>
          </w:p>
        </w:tc>
      </w:tr>
      <w:tr w:rsidR="001E7E77" w:rsidRPr="00683FF0" w14:paraId="1CCCC5B4" w14:textId="77777777" w:rsidTr="006C66D5">
        <w:tc>
          <w:tcPr>
            <w:tcW w:w="4508" w:type="dxa"/>
            <w:tcBorders>
              <w:top w:val="single" w:sz="4" w:space="0" w:color="1B556B" w:themeColor="text2"/>
              <w:bottom w:val="nil"/>
            </w:tcBorders>
            <w:shd w:val="clear" w:color="auto" w:fill="D2DDE1" w:themeFill="background2"/>
          </w:tcPr>
          <w:p w14:paraId="2ECC4B4E" w14:textId="4534F497" w:rsidR="001E7E77" w:rsidRPr="00683FF0" w:rsidRDefault="001E7E77" w:rsidP="006C66D5">
            <w:pPr>
              <w:pStyle w:val="TableTextbold"/>
              <w:keepNext/>
            </w:pPr>
            <w:r w:rsidRPr="00683FF0">
              <w:t>Recommendation 2</w:t>
            </w:r>
            <w:r w:rsidR="00B16440" w:rsidRPr="00683FF0">
              <w:t>5</w:t>
            </w:r>
            <w:r w:rsidRPr="00683FF0">
              <w:t xml:space="preserve"> – Provisional</w:t>
            </w:r>
            <w:r w:rsidR="004F62CD" w:rsidRPr="00683FF0">
              <w:t xml:space="preserve"> progress</w:t>
            </w:r>
            <w:r w:rsidRPr="00683FF0">
              <w:t xml:space="preserve"> indicators</w:t>
            </w:r>
          </w:p>
        </w:tc>
        <w:tc>
          <w:tcPr>
            <w:tcW w:w="4508" w:type="dxa"/>
            <w:tcBorders>
              <w:top w:val="single" w:sz="4" w:space="0" w:color="1B556B" w:themeColor="text2"/>
              <w:bottom w:val="nil"/>
            </w:tcBorders>
            <w:shd w:val="clear" w:color="auto" w:fill="D2DDE1" w:themeFill="background2"/>
          </w:tcPr>
          <w:p w14:paraId="6E71BF82" w14:textId="77777777" w:rsidR="001E7E77" w:rsidRPr="00683FF0" w:rsidRDefault="001E7E77" w:rsidP="006C66D5">
            <w:pPr>
              <w:pStyle w:val="TableTextbold"/>
              <w:keepNext/>
            </w:pPr>
          </w:p>
        </w:tc>
      </w:tr>
      <w:tr w:rsidR="001E7E77" w:rsidRPr="00683FF0" w14:paraId="1E848ABB" w14:textId="77777777" w:rsidTr="006C66D5">
        <w:tc>
          <w:tcPr>
            <w:tcW w:w="4508" w:type="dxa"/>
            <w:tcBorders>
              <w:top w:val="nil"/>
            </w:tcBorders>
            <w:shd w:val="clear" w:color="auto" w:fill="FFFFFF" w:themeFill="background1"/>
          </w:tcPr>
          <w:p w14:paraId="76C95E62" w14:textId="61809FB0" w:rsidR="001E7E77" w:rsidRPr="00683FF0" w:rsidRDefault="004F62CD" w:rsidP="006C66D5">
            <w:pPr>
              <w:pStyle w:val="TableText"/>
              <w:keepNext/>
            </w:pPr>
            <w:r w:rsidRPr="00683FF0">
              <w:t>25.</w:t>
            </w:r>
            <w:r w:rsidR="00B16440" w:rsidRPr="00683FF0">
              <w:t xml:space="preserve">1. </w:t>
            </w:r>
            <w:r w:rsidR="000A6344" w:rsidRPr="00683FF0">
              <w:t>Government to have, by 31 December 2022, developed proposals for incentives for native forests and for managing the amount of exotic forest planting driven by the NZ ETS, with amendments to be effective by 31 December 2024.</w:t>
            </w:r>
          </w:p>
        </w:tc>
        <w:tc>
          <w:tcPr>
            <w:tcW w:w="4508" w:type="dxa"/>
            <w:tcBorders>
              <w:top w:val="nil"/>
            </w:tcBorders>
            <w:shd w:val="clear" w:color="auto" w:fill="FFFFFF" w:themeFill="background1"/>
          </w:tcPr>
          <w:p w14:paraId="2636C732" w14:textId="35AAA987" w:rsidR="00250FBD" w:rsidRPr="00683FF0" w:rsidRDefault="004F62CD" w:rsidP="006C66D5">
            <w:pPr>
              <w:pStyle w:val="TableText"/>
              <w:keepNext/>
              <w:rPr>
                <w:b/>
                <w:bCs/>
              </w:rPr>
            </w:pPr>
            <w:r w:rsidRPr="00683FF0">
              <w:rPr>
                <w:b/>
                <w:bCs/>
              </w:rPr>
              <w:t xml:space="preserve">25.1. </w:t>
            </w:r>
            <w:r w:rsidR="138667EA" w:rsidRPr="00683FF0">
              <w:rPr>
                <w:b/>
                <w:bCs/>
              </w:rPr>
              <w:t>The Government agrees in principle with this provisional</w:t>
            </w:r>
            <w:r w:rsidRPr="00683FF0">
              <w:rPr>
                <w:b/>
                <w:bCs/>
              </w:rPr>
              <w:t xml:space="preserve"> progress</w:t>
            </w:r>
            <w:r w:rsidR="138667EA" w:rsidRPr="00683FF0">
              <w:rPr>
                <w:b/>
                <w:bCs/>
              </w:rPr>
              <w:t xml:space="preserve"> indicator.</w:t>
            </w:r>
            <w:r w:rsidR="1DEE02F1" w:rsidRPr="00683FF0">
              <w:rPr>
                <w:b/>
                <w:bCs/>
              </w:rPr>
              <w:t xml:space="preserve"> </w:t>
            </w:r>
            <w:r w:rsidR="264DCB5C" w:rsidRPr="00683FF0">
              <w:t xml:space="preserve">The Government is currently consulting on possible changes to forestry settings in the NZ ETS to balance the mix of forests </w:t>
            </w:r>
            <w:r w:rsidR="264DCB5C" w:rsidRPr="00683FF0">
              <w:rPr>
                <w:rFonts w:eastAsia="Calibri" w:cs="Calibri"/>
              </w:rPr>
              <w:t>(</w:t>
            </w:r>
            <w:r w:rsidR="00D93C04" w:rsidRPr="00683FF0">
              <w:rPr>
                <w:rFonts w:eastAsia="Times New Roman"/>
              </w:rPr>
              <w:t>c</w:t>
            </w:r>
            <w:r w:rsidR="264DCB5C" w:rsidRPr="00683FF0">
              <w:rPr>
                <w:rFonts w:eastAsia="Times New Roman"/>
              </w:rPr>
              <w:t>hapter 14</w:t>
            </w:r>
            <w:r w:rsidR="00D93C04" w:rsidRPr="00683FF0">
              <w:rPr>
                <w:rFonts w:eastAsia="Times New Roman"/>
              </w:rPr>
              <w:t>:</w:t>
            </w:r>
            <w:r w:rsidR="264DCB5C" w:rsidRPr="00683FF0">
              <w:rPr>
                <w:rFonts w:eastAsia="Times New Roman"/>
              </w:rPr>
              <w:t xml:space="preserve"> Forestry</w:t>
            </w:r>
            <w:r w:rsidR="00D93C04" w:rsidRPr="00683FF0">
              <w:rPr>
                <w:rFonts w:eastAsia="Times New Roman"/>
              </w:rPr>
              <w:t>,</w:t>
            </w:r>
            <w:r w:rsidR="264DCB5C" w:rsidRPr="00683FF0">
              <w:rPr>
                <w:rFonts w:eastAsia="Times New Roman"/>
              </w:rPr>
              <w:t xml:space="preserve"> actions </w:t>
            </w:r>
            <w:r w:rsidR="00975857" w:rsidRPr="00683FF0">
              <w:rPr>
                <w:rFonts w:eastAsia="Times New Roman"/>
              </w:rPr>
              <w:t>14.</w:t>
            </w:r>
            <w:r w:rsidR="264DCB5C" w:rsidRPr="00683FF0">
              <w:rPr>
                <w:rFonts w:eastAsia="Times New Roman"/>
              </w:rPr>
              <w:t xml:space="preserve">1.1, </w:t>
            </w:r>
            <w:r w:rsidR="00975857" w:rsidRPr="00683FF0">
              <w:rPr>
                <w:rFonts w:eastAsia="Times New Roman"/>
              </w:rPr>
              <w:t>14.</w:t>
            </w:r>
            <w:r w:rsidR="264DCB5C" w:rsidRPr="00683FF0">
              <w:rPr>
                <w:rFonts w:eastAsia="Times New Roman"/>
              </w:rPr>
              <w:t>2.2</w:t>
            </w:r>
            <w:r w:rsidR="00D93C04" w:rsidRPr="00683FF0">
              <w:rPr>
                <w:rFonts w:eastAsia="Times New Roman"/>
              </w:rPr>
              <w:t>,</w:t>
            </w:r>
            <w:r w:rsidR="264DCB5C" w:rsidRPr="00683FF0">
              <w:rPr>
                <w:rFonts w:eastAsia="Times New Roman"/>
              </w:rPr>
              <w:t xml:space="preserve"> </w:t>
            </w:r>
            <w:r w:rsidR="00975857" w:rsidRPr="00683FF0">
              <w:rPr>
                <w:rFonts w:eastAsia="Times New Roman"/>
              </w:rPr>
              <w:t>14.</w:t>
            </w:r>
            <w:r w:rsidR="264DCB5C" w:rsidRPr="00683FF0">
              <w:rPr>
                <w:rFonts w:eastAsia="Times New Roman"/>
              </w:rPr>
              <w:t>2.3).</w:t>
            </w:r>
          </w:p>
        </w:tc>
      </w:tr>
      <w:tr w:rsidR="000A6344" w:rsidRPr="00683FF0" w14:paraId="66F2B51B" w14:textId="77777777" w:rsidTr="006C66D5">
        <w:tc>
          <w:tcPr>
            <w:tcW w:w="4508" w:type="dxa"/>
          </w:tcPr>
          <w:p w14:paraId="5C28EE28" w14:textId="2E46B2E2" w:rsidR="000A6344" w:rsidRPr="00683FF0" w:rsidRDefault="004F62CD" w:rsidP="006C66D5">
            <w:pPr>
              <w:pStyle w:val="TableText"/>
            </w:pPr>
            <w:r w:rsidRPr="00683FF0">
              <w:t>25.</w:t>
            </w:r>
            <w:r w:rsidR="00B16440" w:rsidRPr="00683FF0">
              <w:t xml:space="preserve">2. </w:t>
            </w:r>
            <w:r w:rsidR="000A6344" w:rsidRPr="00683FF0">
              <w:t>Government to report, from 31 December 2022, on the hectares of exotic and native forest that are afforested and deforested at least annually.</w:t>
            </w:r>
          </w:p>
        </w:tc>
        <w:tc>
          <w:tcPr>
            <w:tcW w:w="4508" w:type="dxa"/>
          </w:tcPr>
          <w:p w14:paraId="294569A5" w14:textId="2DE2841F" w:rsidR="00250FBD" w:rsidRPr="00683FF0" w:rsidRDefault="004F62CD" w:rsidP="006C66D5">
            <w:pPr>
              <w:pStyle w:val="TableText"/>
              <w:rPr>
                <w:b/>
                <w:bCs/>
              </w:rPr>
            </w:pPr>
            <w:r w:rsidRPr="00683FF0">
              <w:rPr>
                <w:b/>
                <w:bCs/>
              </w:rPr>
              <w:t xml:space="preserve">25.2. </w:t>
            </w:r>
            <w:r w:rsidR="00906BE4" w:rsidRPr="00683FF0">
              <w:rPr>
                <w:b/>
                <w:bCs/>
              </w:rPr>
              <w:t>The Government agrees in principle with this provisional</w:t>
            </w:r>
            <w:r w:rsidRPr="00683FF0">
              <w:rPr>
                <w:b/>
                <w:bCs/>
              </w:rPr>
              <w:t xml:space="preserve"> progress</w:t>
            </w:r>
            <w:r w:rsidR="00906BE4" w:rsidRPr="00683FF0">
              <w:rPr>
                <w:b/>
                <w:bCs/>
              </w:rPr>
              <w:t xml:space="preserve"> indicator.</w:t>
            </w:r>
            <w:r w:rsidR="0049153B" w:rsidRPr="00683FF0">
              <w:rPr>
                <w:b/>
                <w:bCs/>
              </w:rPr>
              <w:t xml:space="preserve"> </w:t>
            </w:r>
            <w:r w:rsidR="0049153B" w:rsidRPr="00683FF0">
              <w:t>Th</w:t>
            </w:r>
            <w:r w:rsidR="00250FBD" w:rsidRPr="00683FF0">
              <w:t>is</w:t>
            </w:r>
            <w:r w:rsidR="000A5E94" w:rsidRPr="00683FF0">
              <w:t xml:space="preserve"> information</w:t>
            </w:r>
            <w:r w:rsidR="00250FBD" w:rsidRPr="00683FF0">
              <w:t xml:space="preserve"> will be included as part of </w:t>
            </w:r>
            <w:r w:rsidR="00CE0324" w:rsidRPr="00683FF0">
              <w:t xml:space="preserve">Aotearoa </w:t>
            </w:r>
            <w:r w:rsidR="00250FBD" w:rsidRPr="00683FF0">
              <w:t>New Zealand’s climate change reporting.</w:t>
            </w:r>
          </w:p>
        </w:tc>
      </w:tr>
      <w:tr w:rsidR="001E7E77" w:rsidRPr="00683FF0" w14:paraId="475AB0EC" w14:textId="77777777" w:rsidTr="006C66D5">
        <w:tc>
          <w:tcPr>
            <w:tcW w:w="4508" w:type="dxa"/>
          </w:tcPr>
          <w:p w14:paraId="5DCAD8EF" w14:textId="529535EE" w:rsidR="001E7E77" w:rsidRPr="00683FF0" w:rsidRDefault="004F62CD" w:rsidP="007C3531">
            <w:pPr>
              <w:pStyle w:val="TableText"/>
              <w:spacing w:after="0"/>
            </w:pPr>
            <w:r w:rsidRPr="00683FF0">
              <w:t>25.</w:t>
            </w:r>
            <w:r w:rsidR="00B16440" w:rsidRPr="00683FF0">
              <w:t xml:space="preserve">3. </w:t>
            </w:r>
            <w:r w:rsidR="000A6344" w:rsidRPr="00683FF0">
              <w:t>Government to report at least annually, from 31</w:t>
            </w:r>
            <w:r w:rsidR="007C3531" w:rsidRPr="00683FF0">
              <w:t> </w:t>
            </w:r>
            <w:r w:rsidR="000A6344" w:rsidRPr="00683FF0">
              <w:t>December 2022, on a suite of indicators including information on labour, nurseries, land purchases, pest eradication data (area to which 1080 has been applied or farm management plans).</w:t>
            </w:r>
          </w:p>
        </w:tc>
        <w:tc>
          <w:tcPr>
            <w:tcW w:w="4508" w:type="dxa"/>
          </w:tcPr>
          <w:p w14:paraId="49F14115" w14:textId="17D4C5F1" w:rsidR="00250FBD" w:rsidRPr="00683FF0" w:rsidRDefault="004F62CD" w:rsidP="007C3531">
            <w:pPr>
              <w:pStyle w:val="TableText"/>
              <w:spacing w:after="0"/>
            </w:pPr>
            <w:r w:rsidRPr="00683FF0">
              <w:rPr>
                <w:b/>
                <w:bCs/>
              </w:rPr>
              <w:t xml:space="preserve">25.3. </w:t>
            </w:r>
            <w:r w:rsidR="00906BE4" w:rsidRPr="00683FF0">
              <w:rPr>
                <w:b/>
                <w:bCs/>
              </w:rPr>
              <w:t>The Government agrees in principle with this provisional</w:t>
            </w:r>
            <w:r w:rsidRPr="00683FF0">
              <w:rPr>
                <w:b/>
                <w:bCs/>
              </w:rPr>
              <w:t xml:space="preserve"> progress</w:t>
            </w:r>
            <w:r w:rsidR="00906BE4" w:rsidRPr="00683FF0">
              <w:rPr>
                <w:b/>
                <w:bCs/>
              </w:rPr>
              <w:t xml:space="preserve"> indicator.</w:t>
            </w:r>
            <w:r w:rsidR="0049153B" w:rsidRPr="00683FF0">
              <w:rPr>
                <w:b/>
                <w:bCs/>
              </w:rPr>
              <w:t xml:space="preserve"> </w:t>
            </w:r>
            <w:r w:rsidR="00250FBD" w:rsidRPr="00683FF0">
              <w:t>This</w:t>
            </w:r>
            <w:r w:rsidR="000A5E94" w:rsidRPr="00683FF0">
              <w:t xml:space="preserve"> information</w:t>
            </w:r>
            <w:r w:rsidR="00250FBD" w:rsidRPr="00683FF0">
              <w:t xml:space="preserve"> will be included as part of </w:t>
            </w:r>
            <w:r w:rsidR="00CE0324" w:rsidRPr="00683FF0">
              <w:t xml:space="preserve">Aotearoa </w:t>
            </w:r>
            <w:r w:rsidR="00250FBD" w:rsidRPr="00683FF0">
              <w:t>New Zealand’s climate change reporting.</w:t>
            </w:r>
          </w:p>
        </w:tc>
      </w:tr>
      <w:tr w:rsidR="00B16440" w:rsidRPr="00683FF0" w14:paraId="0C51F924" w14:textId="77777777" w:rsidTr="006C66D5">
        <w:tc>
          <w:tcPr>
            <w:tcW w:w="4508" w:type="dxa"/>
          </w:tcPr>
          <w:p w14:paraId="277FB048" w14:textId="77777777" w:rsidR="00B16440" w:rsidRPr="00683FF0" w:rsidRDefault="00B16440" w:rsidP="006C66D5">
            <w:pPr>
              <w:pStyle w:val="TableText"/>
            </w:pPr>
          </w:p>
        </w:tc>
        <w:tc>
          <w:tcPr>
            <w:tcW w:w="4508" w:type="dxa"/>
          </w:tcPr>
          <w:p w14:paraId="0FECABEE" w14:textId="77777777" w:rsidR="00B16440" w:rsidRPr="00683FF0" w:rsidRDefault="00B16440" w:rsidP="007C3531">
            <w:pPr>
              <w:pStyle w:val="TableText"/>
              <w:spacing w:before="0"/>
            </w:pPr>
            <w:r w:rsidRPr="00683FF0">
              <w:rPr>
                <w:b/>
                <w:bCs/>
              </w:rPr>
              <w:t xml:space="preserve">Responsible agency: </w:t>
            </w:r>
            <w:r w:rsidRPr="00683FF0">
              <w:t xml:space="preserve">Ministry for Primary Industries </w:t>
            </w:r>
          </w:p>
          <w:p w14:paraId="058C84E2" w14:textId="77777777" w:rsidR="00B16440" w:rsidRPr="00683FF0" w:rsidRDefault="00B16440" w:rsidP="007C3531">
            <w:pPr>
              <w:pStyle w:val="TableText"/>
              <w:spacing w:before="0"/>
              <w:rPr>
                <w:b/>
                <w:bCs/>
              </w:rPr>
            </w:pPr>
            <w:r w:rsidRPr="00683FF0">
              <w:rPr>
                <w:b/>
                <w:bCs/>
              </w:rPr>
              <w:t xml:space="preserve">Responsible Minister: </w:t>
            </w:r>
            <w:r w:rsidRPr="00683FF0">
              <w:t>Minister of Forestry</w:t>
            </w:r>
          </w:p>
          <w:p w14:paraId="3E7906E0" w14:textId="77777777" w:rsidR="00B16440" w:rsidRPr="00683FF0" w:rsidRDefault="00B16440" w:rsidP="007C3531">
            <w:pPr>
              <w:pStyle w:val="TableTextbold"/>
              <w:spacing w:before="0"/>
            </w:pPr>
            <w:r w:rsidRPr="00683FF0">
              <w:t>Timeline:</w:t>
            </w:r>
          </w:p>
          <w:p w14:paraId="469175B9" w14:textId="01103B10" w:rsidR="00B16440" w:rsidRPr="00683FF0" w:rsidRDefault="336D6BE2" w:rsidP="006C66D5">
            <w:pPr>
              <w:pStyle w:val="TableBullet"/>
            </w:pPr>
            <w:r w:rsidRPr="00683FF0">
              <w:t>25.1. 2022</w:t>
            </w:r>
            <w:r w:rsidR="00CE0324" w:rsidRPr="00683FF0">
              <w:t>–</w:t>
            </w:r>
            <w:r w:rsidRPr="00683FF0">
              <w:t>25 (EB1) and ongoing</w:t>
            </w:r>
          </w:p>
          <w:p w14:paraId="689A8E4C" w14:textId="66B695C6" w:rsidR="00B16440" w:rsidRPr="00683FF0" w:rsidRDefault="336D6BE2" w:rsidP="006C66D5">
            <w:pPr>
              <w:pStyle w:val="TableBullet"/>
            </w:pPr>
            <w:r w:rsidRPr="00683FF0">
              <w:t xml:space="preserve">25.2 and </w:t>
            </w:r>
            <w:r w:rsidR="00CE0324" w:rsidRPr="00683FF0">
              <w:t>25.</w:t>
            </w:r>
            <w:r w:rsidRPr="00683FF0">
              <w:t>3. 2023 onwards</w:t>
            </w:r>
          </w:p>
        </w:tc>
      </w:tr>
    </w:tbl>
    <w:p w14:paraId="0934CE26" w14:textId="08069670" w:rsidR="50E302AE" w:rsidRPr="00683FF0" w:rsidRDefault="50E302AE" w:rsidP="006C66D5">
      <w:pPr>
        <w:pStyle w:val="BodyText"/>
      </w:pPr>
    </w:p>
    <w:p w14:paraId="1577CC89" w14:textId="77777777" w:rsidR="00180B6A" w:rsidRPr="00683FF0" w:rsidRDefault="00180B6A" w:rsidP="006C66D5">
      <w:pPr>
        <w:pStyle w:val="BodyText"/>
      </w:pPr>
      <w:r w:rsidRPr="00683FF0">
        <w:br w:type="page"/>
      </w:r>
    </w:p>
    <w:p w14:paraId="68AD4731" w14:textId="42B22394" w:rsidR="004C02DA" w:rsidRPr="00683FF0" w:rsidRDefault="00180B6A" w:rsidP="004C02DA">
      <w:pPr>
        <w:pStyle w:val="Heading1"/>
      </w:pPr>
      <w:bookmarkStart w:id="54" w:name="_Toc103175841"/>
      <w:bookmarkStart w:id="55" w:name="_Toc103778804"/>
      <w:r w:rsidRPr="00683FF0">
        <w:lastRenderedPageBreak/>
        <w:t>Recommendation</w:t>
      </w:r>
      <w:r w:rsidR="001A3D22" w:rsidRPr="00683FF0">
        <w:t>s</w:t>
      </w:r>
      <w:r w:rsidRPr="00683FF0">
        <w:t xml:space="preserve"> 26</w:t>
      </w:r>
      <w:r w:rsidR="001A3D22" w:rsidRPr="00683FF0">
        <w:t>–</w:t>
      </w:r>
      <w:r w:rsidR="00833721" w:rsidRPr="00683FF0">
        <w:t>27</w:t>
      </w:r>
      <w:r w:rsidRPr="00683FF0">
        <w:t xml:space="preserve">: </w:t>
      </w:r>
      <w:r w:rsidR="006C66D5" w:rsidRPr="00683FF0">
        <w:br/>
      </w:r>
      <w:r w:rsidR="00AB6168" w:rsidRPr="00683FF0">
        <w:t>Policy direction for an e</w:t>
      </w:r>
      <w:r w:rsidR="004C02DA" w:rsidRPr="00683FF0">
        <w:t xml:space="preserve">quitable transition for </w:t>
      </w:r>
      <w:r w:rsidR="00AB6168" w:rsidRPr="00683FF0">
        <w:t>I</w:t>
      </w:r>
      <w:r w:rsidR="004C02DA" w:rsidRPr="00683FF0">
        <w:t>wi/Māori</w:t>
      </w:r>
      <w:bookmarkEnd w:id="54"/>
      <w:bookmarkEnd w:id="55"/>
      <w:r w:rsidR="004C02DA"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8E57D0" w:rsidRPr="00683FF0" w14:paraId="56E549EC" w14:textId="77777777" w:rsidTr="008E57D0">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36CAAFA8" w14:textId="41E79068" w:rsidR="001E7E77" w:rsidRPr="00683FF0" w:rsidRDefault="001E7E77" w:rsidP="008E57D0">
            <w:pPr>
              <w:pStyle w:val="TableTextbold"/>
              <w:rPr>
                <w:color w:val="FFFFFF" w:themeColor="background1"/>
              </w:rPr>
            </w:pPr>
            <w:bookmarkStart w:id="56" w:name="_Hlk99609595"/>
            <w:r w:rsidRPr="00683FF0">
              <w:rPr>
                <w:color w:val="FFFFFF" w:themeColor="background1"/>
              </w:rPr>
              <w:t xml:space="preserve">Report </w:t>
            </w:r>
            <w:r w:rsidR="00CE0324"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18C19E5E" w14:textId="6B9BAD43" w:rsidR="001E7E77" w:rsidRPr="00683FF0" w:rsidRDefault="001E7E77" w:rsidP="008E57D0">
            <w:pPr>
              <w:pStyle w:val="TableTextbold"/>
              <w:rPr>
                <w:color w:val="FFFFFF" w:themeColor="background1"/>
              </w:rPr>
            </w:pPr>
            <w:r w:rsidRPr="00683FF0">
              <w:rPr>
                <w:color w:val="FFFFFF" w:themeColor="background1"/>
              </w:rPr>
              <w:t xml:space="preserve">Government </w:t>
            </w:r>
            <w:r w:rsidR="00CE0324" w:rsidRPr="00683FF0">
              <w:rPr>
                <w:color w:val="FFFFFF" w:themeColor="background1"/>
              </w:rPr>
              <w:t>r</w:t>
            </w:r>
            <w:r w:rsidRPr="00683FF0">
              <w:rPr>
                <w:color w:val="FFFFFF" w:themeColor="background1"/>
              </w:rPr>
              <w:t>esponse</w:t>
            </w:r>
          </w:p>
        </w:tc>
      </w:tr>
      <w:tr w:rsidR="001E7E77" w:rsidRPr="00683FF0" w14:paraId="2220DAD8" w14:textId="77777777" w:rsidTr="008E57D0">
        <w:tc>
          <w:tcPr>
            <w:tcW w:w="4508" w:type="dxa"/>
            <w:tcBorders>
              <w:top w:val="single" w:sz="4" w:space="0" w:color="1B556B" w:themeColor="text2"/>
            </w:tcBorders>
          </w:tcPr>
          <w:p w14:paraId="3551D168" w14:textId="20213744" w:rsidR="001E7E77" w:rsidRPr="00683FF0" w:rsidRDefault="001E7E77" w:rsidP="008E57D0">
            <w:pPr>
              <w:pStyle w:val="TableTextbold"/>
            </w:pPr>
            <w:r w:rsidRPr="00683FF0">
              <w:t>Recommendation 2</w:t>
            </w:r>
            <w:r w:rsidR="004C3EC9" w:rsidRPr="00683FF0">
              <w:t>6</w:t>
            </w:r>
            <w:r w:rsidRPr="00683FF0">
              <w:t xml:space="preserve"> –</w:t>
            </w:r>
            <w:r w:rsidR="004C3EC9" w:rsidRPr="00683FF0">
              <w:t xml:space="preserve"> An equitable transition for Iwi/Māori</w:t>
            </w:r>
            <w:r w:rsidRPr="00683FF0">
              <w:t xml:space="preserve"> </w:t>
            </w:r>
          </w:p>
          <w:p w14:paraId="1EDB4120" w14:textId="7E5B78EC" w:rsidR="001E7E77" w:rsidRPr="00683FF0" w:rsidRDefault="004C3EC9" w:rsidP="008E57D0">
            <w:pPr>
              <w:pStyle w:val="TableText"/>
              <w:spacing w:before="0"/>
            </w:pPr>
            <w:r w:rsidRPr="00683FF0">
              <w:t>In the context of the transition to a low-emissions society, we recommend that central and local government work with Iwi/Māori to develop a mechanism to build authentic and enduring partnerships that results in:</w:t>
            </w:r>
          </w:p>
        </w:tc>
        <w:tc>
          <w:tcPr>
            <w:tcW w:w="4508" w:type="dxa"/>
            <w:tcBorders>
              <w:top w:val="single" w:sz="4" w:space="0" w:color="1B556B" w:themeColor="text2"/>
            </w:tcBorders>
          </w:tcPr>
          <w:p w14:paraId="5C5E20E5" w14:textId="03D52637" w:rsidR="009E3BFB" w:rsidRPr="00683FF0" w:rsidRDefault="00AC3114" w:rsidP="008E57D0">
            <w:pPr>
              <w:pStyle w:val="TableText"/>
            </w:pPr>
            <w:r w:rsidRPr="00683FF0">
              <w:rPr>
                <w:b/>
                <w:bCs/>
              </w:rPr>
              <w:t xml:space="preserve">The Government agrees in principle with this recommendation. </w:t>
            </w:r>
            <w:r w:rsidR="009E3BFB" w:rsidRPr="00683FF0">
              <w:t>Authentic and enduring partnerships between the Crown and Māori are a central Tiriti principle and whole-of-government obligation. To facilitate this, a platform for Māori climate action will be established to sit alongside the Government</w:t>
            </w:r>
            <w:r w:rsidR="002851A3" w:rsidRPr="00683FF0">
              <w:t>’</w:t>
            </w:r>
            <w:r w:rsidR="009E3BFB" w:rsidRPr="00683FF0">
              <w:t>s climate policy response, including the emissions reduction and national adaptation plans. This will establish mechanisms to build Te Tiriti-led relationships and recognition of Māori rights and interests across the climate response (</w:t>
            </w:r>
            <w:r w:rsidR="009B008D" w:rsidRPr="00683FF0">
              <w:t>c</w:t>
            </w:r>
            <w:r w:rsidR="009E3BFB" w:rsidRPr="00683FF0">
              <w:t>hapter 2</w:t>
            </w:r>
            <w:r w:rsidR="009B008D" w:rsidRPr="00683FF0">
              <w:t>:</w:t>
            </w:r>
            <w:r w:rsidR="009E3BFB" w:rsidRPr="00683FF0">
              <w:t xml:space="preserve"> Empowering Māori</w:t>
            </w:r>
            <w:r w:rsidR="009B008D" w:rsidRPr="00683FF0">
              <w:t>,</w:t>
            </w:r>
            <w:r w:rsidR="009E3BFB" w:rsidRPr="00683FF0">
              <w:t xml:space="preserve"> actions </w:t>
            </w:r>
            <w:r w:rsidR="00975857" w:rsidRPr="00683FF0">
              <w:t>2.</w:t>
            </w:r>
            <w:r w:rsidR="009E3BFB" w:rsidRPr="00683FF0">
              <w:t>1</w:t>
            </w:r>
            <w:r w:rsidR="009B008D" w:rsidRPr="00683FF0">
              <w:t>,</w:t>
            </w:r>
            <w:r w:rsidR="009E3BFB" w:rsidRPr="00683FF0">
              <w:t xml:space="preserve"> </w:t>
            </w:r>
            <w:r w:rsidR="00975857" w:rsidRPr="00683FF0">
              <w:t>2.</w:t>
            </w:r>
            <w:r w:rsidR="009E3BFB" w:rsidRPr="00683FF0">
              <w:t>2)</w:t>
            </w:r>
            <w:r w:rsidR="00FD43D5" w:rsidRPr="00683FF0">
              <w:t>.</w:t>
            </w:r>
          </w:p>
        </w:tc>
      </w:tr>
      <w:tr w:rsidR="001E7E77" w:rsidRPr="00683FF0" w14:paraId="776B0173" w14:textId="77777777" w:rsidTr="008E57D0">
        <w:tc>
          <w:tcPr>
            <w:tcW w:w="4508" w:type="dxa"/>
          </w:tcPr>
          <w:p w14:paraId="25E53496" w14:textId="0C2CE996" w:rsidR="001E7E77" w:rsidRPr="00683FF0" w:rsidRDefault="0049153B" w:rsidP="008E57D0">
            <w:pPr>
              <w:pStyle w:val="TableText"/>
            </w:pPr>
            <w:r w:rsidRPr="00683FF0">
              <w:t xml:space="preserve">26.1. </w:t>
            </w:r>
            <w:r w:rsidR="004C3EC9" w:rsidRPr="00683FF0">
              <w:t>Recognition and active protection of Iwi/Māori rights and interests</w:t>
            </w:r>
          </w:p>
        </w:tc>
        <w:tc>
          <w:tcPr>
            <w:tcW w:w="4508" w:type="dxa"/>
          </w:tcPr>
          <w:p w14:paraId="651F28BF" w14:textId="5E4F8853" w:rsidR="001E7E77" w:rsidRPr="00683FF0" w:rsidRDefault="000A5E94" w:rsidP="008E57D0">
            <w:pPr>
              <w:pStyle w:val="TableText"/>
            </w:pPr>
            <w:r w:rsidRPr="00683FF0">
              <w:rPr>
                <w:b/>
                <w:bCs/>
              </w:rPr>
              <w:t xml:space="preserve">26.1. </w:t>
            </w:r>
            <w:r w:rsidR="00AC3114" w:rsidRPr="00683FF0">
              <w:rPr>
                <w:b/>
                <w:bCs/>
              </w:rPr>
              <w:t xml:space="preserve">The Government agrees in principle with this recommendation. </w:t>
            </w:r>
            <w:r w:rsidR="009E3BFB" w:rsidRPr="00683FF0">
              <w:t xml:space="preserve">Recognition and active protection of </w:t>
            </w:r>
            <w:r w:rsidR="00837C93" w:rsidRPr="00683FF0">
              <w:t>i</w:t>
            </w:r>
            <w:r w:rsidR="009E3BFB" w:rsidRPr="00683FF0">
              <w:t>wi/Māori rights and interests are a central Tiriti principle and whole-of-government obligation. To facilitate this, a platform for Māori climate action will be established to sit alongside the Government</w:t>
            </w:r>
            <w:r w:rsidR="00837C93" w:rsidRPr="00683FF0">
              <w:t>’</w:t>
            </w:r>
            <w:r w:rsidR="009E3BFB" w:rsidRPr="00683FF0">
              <w:t>s climate policy response, including the emissions reduction and national adaptation plans. This will establish mechanisms to build Te Tiriti-led relationships and recognition of Māori rights and interests across the climate response (</w:t>
            </w:r>
            <w:r w:rsidR="00837C93" w:rsidRPr="00683FF0">
              <w:t>c</w:t>
            </w:r>
            <w:r w:rsidR="009E3BFB" w:rsidRPr="00683FF0">
              <w:t>hapter 2</w:t>
            </w:r>
            <w:r w:rsidR="00837C93" w:rsidRPr="00683FF0">
              <w:t>:</w:t>
            </w:r>
            <w:r w:rsidR="009E3BFB" w:rsidRPr="00683FF0">
              <w:t xml:space="preserve"> Empowering Māori</w:t>
            </w:r>
            <w:r w:rsidR="00837C93" w:rsidRPr="00683FF0">
              <w:t>,</w:t>
            </w:r>
            <w:r w:rsidR="009E3BFB" w:rsidRPr="00683FF0">
              <w:t xml:space="preserve"> actions </w:t>
            </w:r>
            <w:r w:rsidR="00975857" w:rsidRPr="00683FF0">
              <w:t>2.</w:t>
            </w:r>
            <w:r w:rsidR="009E3BFB" w:rsidRPr="00683FF0">
              <w:t>1</w:t>
            </w:r>
            <w:r w:rsidR="00837C93" w:rsidRPr="00683FF0">
              <w:t>,</w:t>
            </w:r>
            <w:r w:rsidR="009E3BFB" w:rsidRPr="00683FF0">
              <w:t xml:space="preserve"> </w:t>
            </w:r>
            <w:r w:rsidR="00975857" w:rsidRPr="00683FF0">
              <w:t>2.</w:t>
            </w:r>
            <w:r w:rsidR="009E3BFB" w:rsidRPr="00683FF0">
              <w:t>2)</w:t>
            </w:r>
            <w:r w:rsidR="00FD43D5" w:rsidRPr="00683FF0">
              <w:t>.</w:t>
            </w:r>
          </w:p>
        </w:tc>
      </w:tr>
      <w:tr w:rsidR="004C3EC9" w:rsidRPr="00683FF0" w14:paraId="73121AAE" w14:textId="77777777" w:rsidTr="008E57D0">
        <w:tc>
          <w:tcPr>
            <w:tcW w:w="4508" w:type="dxa"/>
          </w:tcPr>
          <w:p w14:paraId="2AADEE06" w14:textId="1DC0052C" w:rsidR="004C3EC9" w:rsidRPr="00683FF0" w:rsidRDefault="0049153B" w:rsidP="008E57D0">
            <w:pPr>
              <w:pStyle w:val="TableText"/>
            </w:pPr>
            <w:r w:rsidRPr="00683FF0">
              <w:t xml:space="preserve">26.2. </w:t>
            </w:r>
            <w:r w:rsidR="004C3EC9" w:rsidRPr="00683FF0">
              <w:t>Equitable decision-making with Iwi/Māori at all levels, through Māori representation on local, regional, and national bodies, and robust engagement and consultation process with Iwi/Māori.</w:t>
            </w:r>
          </w:p>
        </w:tc>
        <w:tc>
          <w:tcPr>
            <w:tcW w:w="4508" w:type="dxa"/>
          </w:tcPr>
          <w:p w14:paraId="6D911CFD" w14:textId="689EA1CE" w:rsidR="009E3BFB" w:rsidRPr="00683FF0" w:rsidRDefault="007F2CB8" w:rsidP="008E57D0">
            <w:pPr>
              <w:pStyle w:val="TableText"/>
            </w:pPr>
            <w:r w:rsidRPr="00683FF0">
              <w:rPr>
                <w:b/>
                <w:bCs/>
              </w:rPr>
              <w:t xml:space="preserve">26.2. </w:t>
            </w:r>
            <w:r w:rsidR="00AC3114" w:rsidRPr="00683FF0">
              <w:rPr>
                <w:b/>
                <w:bCs/>
              </w:rPr>
              <w:t xml:space="preserve">The Government agrees in principle with this recommendation. </w:t>
            </w:r>
            <w:r w:rsidR="0049153B" w:rsidRPr="00683FF0">
              <w:t>The Government</w:t>
            </w:r>
            <w:r w:rsidR="00FD43D5" w:rsidRPr="00683FF0">
              <w:t xml:space="preserve"> agree</w:t>
            </w:r>
            <w:r w:rsidR="0049153B" w:rsidRPr="00683FF0">
              <w:t>s</w:t>
            </w:r>
            <w:r w:rsidR="00FD43D5" w:rsidRPr="00683FF0">
              <w:t xml:space="preserve"> with the</w:t>
            </w:r>
            <w:r w:rsidR="000D4B2D" w:rsidRPr="00683FF0">
              <w:t> </w:t>
            </w:r>
            <w:r w:rsidR="00FD43D5" w:rsidRPr="00683FF0">
              <w:t>intent of this recommended outcome where it is</w:t>
            </w:r>
            <w:r w:rsidR="000D4B2D" w:rsidRPr="00683FF0">
              <w:t> </w:t>
            </w:r>
            <w:r w:rsidR="00FD43D5" w:rsidRPr="00683FF0">
              <w:t>achievable through the Government</w:t>
            </w:r>
            <w:r w:rsidR="007E5FFB" w:rsidRPr="00683FF0">
              <w:t>’</w:t>
            </w:r>
            <w:r w:rsidR="00FD43D5" w:rsidRPr="00683FF0">
              <w:t>s climate response. To facilitate this, a platform for Māori climate action will be established to sit alongside the Government</w:t>
            </w:r>
            <w:r w:rsidR="007E5FFB" w:rsidRPr="00683FF0">
              <w:t>’</w:t>
            </w:r>
            <w:r w:rsidR="00FD43D5" w:rsidRPr="00683FF0">
              <w:t xml:space="preserve">s climate policy response, including the emissions reduction and national adaptation plans. This will establish mechanisms to build Te Tiriti-led relationships and recognition of Māori rights and interests across the climate response </w:t>
            </w:r>
            <w:r w:rsidR="009E3BFB" w:rsidRPr="00683FF0">
              <w:t>(</w:t>
            </w:r>
            <w:r w:rsidR="007E5FFB" w:rsidRPr="00683FF0">
              <w:t>c</w:t>
            </w:r>
            <w:r w:rsidR="009E3BFB" w:rsidRPr="00683FF0">
              <w:t>hapter</w:t>
            </w:r>
            <w:r w:rsidRPr="00683FF0">
              <w:t> </w:t>
            </w:r>
            <w:r w:rsidR="009E3BFB" w:rsidRPr="00683FF0">
              <w:t>2</w:t>
            </w:r>
            <w:r w:rsidR="007E5FFB" w:rsidRPr="00683FF0">
              <w:t>:</w:t>
            </w:r>
            <w:r w:rsidR="009E3BFB" w:rsidRPr="00683FF0">
              <w:t xml:space="preserve"> Empowering Māori</w:t>
            </w:r>
            <w:r w:rsidR="007E5FFB" w:rsidRPr="00683FF0">
              <w:t>,</w:t>
            </w:r>
            <w:r w:rsidR="009E3BFB" w:rsidRPr="00683FF0">
              <w:t xml:space="preserve"> actions </w:t>
            </w:r>
            <w:r w:rsidR="00975857" w:rsidRPr="00683FF0">
              <w:t>2.</w:t>
            </w:r>
            <w:r w:rsidR="009E3BFB" w:rsidRPr="00683FF0">
              <w:t>1</w:t>
            </w:r>
            <w:r w:rsidR="007E5FFB" w:rsidRPr="00683FF0">
              <w:t>,</w:t>
            </w:r>
            <w:r w:rsidR="009E3BFB" w:rsidRPr="00683FF0">
              <w:t xml:space="preserve"> </w:t>
            </w:r>
            <w:r w:rsidR="00975857" w:rsidRPr="00683FF0">
              <w:t>2.</w:t>
            </w:r>
            <w:r w:rsidR="009E3BFB" w:rsidRPr="00683FF0">
              <w:t>2)</w:t>
            </w:r>
            <w:r w:rsidR="00FD43D5" w:rsidRPr="00683FF0">
              <w:t>.</w:t>
            </w:r>
          </w:p>
        </w:tc>
      </w:tr>
      <w:tr w:rsidR="004C3EC9" w:rsidRPr="00683FF0" w14:paraId="7F46CF5C" w14:textId="77777777" w:rsidTr="008E57D0">
        <w:tc>
          <w:tcPr>
            <w:tcW w:w="4508" w:type="dxa"/>
          </w:tcPr>
          <w:p w14:paraId="35FDB2BA" w14:textId="7AB6EDE7" w:rsidR="004C3EC9" w:rsidRPr="00683FF0" w:rsidRDefault="0049153B" w:rsidP="008E57D0">
            <w:pPr>
              <w:pStyle w:val="TableText"/>
            </w:pPr>
            <w:r w:rsidRPr="00683FF0">
              <w:t xml:space="preserve">26.3. </w:t>
            </w:r>
            <w:r w:rsidR="004C3EC9" w:rsidRPr="00683FF0">
              <w:t>Equitable access for Iwi/Māori to information, resources, services, and funding.</w:t>
            </w:r>
          </w:p>
        </w:tc>
        <w:tc>
          <w:tcPr>
            <w:tcW w:w="4508" w:type="dxa"/>
          </w:tcPr>
          <w:p w14:paraId="60BE4AC2" w14:textId="0B6B7211" w:rsidR="009E3BFB" w:rsidRPr="00683FF0" w:rsidRDefault="007F2CB8" w:rsidP="008E57D0">
            <w:pPr>
              <w:pStyle w:val="TableText"/>
            </w:pPr>
            <w:r w:rsidRPr="00683FF0">
              <w:rPr>
                <w:b/>
                <w:bCs/>
              </w:rPr>
              <w:t xml:space="preserve">26.3. </w:t>
            </w:r>
            <w:r w:rsidR="00AC3114" w:rsidRPr="00683FF0">
              <w:rPr>
                <w:b/>
                <w:bCs/>
              </w:rPr>
              <w:t xml:space="preserve">The Government agrees in principle with this recommendation. </w:t>
            </w:r>
            <w:r w:rsidR="0049153B" w:rsidRPr="00683FF0">
              <w:t>The Government</w:t>
            </w:r>
            <w:r w:rsidR="00FD43D5" w:rsidRPr="00683FF0">
              <w:t xml:space="preserve"> agree</w:t>
            </w:r>
            <w:r w:rsidR="0049153B" w:rsidRPr="00683FF0">
              <w:t>s</w:t>
            </w:r>
            <w:r w:rsidR="00FD43D5" w:rsidRPr="00683FF0">
              <w:t xml:space="preserve"> with the intent of this recommended outcome where it is achievable through the Government</w:t>
            </w:r>
            <w:r w:rsidR="007E5FFB" w:rsidRPr="00683FF0">
              <w:t>’</w:t>
            </w:r>
            <w:r w:rsidR="00FD43D5" w:rsidRPr="00683FF0">
              <w:t>s climate response. To facilitate this, a platform for Māori climate action will be established to sit alongside the Government</w:t>
            </w:r>
            <w:r w:rsidR="007E5FFB" w:rsidRPr="00683FF0">
              <w:t>’</w:t>
            </w:r>
            <w:r w:rsidR="00FD43D5" w:rsidRPr="00683FF0">
              <w:t xml:space="preserve">s climate policy response, including the emissions reduction and national adaptation plans. This will establish mechanisms to build Te Tiriti-led relationships and recognition of Māori rights and interests across the climate response </w:t>
            </w:r>
            <w:r w:rsidR="009E3BFB" w:rsidRPr="00683FF0">
              <w:t>(</w:t>
            </w:r>
            <w:r w:rsidR="007E5FFB" w:rsidRPr="00683FF0">
              <w:t>c</w:t>
            </w:r>
            <w:r w:rsidR="009E3BFB" w:rsidRPr="00683FF0">
              <w:t>hapter</w:t>
            </w:r>
            <w:r w:rsidRPr="00683FF0">
              <w:t> </w:t>
            </w:r>
            <w:r w:rsidR="009E3BFB" w:rsidRPr="00683FF0">
              <w:t>2</w:t>
            </w:r>
            <w:r w:rsidR="007E5FFB" w:rsidRPr="00683FF0">
              <w:t>:</w:t>
            </w:r>
            <w:r w:rsidR="009E3BFB" w:rsidRPr="00683FF0">
              <w:t xml:space="preserve"> Empowering Māori</w:t>
            </w:r>
            <w:r w:rsidR="007E5FFB" w:rsidRPr="00683FF0">
              <w:t>,</w:t>
            </w:r>
            <w:r w:rsidR="009E3BFB" w:rsidRPr="00683FF0">
              <w:t xml:space="preserve"> action</w:t>
            </w:r>
            <w:r w:rsidR="00FD43D5" w:rsidRPr="00683FF0">
              <w:t>s</w:t>
            </w:r>
            <w:r w:rsidR="009E3BFB" w:rsidRPr="00683FF0">
              <w:t xml:space="preserve"> </w:t>
            </w:r>
            <w:r w:rsidR="00975857" w:rsidRPr="00683FF0">
              <w:t>2.</w:t>
            </w:r>
            <w:r w:rsidR="009E3BFB" w:rsidRPr="00683FF0">
              <w:t>1</w:t>
            </w:r>
            <w:r w:rsidR="007E5FFB" w:rsidRPr="00683FF0">
              <w:t>,</w:t>
            </w:r>
            <w:r w:rsidR="00FD43D5" w:rsidRPr="00683FF0">
              <w:t xml:space="preserve"> </w:t>
            </w:r>
            <w:r w:rsidR="00975857" w:rsidRPr="00683FF0">
              <w:t>2.</w:t>
            </w:r>
            <w:r w:rsidR="00FD43D5" w:rsidRPr="00683FF0">
              <w:t>2</w:t>
            </w:r>
            <w:r w:rsidR="009E3BFB" w:rsidRPr="00683FF0">
              <w:t>)</w:t>
            </w:r>
            <w:r w:rsidR="00FD43D5" w:rsidRPr="00683FF0">
              <w:t>.</w:t>
            </w:r>
          </w:p>
        </w:tc>
      </w:tr>
      <w:tr w:rsidR="004C3EC9" w:rsidRPr="00683FF0" w14:paraId="7C8E4987" w14:textId="77777777" w:rsidTr="008E57D0">
        <w:tc>
          <w:tcPr>
            <w:tcW w:w="4508" w:type="dxa"/>
          </w:tcPr>
          <w:p w14:paraId="4460D9B5" w14:textId="354CCEA5" w:rsidR="004C3EC9" w:rsidRPr="00683FF0" w:rsidRDefault="0049153B" w:rsidP="008E57D0">
            <w:pPr>
              <w:pStyle w:val="TableText"/>
            </w:pPr>
            <w:r w:rsidRPr="00683FF0">
              <w:lastRenderedPageBreak/>
              <w:t xml:space="preserve">26.4. </w:t>
            </w:r>
            <w:r w:rsidR="004C3EC9" w:rsidRPr="00683FF0">
              <w:t>The development of climate change policy that draws on mātauranga Māori as well as western science.</w:t>
            </w:r>
          </w:p>
        </w:tc>
        <w:tc>
          <w:tcPr>
            <w:tcW w:w="4508" w:type="dxa"/>
          </w:tcPr>
          <w:p w14:paraId="528CBF28" w14:textId="5D4B1FC3" w:rsidR="009E3BFB" w:rsidRPr="00683FF0" w:rsidRDefault="007F2CB8" w:rsidP="008E57D0">
            <w:pPr>
              <w:pStyle w:val="TableText"/>
            </w:pPr>
            <w:r w:rsidRPr="00683FF0">
              <w:rPr>
                <w:b/>
                <w:bCs/>
              </w:rPr>
              <w:t xml:space="preserve">26.4. </w:t>
            </w:r>
            <w:r w:rsidR="00AC3114" w:rsidRPr="00683FF0">
              <w:rPr>
                <w:b/>
                <w:bCs/>
              </w:rPr>
              <w:t xml:space="preserve">The Government agrees in principle with this recommendation. </w:t>
            </w:r>
            <w:r w:rsidR="0049153B" w:rsidRPr="00683FF0">
              <w:t>The Government</w:t>
            </w:r>
            <w:r w:rsidR="00FD43D5" w:rsidRPr="00683FF0">
              <w:t xml:space="preserve"> agree</w:t>
            </w:r>
            <w:r w:rsidR="0049153B" w:rsidRPr="00683FF0">
              <w:t>s</w:t>
            </w:r>
            <w:r w:rsidR="00FD43D5" w:rsidRPr="00683FF0">
              <w:t xml:space="preserve"> with this recommended outcome. To facilitate this, a platform for Māori climate action will be established to sit alongside the Government</w:t>
            </w:r>
            <w:r w:rsidR="00ED607E" w:rsidRPr="00683FF0">
              <w:t>’</w:t>
            </w:r>
            <w:r w:rsidR="00FD43D5" w:rsidRPr="00683FF0">
              <w:t>s climate policy response,</w:t>
            </w:r>
            <w:r w:rsidR="000D4B2D" w:rsidRPr="00683FF0">
              <w:t> </w:t>
            </w:r>
            <w:r w:rsidR="00FD43D5" w:rsidRPr="00683FF0">
              <w:t xml:space="preserve">including the emissions reduction and national adaptation plans. This will establish mechanisms to build Te Tiriti-led relationships and recognition of Māori rights and interests </w:t>
            </w:r>
            <w:r w:rsidR="007E5FFB" w:rsidRPr="00683FF0">
              <w:t xml:space="preserve">– </w:t>
            </w:r>
            <w:r w:rsidR="00FD43D5" w:rsidRPr="00683FF0">
              <w:t xml:space="preserve">including mātauranga Māori as a taonga to Māori </w:t>
            </w:r>
            <w:r w:rsidR="007E5FFB" w:rsidRPr="00683FF0">
              <w:t xml:space="preserve">– </w:t>
            </w:r>
            <w:r w:rsidR="00FD43D5" w:rsidRPr="00683FF0">
              <w:t xml:space="preserve">across the climate response </w:t>
            </w:r>
            <w:r w:rsidR="009E3BFB" w:rsidRPr="00683FF0">
              <w:t>(</w:t>
            </w:r>
            <w:r w:rsidR="007E5FFB" w:rsidRPr="00683FF0">
              <w:t>c</w:t>
            </w:r>
            <w:r w:rsidR="009E3BFB" w:rsidRPr="00683FF0">
              <w:t>hapter 2</w:t>
            </w:r>
            <w:r w:rsidR="007E5FFB" w:rsidRPr="00683FF0">
              <w:t>:</w:t>
            </w:r>
            <w:r w:rsidR="009E3BFB" w:rsidRPr="00683FF0">
              <w:t xml:space="preserve"> Empowering Māori</w:t>
            </w:r>
            <w:r w:rsidR="007E5FFB" w:rsidRPr="00683FF0">
              <w:t>,</w:t>
            </w:r>
            <w:r w:rsidR="009E3BFB" w:rsidRPr="00683FF0">
              <w:t xml:space="preserve"> action</w:t>
            </w:r>
            <w:r w:rsidR="00FD43D5" w:rsidRPr="00683FF0">
              <w:t>s</w:t>
            </w:r>
            <w:r w:rsidR="009E3BFB" w:rsidRPr="00683FF0">
              <w:t xml:space="preserve"> </w:t>
            </w:r>
            <w:r w:rsidR="00975857" w:rsidRPr="00683FF0">
              <w:t>2.</w:t>
            </w:r>
            <w:r w:rsidR="009E3BFB" w:rsidRPr="00683FF0">
              <w:t>1</w:t>
            </w:r>
            <w:r w:rsidR="007E5FFB" w:rsidRPr="00683FF0">
              <w:t>,</w:t>
            </w:r>
            <w:r w:rsidR="00D21268" w:rsidRPr="00683FF0">
              <w:t> </w:t>
            </w:r>
            <w:r w:rsidR="00975857" w:rsidRPr="00683FF0">
              <w:t>2.</w:t>
            </w:r>
            <w:r w:rsidR="00FD43D5" w:rsidRPr="00683FF0">
              <w:t>2</w:t>
            </w:r>
            <w:r w:rsidR="009E3BFB" w:rsidRPr="00683FF0">
              <w:t>)</w:t>
            </w:r>
            <w:r w:rsidR="00FD43D5" w:rsidRPr="00683FF0">
              <w:t>.</w:t>
            </w:r>
          </w:p>
        </w:tc>
      </w:tr>
      <w:tr w:rsidR="004C3EC9" w:rsidRPr="00683FF0" w14:paraId="7C2B15D5" w14:textId="77777777" w:rsidTr="008E57D0">
        <w:tc>
          <w:tcPr>
            <w:tcW w:w="4508" w:type="dxa"/>
          </w:tcPr>
          <w:p w14:paraId="695E84B8" w14:textId="4C5333F5" w:rsidR="004C3EC9" w:rsidRPr="00683FF0" w:rsidRDefault="0049153B" w:rsidP="008E57D0">
            <w:pPr>
              <w:pStyle w:val="TableText"/>
            </w:pPr>
            <w:r w:rsidRPr="00683FF0">
              <w:t xml:space="preserve">26.5. </w:t>
            </w:r>
            <w:r w:rsidR="004C3EC9" w:rsidRPr="00683FF0">
              <w:t>Equitable outcomes for Iwi/Māori in alignment with Iwi/Māori aspirations for intergenerational wellbeing</w:t>
            </w:r>
            <w:r w:rsidR="007F2CB8" w:rsidRPr="00683FF0">
              <w:t>.</w:t>
            </w:r>
          </w:p>
        </w:tc>
        <w:tc>
          <w:tcPr>
            <w:tcW w:w="4508" w:type="dxa"/>
          </w:tcPr>
          <w:p w14:paraId="6A167FA0" w14:textId="11DB8086" w:rsidR="009E3BFB" w:rsidRPr="00683FF0" w:rsidRDefault="007F2CB8" w:rsidP="008E57D0">
            <w:pPr>
              <w:pStyle w:val="TableText"/>
            </w:pPr>
            <w:r w:rsidRPr="00683FF0">
              <w:rPr>
                <w:b/>
                <w:bCs/>
              </w:rPr>
              <w:t xml:space="preserve">26.5. </w:t>
            </w:r>
            <w:r w:rsidR="00AC3114" w:rsidRPr="00683FF0">
              <w:rPr>
                <w:b/>
                <w:bCs/>
              </w:rPr>
              <w:t xml:space="preserve">The Government agrees in principle with this recommendation. </w:t>
            </w:r>
            <w:r w:rsidR="00FD43D5" w:rsidRPr="00683FF0">
              <w:t>We agree with the intent of this recommended outcome where it is achievable through the Government</w:t>
            </w:r>
            <w:r w:rsidR="00ED607E" w:rsidRPr="00683FF0">
              <w:t>’</w:t>
            </w:r>
            <w:r w:rsidR="00FD43D5" w:rsidRPr="00683FF0">
              <w:t>s climate response. To facilitate this, a platform for Māori climate action will be established to sit alongside the Government</w:t>
            </w:r>
            <w:r w:rsidR="00ED607E" w:rsidRPr="00683FF0">
              <w:t>’</w:t>
            </w:r>
            <w:r w:rsidR="00FD43D5" w:rsidRPr="00683FF0">
              <w:t xml:space="preserve">s climate policy response, including the emissions reduction and national adaptation plans. This will establish mechanisms to build Te Tiriti-led relationships and recognition of Māori rights and interests across the climate response </w:t>
            </w:r>
            <w:r w:rsidR="009E3BFB" w:rsidRPr="00683FF0">
              <w:t>(</w:t>
            </w:r>
            <w:r w:rsidR="00ED607E" w:rsidRPr="00683FF0">
              <w:t>c</w:t>
            </w:r>
            <w:r w:rsidR="009E3BFB" w:rsidRPr="00683FF0">
              <w:t>hapter 2</w:t>
            </w:r>
            <w:r w:rsidR="00ED607E" w:rsidRPr="00683FF0">
              <w:t>:</w:t>
            </w:r>
            <w:r w:rsidR="009E3BFB" w:rsidRPr="00683FF0">
              <w:t xml:space="preserve"> Empowering Māori</w:t>
            </w:r>
            <w:r w:rsidR="00ED607E" w:rsidRPr="00683FF0">
              <w:t>,</w:t>
            </w:r>
            <w:r w:rsidR="009E3BFB" w:rsidRPr="00683FF0">
              <w:t xml:space="preserve"> actions </w:t>
            </w:r>
            <w:r w:rsidR="00975857" w:rsidRPr="00683FF0">
              <w:t>2.</w:t>
            </w:r>
            <w:r w:rsidR="009E3BFB" w:rsidRPr="00683FF0">
              <w:t>1</w:t>
            </w:r>
            <w:r w:rsidR="00ED607E" w:rsidRPr="00683FF0">
              <w:t>,</w:t>
            </w:r>
            <w:r w:rsidR="009E3BFB" w:rsidRPr="00683FF0">
              <w:t xml:space="preserve"> </w:t>
            </w:r>
            <w:r w:rsidR="00975857" w:rsidRPr="00683FF0">
              <w:t>2.</w:t>
            </w:r>
            <w:r w:rsidR="009E3BFB" w:rsidRPr="00683FF0">
              <w:t>2)</w:t>
            </w:r>
            <w:r w:rsidR="00FD43D5" w:rsidRPr="00683FF0">
              <w:t>.</w:t>
            </w:r>
          </w:p>
        </w:tc>
      </w:tr>
      <w:tr w:rsidR="001E7E77" w:rsidRPr="00683FF0" w14:paraId="19465EBF" w14:textId="77777777" w:rsidTr="008E57D0">
        <w:tc>
          <w:tcPr>
            <w:tcW w:w="4508" w:type="dxa"/>
          </w:tcPr>
          <w:p w14:paraId="6297950C" w14:textId="5E673C39" w:rsidR="001E7E77" w:rsidRPr="00683FF0" w:rsidRDefault="0049153B" w:rsidP="008E57D0">
            <w:pPr>
              <w:pStyle w:val="TableText"/>
            </w:pPr>
            <w:r w:rsidRPr="00683FF0">
              <w:t xml:space="preserve">26.6. </w:t>
            </w:r>
            <w:r w:rsidR="004C3EC9" w:rsidRPr="00683FF0">
              <w:t>The embedding of the He Ara Waiora Framework throughout the development of climate change related policies.</w:t>
            </w:r>
          </w:p>
        </w:tc>
        <w:tc>
          <w:tcPr>
            <w:tcW w:w="4508" w:type="dxa"/>
          </w:tcPr>
          <w:p w14:paraId="6C3DC89F" w14:textId="09334BDF" w:rsidR="009E3BFB" w:rsidRPr="00683FF0" w:rsidRDefault="007F2CB8" w:rsidP="008E57D0">
            <w:pPr>
              <w:pStyle w:val="TableText"/>
            </w:pPr>
            <w:r w:rsidRPr="00683FF0">
              <w:rPr>
                <w:b/>
                <w:bCs/>
              </w:rPr>
              <w:t xml:space="preserve">26.6. </w:t>
            </w:r>
            <w:r w:rsidR="00AC3114" w:rsidRPr="00683FF0">
              <w:rPr>
                <w:b/>
                <w:bCs/>
              </w:rPr>
              <w:t>The Government agrees in part with this recommendation.</w:t>
            </w:r>
            <w:r w:rsidR="00ED607E" w:rsidRPr="00683FF0">
              <w:t xml:space="preserve"> </w:t>
            </w:r>
            <w:r w:rsidR="00FD43D5" w:rsidRPr="00683FF0">
              <w:t xml:space="preserve">Other indigenous frameworks should be considered along with the Commission’s recommended framework – He Ara Waiora – when making national strategies and climate policy </w:t>
            </w:r>
            <w:r w:rsidR="009E3BFB" w:rsidRPr="00683FF0">
              <w:t>(</w:t>
            </w:r>
            <w:r w:rsidR="00ED607E" w:rsidRPr="00683FF0">
              <w:t>c</w:t>
            </w:r>
            <w:r w:rsidR="009E3BFB" w:rsidRPr="00683FF0">
              <w:t>hapter 2</w:t>
            </w:r>
            <w:r w:rsidR="00ED607E" w:rsidRPr="00683FF0">
              <w:t>:</w:t>
            </w:r>
            <w:r w:rsidR="009E3BFB" w:rsidRPr="00683FF0">
              <w:t xml:space="preserve"> Empowering Māori</w:t>
            </w:r>
            <w:r w:rsidR="00ED607E" w:rsidRPr="00683FF0">
              <w:t>,</w:t>
            </w:r>
            <w:r w:rsidR="009E3BFB" w:rsidRPr="00683FF0">
              <w:t xml:space="preserve"> actions </w:t>
            </w:r>
            <w:r w:rsidR="00975857" w:rsidRPr="00683FF0">
              <w:t>2.</w:t>
            </w:r>
            <w:r w:rsidR="009E3BFB" w:rsidRPr="00683FF0">
              <w:t>1</w:t>
            </w:r>
            <w:r w:rsidR="00ED607E" w:rsidRPr="00683FF0">
              <w:t>,</w:t>
            </w:r>
            <w:r w:rsidR="009E3BFB" w:rsidRPr="00683FF0">
              <w:t xml:space="preserve"> </w:t>
            </w:r>
            <w:r w:rsidR="00975857" w:rsidRPr="00683FF0">
              <w:t>2.</w:t>
            </w:r>
            <w:r w:rsidR="009E3BFB" w:rsidRPr="00683FF0">
              <w:t>2)</w:t>
            </w:r>
            <w:r w:rsidR="00FD43D5" w:rsidRPr="00683FF0">
              <w:t>.</w:t>
            </w:r>
          </w:p>
        </w:tc>
      </w:tr>
      <w:tr w:rsidR="0049153B" w:rsidRPr="00683FF0" w14:paraId="04B36EB6" w14:textId="77777777" w:rsidTr="008E57D0">
        <w:tc>
          <w:tcPr>
            <w:tcW w:w="4508" w:type="dxa"/>
          </w:tcPr>
          <w:p w14:paraId="6F815E2B" w14:textId="77777777" w:rsidR="0049153B" w:rsidRPr="00683FF0" w:rsidRDefault="0049153B" w:rsidP="008E57D0">
            <w:pPr>
              <w:pStyle w:val="TableText"/>
            </w:pPr>
          </w:p>
        </w:tc>
        <w:tc>
          <w:tcPr>
            <w:tcW w:w="4508" w:type="dxa"/>
          </w:tcPr>
          <w:p w14:paraId="6F7E77B1" w14:textId="194DC14B" w:rsidR="0049153B" w:rsidRPr="00683FF0" w:rsidRDefault="6C8CCFD9" w:rsidP="008E57D0">
            <w:pPr>
              <w:pStyle w:val="TableText"/>
            </w:pPr>
            <w:r w:rsidRPr="00683FF0">
              <w:rPr>
                <w:b/>
                <w:bCs/>
              </w:rPr>
              <w:t xml:space="preserve">Responsible agency: </w:t>
            </w:r>
            <w:r w:rsidRPr="00683FF0">
              <w:t>Ministry for the Environment, with support from other agencies where appropriate to align with whole-of-government responsibilities under Te Tiriti</w:t>
            </w:r>
          </w:p>
          <w:p w14:paraId="61C2AC39" w14:textId="2B1D7938" w:rsidR="0049153B" w:rsidRPr="00683FF0" w:rsidRDefault="6C8CCFD9" w:rsidP="001658EF">
            <w:pPr>
              <w:pStyle w:val="TableText"/>
              <w:spacing w:before="0"/>
            </w:pPr>
            <w:r w:rsidRPr="00683FF0">
              <w:rPr>
                <w:b/>
                <w:bCs/>
              </w:rPr>
              <w:t xml:space="preserve">Responsible Minister: </w:t>
            </w:r>
            <w:r w:rsidRPr="00683FF0">
              <w:t xml:space="preserve">Minister </w:t>
            </w:r>
            <w:r w:rsidR="00ED607E" w:rsidRPr="00683FF0">
              <w:t xml:space="preserve">of </w:t>
            </w:r>
            <w:r w:rsidRPr="00683FF0">
              <w:t>Climate Change, with support from other Ministers where appropriate to align with whole-of-government responsibilities under Te Tiriti</w:t>
            </w:r>
          </w:p>
          <w:p w14:paraId="510695F3" w14:textId="1F607282" w:rsidR="0049153B" w:rsidRPr="00683FF0" w:rsidRDefault="0049153B" w:rsidP="001658EF">
            <w:pPr>
              <w:pStyle w:val="TableText"/>
              <w:spacing w:before="0"/>
            </w:pPr>
            <w:r w:rsidRPr="00683FF0">
              <w:rPr>
                <w:b/>
                <w:bCs/>
              </w:rPr>
              <w:t xml:space="preserve">Timeline: </w:t>
            </w:r>
            <w:r w:rsidRPr="00683FF0">
              <w:t>2022</w:t>
            </w:r>
            <w:r w:rsidR="00ED607E" w:rsidRPr="00683FF0">
              <w:t>–</w:t>
            </w:r>
            <w:r w:rsidRPr="00683FF0">
              <w:t>25 (EB1)</w:t>
            </w:r>
          </w:p>
        </w:tc>
      </w:tr>
      <w:bookmarkEnd w:id="56"/>
    </w:tbl>
    <w:p w14:paraId="1BA0E954" w14:textId="77777777" w:rsidR="004C02DA" w:rsidRPr="00683FF0" w:rsidRDefault="004C02DA" w:rsidP="00D21268">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D21268" w:rsidRPr="00683FF0" w14:paraId="1419696B" w14:textId="77777777" w:rsidTr="00D21268">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735FEF16" w14:textId="79E45EC7" w:rsidR="004C3EC9" w:rsidRPr="00683FF0" w:rsidRDefault="004C3EC9" w:rsidP="00D21268">
            <w:pPr>
              <w:pStyle w:val="TableTextbold"/>
              <w:rPr>
                <w:color w:val="FFFFFF" w:themeColor="background1"/>
              </w:rPr>
            </w:pPr>
            <w:r w:rsidRPr="00683FF0">
              <w:rPr>
                <w:color w:val="FFFFFF" w:themeColor="background1"/>
              </w:rPr>
              <w:t xml:space="preserve">Report </w:t>
            </w:r>
            <w:r w:rsidR="00ED607E"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42641228" w14:textId="4914E6D0" w:rsidR="004C3EC9" w:rsidRPr="00683FF0" w:rsidRDefault="004C3EC9" w:rsidP="00D21268">
            <w:pPr>
              <w:pStyle w:val="TableTextbold"/>
              <w:rPr>
                <w:color w:val="FFFFFF" w:themeColor="background1"/>
              </w:rPr>
            </w:pPr>
            <w:r w:rsidRPr="00683FF0">
              <w:rPr>
                <w:color w:val="FFFFFF" w:themeColor="background1"/>
              </w:rPr>
              <w:t xml:space="preserve">Government </w:t>
            </w:r>
            <w:r w:rsidR="00ED607E" w:rsidRPr="00683FF0">
              <w:rPr>
                <w:color w:val="FFFFFF" w:themeColor="background1"/>
              </w:rPr>
              <w:t>r</w:t>
            </w:r>
            <w:r w:rsidRPr="00683FF0">
              <w:rPr>
                <w:color w:val="FFFFFF" w:themeColor="background1"/>
              </w:rPr>
              <w:t>esponse</w:t>
            </w:r>
          </w:p>
        </w:tc>
      </w:tr>
      <w:tr w:rsidR="004C3EC9" w:rsidRPr="00683FF0" w14:paraId="1210EBF2" w14:textId="77777777" w:rsidTr="00D21268">
        <w:tc>
          <w:tcPr>
            <w:tcW w:w="4508" w:type="dxa"/>
            <w:tcBorders>
              <w:top w:val="single" w:sz="4" w:space="0" w:color="1B556B" w:themeColor="text2"/>
            </w:tcBorders>
          </w:tcPr>
          <w:p w14:paraId="2DEDDC07" w14:textId="20EE5AE3" w:rsidR="004C3EC9" w:rsidRPr="00683FF0" w:rsidRDefault="004C3EC9" w:rsidP="00D21268">
            <w:pPr>
              <w:pStyle w:val="TableTextbold"/>
              <w:spacing w:after="0"/>
            </w:pPr>
            <w:r w:rsidRPr="00683FF0">
              <w:t xml:space="preserve">Recommendation 27 – An equitable transition for Iwi/Māori </w:t>
            </w:r>
          </w:p>
          <w:p w14:paraId="191ECE30" w14:textId="2A0C4F4C" w:rsidR="004C3EC9" w:rsidRPr="00683FF0" w:rsidRDefault="004C3EC9" w:rsidP="00D21268">
            <w:pPr>
              <w:pStyle w:val="TableText"/>
            </w:pPr>
            <w:r w:rsidRPr="00683FF0">
              <w:t>We recommend that the Government work with Iwi/Māori to develop a strategy to advance a Māori-led approach to an equitable transition for Iwi/Māori and the Māori economy. The strategy should focus on:</w:t>
            </w:r>
          </w:p>
        </w:tc>
        <w:tc>
          <w:tcPr>
            <w:tcW w:w="4508" w:type="dxa"/>
            <w:tcBorders>
              <w:top w:val="single" w:sz="4" w:space="0" w:color="1B556B" w:themeColor="text2"/>
            </w:tcBorders>
          </w:tcPr>
          <w:p w14:paraId="4DD8D284" w14:textId="0CCF6253" w:rsidR="00FD43D5" w:rsidRPr="00683FF0" w:rsidRDefault="22511D70" w:rsidP="00D21268">
            <w:pPr>
              <w:pStyle w:val="TableText"/>
              <w:rPr>
                <w:b/>
                <w:bCs/>
              </w:rPr>
            </w:pPr>
            <w:r w:rsidRPr="00683FF0">
              <w:rPr>
                <w:b/>
                <w:bCs/>
              </w:rPr>
              <w:t xml:space="preserve">The Government agrees in principle with this recommendation. </w:t>
            </w:r>
            <w:r w:rsidR="00BB648D" w:rsidRPr="00683FF0">
              <w:t>F</w:t>
            </w:r>
            <w:r w:rsidR="0FC7245B" w:rsidRPr="00683FF0">
              <w:t>urther collaboration with and direction from Māori will establish if and how this recommended strategy and focus areas should be progressed as part of the Māori climate platform</w:t>
            </w:r>
            <w:r w:rsidR="00E22444" w:rsidRPr="00683FF0">
              <w:rPr>
                <w:rFonts w:cstheme="minorHAnsi"/>
              </w:rPr>
              <w:t xml:space="preserve"> </w:t>
            </w:r>
            <w:r w:rsidR="00FD43D5" w:rsidRPr="00683FF0">
              <w:rPr>
                <w:rFonts w:cstheme="minorHAnsi"/>
              </w:rPr>
              <w:t>(</w:t>
            </w:r>
            <w:r w:rsidR="00E22444" w:rsidRPr="00683FF0">
              <w:rPr>
                <w:rFonts w:cstheme="minorHAnsi"/>
              </w:rPr>
              <w:t>c</w:t>
            </w:r>
            <w:r w:rsidR="00FD43D5" w:rsidRPr="00683FF0">
              <w:rPr>
                <w:rFonts w:cstheme="minorHAnsi"/>
              </w:rPr>
              <w:t>hapter</w:t>
            </w:r>
            <w:r w:rsidR="00E22444" w:rsidRPr="00683FF0">
              <w:rPr>
                <w:rFonts w:cstheme="minorHAnsi"/>
              </w:rPr>
              <w:t> </w:t>
            </w:r>
            <w:r w:rsidR="00FD43D5" w:rsidRPr="00683FF0">
              <w:rPr>
                <w:rFonts w:cstheme="minorHAnsi"/>
              </w:rPr>
              <w:t>2</w:t>
            </w:r>
            <w:r w:rsidR="00E22444" w:rsidRPr="00683FF0">
              <w:rPr>
                <w:rFonts w:cstheme="minorHAnsi"/>
              </w:rPr>
              <w:t>:</w:t>
            </w:r>
            <w:r w:rsidR="00FD43D5" w:rsidRPr="00683FF0">
              <w:rPr>
                <w:rFonts w:cstheme="minorHAnsi"/>
              </w:rPr>
              <w:t xml:space="preserve"> Empowering Māori actions </w:t>
            </w:r>
            <w:r w:rsidR="00481D4F" w:rsidRPr="00683FF0">
              <w:rPr>
                <w:rFonts w:cstheme="minorHAnsi"/>
              </w:rPr>
              <w:t>2.</w:t>
            </w:r>
            <w:r w:rsidR="00FD43D5" w:rsidRPr="00683FF0">
              <w:rPr>
                <w:rFonts w:cstheme="minorHAnsi"/>
              </w:rPr>
              <w:t>1</w:t>
            </w:r>
            <w:r w:rsidR="00776194" w:rsidRPr="00683FF0">
              <w:rPr>
                <w:rFonts w:cstheme="minorHAnsi"/>
              </w:rPr>
              <w:t>-2.</w:t>
            </w:r>
            <w:r w:rsidR="00FD43D5" w:rsidRPr="00683FF0">
              <w:rPr>
                <w:rFonts w:cstheme="minorHAnsi"/>
              </w:rPr>
              <w:t>4).</w:t>
            </w:r>
          </w:p>
        </w:tc>
      </w:tr>
      <w:tr w:rsidR="004C3EC9" w:rsidRPr="00683FF0" w14:paraId="4BA20EF8" w14:textId="77777777" w:rsidTr="00D21268">
        <w:tc>
          <w:tcPr>
            <w:tcW w:w="4508" w:type="dxa"/>
          </w:tcPr>
          <w:p w14:paraId="2E385C29" w14:textId="4C22CB6B" w:rsidR="004C3EC9" w:rsidRPr="00683FF0" w:rsidRDefault="00C61DA9" w:rsidP="00D21268">
            <w:pPr>
              <w:pStyle w:val="TableText"/>
            </w:pPr>
            <w:r w:rsidRPr="00683FF0">
              <w:t xml:space="preserve">27.1. </w:t>
            </w:r>
            <w:r w:rsidR="004C3EC9" w:rsidRPr="00683FF0">
              <w:t>Removing existing barriers that disadvantage Iwi/Māori particularly where they undermine the principles of Te Tiriti o Waitangi/The Treaty of Waitangi, compound historic grievance, and/or prevent Iwi/Māori from an equitable transition.</w:t>
            </w:r>
          </w:p>
        </w:tc>
        <w:tc>
          <w:tcPr>
            <w:tcW w:w="4508" w:type="dxa"/>
          </w:tcPr>
          <w:p w14:paraId="4334620B" w14:textId="32F92EF4" w:rsidR="00FD43D5" w:rsidRPr="00683FF0" w:rsidRDefault="00CC49B1" w:rsidP="00D21268">
            <w:pPr>
              <w:pStyle w:val="TableText"/>
              <w:rPr>
                <w:b/>
                <w:bCs/>
              </w:rPr>
            </w:pPr>
            <w:r w:rsidRPr="00683FF0">
              <w:rPr>
                <w:b/>
                <w:bCs/>
              </w:rPr>
              <w:t xml:space="preserve">27.1. </w:t>
            </w:r>
            <w:r w:rsidR="22511D70" w:rsidRPr="00683FF0">
              <w:rPr>
                <w:b/>
                <w:bCs/>
              </w:rPr>
              <w:t xml:space="preserve">The Government agrees in principle with this recommendation. </w:t>
            </w:r>
            <w:r w:rsidR="00BB648D" w:rsidRPr="00683FF0">
              <w:t>F</w:t>
            </w:r>
            <w:r w:rsidR="0FC7245B" w:rsidRPr="00683FF0">
              <w:t xml:space="preserve">urther collaboration with and direction from Māori will establish if and how this recommended strategy and </w:t>
            </w:r>
            <w:r w:rsidR="006C6738" w:rsidRPr="00683FF0">
              <w:t xml:space="preserve">its </w:t>
            </w:r>
            <w:r w:rsidR="0FC7245B" w:rsidRPr="00683FF0">
              <w:t>focus areas should be progressed as part of the Māori climate platform</w:t>
            </w:r>
            <w:r w:rsidR="00E22444" w:rsidRPr="00683FF0">
              <w:rPr>
                <w:rFonts w:cstheme="minorHAnsi"/>
              </w:rPr>
              <w:t xml:space="preserve"> </w:t>
            </w:r>
            <w:r w:rsidR="00FD43D5" w:rsidRPr="00683FF0">
              <w:rPr>
                <w:rFonts w:cstheme="minorHAnsi"/>
              </w:rPr>
              <w:t>(</w:t>
            </w:r>
            <w:r w:rsidR="00E22444" w:rsidRPr="00683FF0">
              <w:rPr>
                <w:rFonts w:cstheme="minorHAnsi"/>
              </w:rPr>
              <w:t>c</w:t>
            </w:r>
            <w:r w:rsidR="00FD43D5" w:rsidRPr="00683FF0">
              <w:rPr>
                <w:rFonts w:cstheme="minorHAnsi"/>
              </w:rPr>
              <w:t>hapter</w:t>
            </w:r>
            <w:r w:rsidR="00E22444" w:rsidRPr="00683FF0">
              <w:rPr>
                <w:rFonts w:cstheme="minorHAnsi"/>
              </w:rPr>
              <w:t> </w:t>
            </w:r>
            <w:r w:rsidR="00FD43D5" w:rsidRPr="00683FF0">
              <w:rPr>
                <w:rFonts w:cstheme="minorHAnsi"/>
              </w:rPr>
              <w:t>2</w:t>
            </w:r>
            <w:r w:rsidR="00E22444" w:rsidRPr="00683FF0">
              <w:rPr>
                <w:rFonts w:cstheme="minorHAnsi"/>
              </w:rPr>
              <w:t>:</w:t>
            </w:r>
            <w:r w:rsidR="00FD43D5" w:rsidRPr="00683FF0">
              <w:rPr>
                <w:rFonts w:cstheme="minorHAnsi"/>
              </w:rPr>
              <w:t xml:space="preserve"> Empowering Māori</w:t>
            </w:r>
            <w:r w:rsidR="00E22444" w:rsidRPr="00683FF0">
              <w:rPr>
                <w:rFonts w:cstheme="minorHAnsi"/>
              </w:rPr>
              <w:t>,</w:t>
            </w:r>
            <w:r w:rsidR="00FD43D5" w:rsidRPr="00683FF0">
              <w:rPr>
                <w:rFonts w:cstheme="minorHAnsi"/>
              </w:rPr>
              <w:t xml:space="preserve"> actions 1</w:t>
            </w:r>
            <w:r w:rsidR="00E22444" w:rsidRPr="00683FF0">
              <w:rPr>
                <w:rFonts w:cstheme="minorHAnsi"/>
              </w:rPr>
              <w:t>–</w:t>
            </w:r>
            <w:r w:rsidR="00FD43D5" w:rsidRPr="00683FF0">
              <w:rPr>
                <w:rFonts w:cstheme="minorHAnsi"/>
              </w:rPr>
              <w:t>4).</w:t>
            </w:r>
          </w:p>
        </w:tc>
      </w:tr>
      <w:tr w:rsidR="004C3EC9" w:rsidRPr="00683FF0" w14:paraId="69AF7F60" w14:textId="77777777" w:rsidTr="00D21268">
        <w:tc>
          <w:tcPr>
            <w:tcW w:w="4508" w:type="dxa"/>
          </w:tcPr>
          <w:p w14:paraId="23252B2B" w14:textId="23A40BE4" w:rsidR="004C3EC9" w:rsidRPr="00683FF0" w:rsidRDefault="00C61DA9" w:rsidP="00D21268">
            <w:pPr>
              <w:pStyle w:val="TableText"/>
              <w:spacing w:before="40" w:after="40"/>
            </w:pPr>
            <w:r w:rsidRPr="00683FF0">
              <w:lastRenderedPageBreak/>
              <w:t xml:space="preserve">27.2. </w:t>
            </w:r>
            <w:r w:rsidR="004C3EC9" w:rsidRPr="00683FF0">
              <w:t>Creating opportunities and mechanisms for Iwi/Māori to actively participate in co-decision making, co-design, investment in infrastructure and new clean technology, knowledge contribution, and leadership as Aotearoa takes action to address climate change.</w:t>
            </w:r>
          </w:p>
        </w:tc>
        <w:tc>
          <w:tcPr>
            <w:tcW w:w="4508" w:type="dxa"/>
          </w:tcPr>
          <w:p w14:paraId="530726E5" w14:textId="0FD24B94" w:rsidR="00C46C8A" w:rsidRPr="00683FF0" w:rsidRDefault="00CC49B1" w:rsidP="00D21268">
            <w:pPr>
              <w:pStyle w:val="TableText"/>
              <w:spacing w:before="40" w:after="40"/>
            </w:pPr>
            <w:r w:rsidRPr="00683FF0">
              <w:rPr>
                <w:b/>
                <w:bCs/>
              </w:rPr>
              <w:t xml:space="preserve">27.2. </w:t>
            </w:r>
            <w:r w:rsidR="22511D70" w:rsidRPr="00683FF0">
              <w:rPr>
                <w:b/>
                <w:bCs/>
              </w:rPr>
              <w:t xml:space="preserve">The Government agrees in principle with this recommendation. </w:t>
            </w:r>
            <w:r w:rsidR="00BB648D" w:rsidRPr="00683FF0">
              <w:t>F</w:t>
            </w:r>
            <w:r w:rsidR="72E1DD03" w:rsidRPr="00683FF0">
              <w:t xml:space="preserve">urther collaboration with and direction from Māori will establish if and how this recommended strategy and </w:t>
            </w:r>
            <w:r w:rsidR="006C6738" w:rsidRPr="00683FF0">
              <w:t xml:space="preserve">its </w:t>
            </w:r>
            <w:r w:rsidR="72E1DD03" w:rsidRPr="00683FF0">
              <w:t>focus areas should be progressed as part of the Māori climate platform</w:t>
            </w:r>
            <w:r w:rsidR="006C6738" w:rsidRPr="00683FF0">
              <w:t>.</w:t>
            </w:r>
            <w:r w:rsidR="72E1DD03" w:rsidRPr="00683FF0">
              <w:t xml:space="preserve"> </w:t>
            </w:r>
          </w:p>
          <w:p w14:paraId="63F5D9C0" w14:textId="274E8BC3" w:rsidR="00FD43D5" w:rsidRPr="00683FF0" w:rsidRDefault="00C46C8A" w:rsidP="00D21268">
            <w:pPr>
              <w:pStyle w:val="TableText"/>
              <w:spacing w:before="40" w:after="40"/>
            </w:pPr>
            <w:r w:rsidRPr="00683FF0">
              <w:t>This outcome also links to the RSI&amp;T actions</w:t>
            </w:r>
            <w:r w:rsidR="004B39CE" w:rsidRPr="00683FF0">
              <w:t xml:space="preserve"> (Chapter </w:t>
            </w:r>
            <w:r w:rsidR="008E6619" w:rsidRPr="00683FF0">
              <w:t>8)</w:t>
            </w:r>
            <w:r w:rsidRPr="00683FF0">
              <w:t xml:space="preserve">. </w:t>
            </w:r>
            <w:r w:rsidR="008145A6" w:rsidRPr="00683FF0">
              <w:t xml:space="preserve">The </w:t>
            </w:r>
            <w:r w:rsidRPr="00683FF0">
              <w:t>Government has provided $33 million over four years to expand the impact of the Vision Mātauranga. This will support Māori to determine and make future investments in RSI</w:t>
            </w:r>
            <w:r w:rsidR="004A460E" w:rsidRPr="00683FF0">
              <w:t>&amp;T</w:t>
            </w:r>
            <w:r w:rsidRPr="00683FF0">
              <w:t xml:space="preserve">. Additionally, Te Ara Paerangi </w:t>
            </w:r>
            <w:r w:rsidR="008145A6" w:rsidRPr="00683FF0">
              <w:t xml:space="preserve">– </w:t>
            </w:r>
            <w:r w:rsidRPr="00683FF0">
              <w:t xml:space="preserve">Future Pathways </w:t>
            </w:r>
            <w:r w:rsidR="008145A6" w:rsidRPr="00683FF0">
              <w:t xml:space="preserve">programme </w:t>
            </w:r>
            <w:r w:rsidRPr="00683FF0">
              <w:t xml:space="preserve">will explore how the </w:t>
            </w:r>
            <w:r w:rsidR="00D51972" w:rsidRPr="00683FF0">
              <w:t>Aotearoa</w:t>
            </w:r>
            <w:r w:rsidRPr="00683FF0">
              <w:t xml:space="preserve"> science system can support Māori and the use of mātauranga</w:t>
            </w:r>
            <w:r w:rsidR="008145A6" w:rsidRPr="00683FF0">
              <w:t xml:space="preserve"> M</w:t>
            </w:r>
            <w:r w:rsidR="008145A6" w:rsidRPr="00683FF0">
              <w:rPr>
                <w:rFonts w:cs="Calibri"/>
              </w:rPr>
              <w:t>ā</w:t>
            </w:r>
            <w:r w:rsidR="008145A6" w:rsidRPr="00683FF0">
              <w:t>ori</w:t>
            </w:r>
            <w:r w:rsidRPr="00683FF0">
              <w:t>.</w:t>
            </w:r>
            <w:r w:rsidR="00C61DA9" w:rsidRPr="00683FF0">
              <w:t xml:space="preserve"> </w:t>
            </w:r>
            <w:r w:rsidR="00BB0DFF" w:rsidRPr="00683FF0">
              <w:t>It</w:t>
            </w:r>
            <w:r w:rsidRPr="00683FF0">
              <w:t xml:space="preserve"> will consider how to strengthen the role of Māori in the RSI system and better enable mātauranga</w:t>
            </w:r>
            <w:r w:rsidR="008145A6" w:rsidRPr="00683FF0">
              <w:t xml:space="preserve"> Māori</w:t>
            </w:r>
            <w:r w:rsidR="00C61DA9" w:rsidRPr="00683FF0">
              <w:t xml:space="preserve"> </w:t>
            </w:r>
            <w:r w:rsidR="00FD43D5" w:rsidRPr="00683FF0">
              <w:t>(</w:t>
            </w:r>
            <w:r w:rsidR="008145A6" w:rsidRPr="00683FF0">
              <w:t>c</w:t>
            </w:r>
            <w:r w:rsidR="00FD43D5" w:rsidRPr="00683FF0">
              <w:t>hapter 2</w:t>
            </w:r>
            <w:r w:rsidR="008145A6" w:rsidRPr="00683FF0">
              <w:t>:</w:t>
            </w:r>
            <w:r w:rsidR="00FD43D5" w:rsidRPr="00683FF0">
              <w:t xml:space="preserve"> Empowering Māori</w:t>
            </w:r>
            <w:r w:rsidR="008145A6" w:rsidRPr="00683FF0">
              <w:t>,</w:t>
            </w:r>
            <w:r w:rsidR="00FD43D5" w:rsidRPr="00683FF0">
              <w:t xml:space="preserve"> actions </w:t>
            </w:r>
            <w:r w:rsidR="00776194" w:rsidRPr="00683FF0">
              <w:t>2.</w:t>
            </w:r>
            <w:r w:rsidR="00FD43D5" w:rsidRPr="00683FF0">
              <w:t>1</w:t>
            </w:r>
            <w:r w:rsidR="008145A6" w:rsidRPr="00683FF0">
              <w:t>–</w:t>
            </w:r>
            <w:r w:rsidR="00776194" w:rsidRPr="00683FF0">
              <w:t>2.</w:t>
            </w:r>
            <w:r w:rsidRPr="00683FF0">
              <w:t>4</w:t>
            </w:r>
            <w:r w:rsidR="008145A6" w:rsidRPr="00683FF0">
              <w:t>;</w:t>
            </w:r>
            <w:r w:rsidRPr="00683FF0">
              <w:t xml:space="preserve"> </w:t>
            </w:r>
            <w:r w:rsidR="008145A6" w:rsidRPr="00683FF0">
              <w:t>c</w:t>
            </w:r>
            <w:r w:rsidRPr="00683FF0">
              <w:t xml:space="preserve">hapter </w:t>
            </w:r>
            <w:r w:rsidR="00E62E0C" w:rsidRPr="00683FF0">
              <w:t>8</w:t>
            </w:r>
            <w:r w:rsidR="008145A6" w:rsidRPr="00683FF0">
              <w:t>:</w:t>
            </w:r>
            <w:r w:rsidRPr="00683FF0">
              <w:t xml:space="preserve"> Research, science, innovation and technology</w:t>
            </w:r>
            <w:r w:rsidR="008145A6" w:rsidRPr="00683FF0">
              <w:t>,</w:t>
            </w:r>
            <w:r w:rsidRPr="00683FF0">
              <w:t xml:space="preserve"> action</w:t>
            </w:r>
            <w:r w:rsidR="00D21268" w:rsidRPr="00683FF0">
              <w:t> </w:t>
            </w:r>
            <w:r w:rsidR="00776194" w:rsidRPr="00683FF0">
              <w:t>8.</w:t>
            </w:r>
            <w:r w:rsidR="00AC7459" w:rsidRPr="00683FF0">
              <w:t>1.</w:t>
            </w:r>
            <w:r w:rsidRPr="00683FF0">
              <w:t>2</w:t>
            </w:r>
            <w:r w:rsidR="00FD43D5" w:rsidRPr="00683FF0">
              <w:t>).</w:t>
            </w:r>
          </w:p>
        </w:tc>
      </w:tr>
      <w:tr w:rsidR="004C3EC9" w:rsidRPr="00683FF0" w14:paraId="011297C0" w14:textId="77777777" w:rsidTr="00D21268">
        <w:tc>
          <w:tcPr>
            <w:tcW w:w="4508" w:type="dxa"/>
          </w:tcPr>
          <w:p w14:paraId="0CB683E8" w14:textId="3794E1F5" w:rsidR="004C3EC9" w:rsidRPr="00683FF0" w:rsidRDefault="00C61DA9" w:rsidP="00D21268">
            <w:pPr>
              <w:pStyle w:val="TableText"/>
              <w:spacing w:before="40" w:after="40"/>
            </w:pPr>
            <w:r w:rsidRPr="00683FF0">
              <w:t xml:space="preserve">27.3. </w:t>
            </w:r>
            <w:r w:rsidR="004C3EC9" w:rsidRPr="00683FF0">
              <w:t>Funding research and development in mātauranga Māori to enable developing policy, strategy, technology and innovation to be informed from an equitable knowledge base.</w:t>
            </w:r>
          </w:p>
        </w:tc>
        <w:tc>
          <w:tcPr>
            <w:tcW w:w="4508" w:type="dxa"/>
          </w:tcPr>
          <w:p w14:paraId="004B3CEA" w14:textId="1434F708" w:rsidR="00C46C8A" w:rsidRPr="00683FF0" w:rsidRDefault="00CC49B1" w:rsidP="00D21268">
            <w:pPr>
              <w:pStyle w:val="TableText"/>
              <w:spacing w:before="40" w:after="40"/>
            </w:pPr>
            <w:r w:rsidRPr="00683FF0">
              <w:rPr>
                <w:b/>
                <w:bCs/>
              </w:rPr>
              <w:t xml:space="preserve">27.3. </w:t>
            </w:r>
            <w:r w:rsidR="22511D70" w:rsidRPr="00683FF0">
              <w:rPr>
                <w:b/>
                <w:bCs/>
              </w:rPr>
              <w:t xml:space="preserve">The Government agrees in principle with this recommendation. </w:t>
            </w:r>
            <w:r w:rsidR="001D5CDC" w:rsidRPr="00683FF0">
              <w:t>F</w:t>
            </w:r>
            <w:r w:rsidR="72E1DD03" w:rsidRPr="00683FF0">
              <w:t xml:space="preserve">urther collaboration with and direction from Māori will establish if and how this recommended strategy and </w:t>
            </w:r>
            <w:r w:rsidR="00D51972" w:rsidRPr="00683FF0">
              <w:t xml:space="preserve">its </w:t>
            </w:r>
            <w:r w:rsidR="72E1DD03" w:rsidRPr="00683FF0">
              <w:t>focus areas should be progressed as part of the Māori climate platform</w:t>
            </w:r>
            <w:r w:rsidR="00D51972" w:rsidRPr="00683FF0">
              <w:t>.</w:t>
            </w:r>
          </w:p>
          <w:p w14:paraId="50EF22B0" w14:textId="2A0EDECF" w:rsidR="00FD43D5" w:rsidRPr="00683FF0" w:rsidRDefault="00C46C8A" w:rsidP="00D21268">
            <w:pPr>
              <w:pStyle w:val="TableText"/>
              <w:spacing w:before="40" w:after="40"/>
            </w:pPr>
            <w:r w:rsidRPr="00683FF0">
              <w:t>This outcome also links to the RSI&amp;T actions.</w:t>
            </w:r>
            <w:r w:rsidR="00D51972" w:rsidRPr="00683FF0">
              <w:t xml:space="preserve"> The</w:t>
            </w:r>
            <w:r w:rsidRPr="00683FF0">
              <w:t xml:space="preserve"> Government has provided $33 million over four years to expand the impact of the Vision Mātauranga. This will support Māori to determine and make future investments in RSI</w:t>
            </w:r>
            <w:r w:rsidR="004A460E" w:rsidRPr="00683FF0">
              <w:t>&amp;T</w:t>
            </w:r>
            <w:r w:rsidRPr="00683FF0">
              <w:t xml:space="preserve">. Additionally, Te Ara Paerangi </w:t>
            </w:r>
            <w:r w:rsidR="00D51972" w:rsidRPr="00683FF0">
              <w:t xml:space="preserve">– </w:t>
            </w:r>
            <w:r w:rsidRPr="00683FF0">
              <w:t xml:space="preserve">Future Pathways will explore how the </w:t>
            </w:r>
            <w:r w:rsidR="00D51972" w:rsidRPr="00683FF0">
              <w:t xml:space="preserve">Aotearoa </w:t>
            </w:r>
            <w:r w:rsidRPr="00683FF0">
              <w:t>science system can support Māori and the use of mātauranga</w:t>
            </w:r>
            <w:r w:rsidR="00D51972" w:rsidRPr="00683FF0">
              <w:t xml:space="preserve"> Māori</w:t>
            </w:r>
            <w:r w:rsidRPr="00683FF0">
              <w:t>.</w:t>
            </w:r>
            <w:r w:rsidR="00D51972" w:rsidRPr="00683FF0">
              <w:t xml:space="preserve"> It</w:t>
            </w:r>
            <w:r w:rsidRPr="00683FF0">
              <w:t xml:space="preserve"> will consider how to strengthen the role of Māori in the RSI</w:t>
            </w:r>
            <w:r w:rsidR="004A460E" w:rsidRPr="00683FF0">
              <w:t>&amp;T</w:t>
            </w:r>
            <w:r w:rsidRPr="00683FF0">
              <w:t xml:space="preserve"> system and better enable mātauranga</w:t>
            </w:r>
            <w:r w:rsidR="00D51972" w:rsidRPr="00683FF0">
              <w:t xml:space="preserve"> Māori</w:t>
            </w:r>
            <w:r w:rsidR="00AC3114" w:rsidRPr="00683FF0">
              <w:t xml:space="preserve"> </w:t>
            </w:r>
            <w:r w:rsidRPr="00683FF0">
              <w:t>(</w:t>
            </w:r>
            <w:r w:rsidR="003B035D" w:rsidRPr="00683FF0">
              <w:t>c</w:t>
            </w:r>
            <w:r w:rsidRPr="00683FF0">
              <w:t>hapter 2</w:t>
            </w:r>
            <w:r w:rsidR="003B035D" w:rsidRPr="00683FF0">
              <w:t>:</w:t>
            </w:r>
            <w:r w:rsidRPr="00683FF0">
              <w:t xml:space="preserve"> Empowering Māori</w:t>
            </w:r>
            <w:r w:rsidR="003B035D" w:rsidRPr="00683FF0">
              <w:t>,</w:t>
            </w:r>
            <w:r w:rsidRPr="00683FF0">
              <w:t xml:space="preserve"> actions </w:t>
            </w:r>
            <w:r w:rsidR="00776194" w:rsidRPr="00683FF0">
              <w:t>2.</w:t>
            </w:r>
            <w:r w:rsidRPr="00683FF0">
              <w:t>1</w:t>
            </w:r>
            <w:r w:rsidR="003B035D" w:rsidRPr="00683FF0">
              <w:t>–</w:t>
            </w:r>
            <w:r w:rsidR="00776194" w:rsidRPr="00683FF0">
              <w:t>2.</w:t>
            </w:r>
            <w:r w:rsidRPr="00683FF0">
              <w:t>4</w:t>
            </w:r>
            <w:r w:rsidR="003B035D" w:rsidRPr="00683FF0">
              <w:t>;</w:t>
            </w:r>
            <w:r w:rsidR="00000785" w:rsidRPr="00683FF0">
              <w:t xml:space="preserve"> </w:t>
            </w:r>
            <w:r w:rsidR="003B035D" w:rsidRPr="00683FF0">
              <w:t>c</w:t>
            </w:r>
            <w:r w:rsidR="00000785" w:rsidRPr="00683FF0">
              <w:t>hapter 8</w:t>
            </w:r>
            <w:r w:rsidR="003B035D" w:rsidRPr="00683FF0">
              <w:t>:</w:t>
            </w:r>
            <w:r w:rsidR="00000785" w:rsidRPr="00683FF0">
              <w:t xml:space="preserve"> Research, science, innovation and technology</w:t>
            </w:r>
            <w:r w:rsidR="003B035D" w:rsidRPr="00683FF0">
              <w:t>,</w:t>
            </w:r>
            <w:r w:rsidR="00000785" w:rsidRPr="00683FF0">
              <w:t xml:space="preserve"> action </w:t>
            </w:r>
            <w:r w:rsidR="00776194" w:rsidRPr="00683FF0">
              <w:t>8.</w:t>
            </w:r>
            <w:r w:rsidR="00000785" w:rsidRPr="00683FF0">
              <w:t>1.2</w:t>
            </w:r>
            <w:r w:rsidRPr="00683FF0">
              <w:t>).</w:t>
            </w:r>
          </w:p>
        </w:tc>
      </w:tr>
      <w:tr w:rsidR="004C3EC9" w:rsidRPr="00683FF0" w14:paraId="2ECF3CB3" w14:textId="77777777" w:rsidTr="00D21268">
        <w:tc>
          <w:tcPr>
            <w:tcW w:w="4508" w:type="dxa"/>
          </w:tcPr>
          <w:p w14:paraId="4154641C" w14:textId="2F00BEDA" w:rsidR="004C3EC9" w:rsidRPr="00683FF0" w:rsidRDefault="00C61DA9" w:rsidP="00D21268">
            <w:pPr>
              <w:pStyle w:val="TableText"/>
              <w:spacing w:before="40" w:after="40"/>
            </w:pPr>
            <w:r w:rsidRPr="00683FF0">
              <w:t xml:space="preserve">27.4. </w:t>
            </w:r>
            <w:r w:rsidR="004C3EC9" w:rsidRPr="00683FF0">
              <w:t>Making funding available to assist Iwi/Māori that are not economically enabled to transition equitably</w:t>
            </w:r>
          </w:p>
        </w:tc>
        <w:tc>
          <w:tcPr>
            <w:tcW w:w="4508" w:type="dxa"/>
          </w:tcPr>
          <w:p w14:paraId="5D916B53" w14:textId="2DAD02ED" w:rsidR="00FD43D5" w:rsidRPr="00683FF0" w:rsidRDefault="00CC49B1" w:rsidP="00D21268">
            <w:pPr>
              <w:pStyle w:val="TableText"/>
              <w:spacing w:before="40" w:after="40"/>
            </w:pPr>
            <w:r w:rsidRPr="00683FF0">
              <w:rPr>
                <w:b/>
                <w:bCs/>
              </w:rPr>
              <w:t xml:space="preserve">27.4. </w:t>
            </w:r>
            <w:r w:rsidR="22511D70" w:rsidRPr="00683FF0">
              <w:rPr>
                <w:b/>
                <w:bCs/>
              </w:rPr>
              <w:t xml:space="preserve">The Government agrees in principle with this recommendation. </w:t>
            </w:r>
            <w:r w:rsidR="00000785" w:rsidRPr="00683FF0">
              <w:t>F</w:t>
            </w:r>
            <w:r w:rsidR="5180D956" w:rsidRPr="00683FF0">
              <w:t>urther collaboration with and direction from Māori will establish if and how this recommended strategy and</w:t>
            </w:r>
            <w:r w:rsidR="009E01E9" w:rsidRPr="00683FF0">
              <w:t xml:space="preserve"> its</w:t>
            </w:r>
            <w:r w:rsidR="5180D956" w:rsidRPr="00683FF0">
              <w:t xml:space="preserve"> focus areas should be progressed as part of the Māori climate platform</w:t>
            </w:r>
            <w:r w:rsidR="22511D70" w:rsidRPr="00683FF0">
              <w:t xml:space="preserve"> </w:t>
            </w:r>
            <w:r w:rsidR="0FC7245B" w:rsidRPr="00683FF0">
              <w:t>(</w:t>
            </w:r>
            <w:r w:rsidR="00FF1490" w:rsidRPr="00683FF0">
              <w:t>c</w:t>
            </w:r>
            <w:r w:rsidR="0FC7245B" w:rsidRPr="00683FF0">
              <w:t>hapter</w:t>
            </w:r>
            <w:r w:rsidR="00FF1490" w:rsidRPr="00683FF0">
              <w:t> </w:t>
            </w:r>
            <w:r w:rsidR="0FC7245B" w:rsidRPr="00683FF0">
              <w:t>2</w:t>
            </w:r>
            <w:r w:rsidR="00FF1490" w:rsidRPr="00683FF0">
              <w:t>:</w:t>
            </w:r>
            <w:r w:rsidR="0FC7245B" w:rsidRPr="00683FF0">
              <w:t xml:space="preserve"> Empowering Māori</w:t>
            </w:r>
            <w:r w:rsidR="00FF1490" w:rsidRPr="00683FF0">
              <w:t>,</w:t>
            </w:r>
            <w:r w:rsidR="0FC7245B" w:rsidRPr="00683FF0">
              <w:t xml:space="preserve"> actions </w:t>
            </w:r>
            <w:r w:rsidR="00776194" w:rsidRPr="00683FF0">
              <w:t>2.</w:t>
            </w:r>
            <w:r w:rsidR="0FC7245B" w:rsidRPr="00683FF0">
              <w:t>1</w:t>
            </w:r>
            <w:r w:rsidR="00FF1490" w:rsidRPr="00683FF0">
              <w:t>,</w:t>
            </w:r>
            <w:r w:rsidR="0FC7245B" w:rsidRPr="00683FF0">
              <w:t xml:space="preserve"> </w:t>
            </w:r>
            <w:r w:rsidR="00776194" w:rsidRPr="00683FF0">
              <w:t>2.</w:t>
            </w:r>
            <w:r w:rsidR="0FC7245B" w:rsidRPr="00683FF0">
              <w:t>2).</w:t>
            </w:r>
          </w:p>
        </w:tc>
      </w:tr>
      <w:tr w:rsidR="004C3EC9" w:rsidRPr="00683FF0" w14:paraId="2CFFDDE4" w14:textId="77777777" w:rsidTr="00D21268">
        <w:tc>
          <w:tcPr>
            <w:tcW w:w="4508" w:type="dxa"/>
          </w:tcPr>
          <w:p w14:paraId="5F5867EE" w14:textId="38272836" w:rsidR="004C3EC9" w:rsidRPr="00683FF0" w:rsidRDefault="00C61DA9" w:rsidP="00D21268">
            <w:pPr>
              <w:pStyle w:val="TableText"/>
              <w:spacing w:before="40"/>
            </w:pPr>
            <w:r w:rsidRPr="00683FF0">
              <w:t xml:space="preserve">27.5. </w:t>
            </w:r>
            <w:r w:rsidR="004C3EC9" w:rsidRPr="00683FF0">
              <w:t>Including timebound measures for progress for each of the elements of the strategy</w:t>
            </w:r>
          </w:p>
        </w:tc>
        <w:tc>
          <w:tcPr>
            <w:tcW w:w="4508" w:type="dxa"/>
          </w:tcPr>
          <w:p w14:paraId="5D980B8C" w14:textId="6877B829" w:rsidR="00FD43D5" w:rsidRPr="00683FF0" w:rsidRDefault="00CC49B1" w:rsidP="00D21268">
            <w:pPr>
              <w:pStyle w:val="TableText"/>
              <w:spacing w:before="40" w:after="40"/>
            </w:pPr>
            <w:r w:rsidRPr="00683FF0">
              <w:rPr>
                <w:b/>
                <w:bCs/>
              </w:rPr>
              <w:t xml:space="preserve">27.5. </w:t>
            </w:r>
            <w:r w:rsidR="22511D70" w:rsidRPr="00683FF0">
              <w:rPr>
                <w:b/>
                <w:bCs/>
              </w:rPr>
              <w:t xml:space="preserve">The Government agrees in principle with this recommendation. </w:t>
            </w:r>
            <w:r w:rsidR="00000785" w:rsidRPr="00683FF0">
              <w:t>F</w:t>
            </w:r>
            <w:r w:rsidR="5180D956" w:rsidRPr="00683FF0">
              <w:t>urther collaboration with and direction from Māori will establish if and how this recommended strategy and</w:t>
            </w:r>
            <w:r w:rsidRPr="00683FF0">
              <w:t xml:space="preserve"> its</w:t>
            </w:r>
            <w:r w:rsidR="5180D956" w:rsidRPr="00683FF0">
              <w:t xml:space="preserve"> focus areas should be progressed as part of the Māori climate platform</w:t>
            </w:r>
            <w:r w:rsidR="22511D70" w:rsidRPr="00683FF0">
              <w:t xml:space="preserve"> </w:t>
            </w:r>
            <w:r w:rsidR="0FC7245B" w:rsidRPr="00683FF0">
              <w:t>(</w:t>
            </w:r>
            <w:r w:rsidR="00FF1490" w:rsidRPr="00683FF0">
              <w:t>c</w:t>
            </w:r>
            <w:r w:rsidR="0FC7245B" w:rsidRPr="00683FF0">
              <w:t>hapter</w:t>
            </w:r>
            <w:r w:rsidR="00FF1490" w:rsidRPr="00683FF0">
              <w:t> </w:t>
            </w:r>
            <w:r w:rsidR="0FC7245B" w:rsidRPr="00683FF0">
              <w:t>2</w:t>
            </w:r>
            <w:r w:rsidR="00FF1490" w:rsidRPr="00683FF0">
              <w:t>:</w:t>
            </w:r>
            <w:r w:rsidR="0FC7245B" w:rsidRPr="00683FF0">
              <w:t xml:space="preserve"> Empowering Māori</w:t>
            </w:r>
            <w:r w:rsidR="00FF1490" w:rsidRPr="00683FF0">
              <w:t>,</w:t>
            </w:r>
            <w:r w:rsidR="0FC7245B" w:rsidRPr="00683FF0">
              <w:t xml:space="preserve"> actions </w:t>
            </w:r>
            <w:r w:rsidR="00776194" w:rsidRPr="00683FF0">
              <w:t>2.</w:t>
            </w:r>
            <w:r w:rsidR="0FC7245B" w:rsidRPr="00683FF0">
              <w:t>1</w:t>
            </w:r>
            <w:r w:rsidR="00FF1490" w:rsidRPr="00683FF0">
              <w:t>,</w:t>
            </w:r>
            <w:r w:rsidR="0FC7245B" w:rsidRPr="00683FF0">
              <w:t xml:space="preserve"> </w:t>
            </w:r>
            <w:r w:rsidR="00776194" w:rsidRPr="00683FF0">
              <w:t>2.</w:t>
            </w:r>
            <w:r w:rsidR="0FC7245B" w:rsidRPr="00683FF0">
              <w:t>2).</w:t>
            </w:r>
          </w:p>
        </w:tc>
      </w:tr>
      <w:tr w:rsidR="00C61DA9" w:rsidRPr="00683FF0" w14:paraId="5D93D03D" w14:textId="77777777" w:rsidTr="00D21268">
        <w:tc>
          <w:tcPr>
            <w:tcW w:w="4508" w:type="dxa"/>
          </w:tcPr>
          <w:p w14:paraId="68F1E108" w14:textId="77777777" w:rsidR="00C61DA9" w:rsidRPr="00683FF0" w:rsidRDefault="00C61DA9" w:rsidP="00D21268">
            <w:pPr>
              <w:pStyle w:val="TableText"/>
            </w:pPr>
          </w:p>
        </w:tc>
        <w:tc>
          <w:tcPr>
            <w:tcW w:w="4508" w:type="dxa"/>
          </w:tcPr>
          <w:p w14:paraId="1EF48EA6" w14:textId="1FAA4CD1" w:rsidR="00C61DA9" w:rsidRPr="00683FF0" w:rsidRDefault="00C61DA9" w:rsidP="00D21268">
            <w:pPr>
              <w:pStyle w:val="TableText"/>
              <w:spacing w:before="40" w:after="0"/>
            </w:pPr>
            <w:r w:rsidRPr="00683FF0">
              <w:rPr>
                <w:b/>
                <w:bCs/>
              </w:rPr>
              <w:t xml:space="preserve">Responsible agencies: </w:t>
            </w:r>
            <w:r w:rsidR="3613851E" w:rsidRPr="00683FF0">
              <w:t>Ministry for the Environment</w:t>
            </w:r>
          </w:p>
          <w:p w14:paraId="2B1809C4" w14:textId="509DBC14" w:rsidR="004C5868" w:rsidRPr="00683FF0" w:rsidRDefault="3C66ABA6" w:rsidP="00D21268">
            <w:pPr>
              <w:pStyle w:val="TableText"/>
              <w:spacing w:after="40"/>
            </w:pPr>
            <w:r w:rsidRPr="00683FF0">
              <w:t>27.2 and 27.3</w:t>
            </w:r>
            <w:r w:rsidR="00704EB7" w:rsidRPr="00683FF0">
              <w:t>.</w:t>
            </w:r>
            <w:r w:rsidRPr="00683FF0">
              <w:t xml:space="preserve"> Ministry for the </w:t>
            </w:r>
            <w:r w:rsidR="16DEFD4F" w:rsidRPr="00683FF0">
              <w:t>Environment</w:t>
            </w:r>
            <w:r w:rsidR="00704EB7" w:rsidRPr="00683FF0">
              <w:t>,</w:t>
            </w:r>
            <w:r w:rsidR="16DEFD4F" w:rsidRPr="00683FF0">
              <w:t xml:space="preserve"> Ministry </w:t>
            </w:r>
            <w:r w:rsidR="00704EB7" w:rsidRPr="00683FF0">
              <w:t>of</w:t>
            </w:r>
            <w:r w:rsidR="16DEFD4F" w:rsidRPr="00683FF0">
              <w:t xml:space="preserve"> Business, </w:t>
            </w:r>
            <w:r w:rsidR="37488218" w:rsidRPr="00683FF0">
              <w:t xml:space="preserve">Innovation and </w:t>
            </w:r>
            <w:r w:rsidR="16E87E6C" w:rsidRPr="00683FF0">
              <w:t>Employment</w:t>
            </w:r>
          </w:p>
          <w:p w14:paraId="37F23AC3" w14:textId="4E451AFD" w:rsidR="00C61DA9" w:rsidRPr="00683FF0" w:rsidRDefault="00C61DA9" w:rsidP="00D21268">
            <w:pPr>
              <w:pStyle w:val="TableText"/>
              <w:spacing w:after="0"/>
            </w:pPr>
            <w:r w:rsidRPr="00683FF0">
              <w:rPr>
                <w:b/>
                <w:bCs/>
              </w:rPr>
              <w:t xml:space="preserve">Responsible Ministers: </w:t>
            </w:r>
            <w:r w:rsidR="2C4BC99F" w:rsidRPr="00683FF0">
              <w:t xml:space="preserve">Minister </w:t>
            </w:r>
            <w:r w:rsidR="009446D5" w:rsidRPr="00683FF0">
              <w:t xml:space="preserve">of </w:t>
            </w:r>
            <w:r w:rsidR="2C4BC99F" w:rsidRPr="00683FF0">
              <w:t>Climate Change</w:t>
            </w:r>
          </w:p>
          <w:p w14:paraId="3566E388" w14:textId="12C3E3EE" w:rsidR="29BBF1C2" w:rsidRPr="00683FF0" w:rsidRDefault="29BBF1C2" w:rsidP="00D21268">
            <w:pPr>
              <w:pStyle w:val="TableText"/>
              <w:spacing w:after="40"/>
            </w:pPr>
            <w:r w:rsidRPr="00683FF0">
              <w:t>27.2 and 27.3</w:t>
            </w:r>
            <w:r w:rsidR="009D1FE0" w:rsidRPr="00683FF0">
              <w:t>.</w:t>
            </w:r>
            <w:r w:rsidRPr="00683FF0">
              <w:t xml:space="preserve"> Minister</w:t>
            </w:r>
            <w:r w:rsidR="009446D5" w:rsidRPr="00683FF0">
              <w:t>s</w:t>
            </w:r>
            <w:r w:rsidRPr="00683FF0">
              <w:t xml:space="preserve"> </w:t>
            </w:r>
            <w:r w:rsidR="009446D5" w:rsidRPr="00683FF0">
              <w:t xml:space="preserve">of </w:t>
            </w:r>
            <w:r w:rsidRPr="00683FF0">
              <w:t>Climate</w:t>
            </w:r>
            <w:r w:rsidR="7491A7A8" w:rsidRPr="00683FF0">
              <w:t xml:space="preserve"> Change</w:t>
            </w:r>
            <w:r w:rsidR="009446D5" w:rsidRPr="00683FF0">
              <w:t xml:space="preserve">, </w:t>
            </w:r>
            <w:r w:rsidR="00180B6A" w:rsidRPr="00683FF0">
              <w:t>Science, Research and Innovation</w:t>
            </w:r>
          </w:p>
          <w:p w14:paraId="2252CD1F" w14:textId="107E1BF2" w:rsidR="00C61DA9" w:rsidRPr="00683FF0" w:rsidRDefault="00C61DA9" w:rsidP="00D21268">
            <w:pPr>
              <w:pStyle w:val="TableText"/>
              <w:spacing w:after="40"/>
            </w:pPr>
            <w:r w:rsidRPr="00683FF0">
              <w:rPr>
                <w:b/>
                <w:bCs/>
              </w:rPr>
              <w:t xml:space="preserve">Timeline: </w:t>
            </w:r>
            <w:r w:rsidRPr="00683FF0">
              <w:t>2022</w:t>
            </w:r>
            <w:r w:rsidR="005B0765" w:rsidRPr="00683FF0">
              <w:t>–</w:t>
            </w:r>
            <w:r w:rsidRPr="00683FF0">
              <w:t>25 (EB1)</w:t>
            </w:r>
          </w:p>
        </w:tc>
      </w:tr>
    </w:tbl>
    <w:p w14:paraId="0C460D67" w14:textId="7D4235F5" w:rsidR="004C02DA" w:rsidRPr="00683FF0" w:rsidRDefault="004C02DA" w:rsidP="00D21268">
      <w:pPr>
        <w:pStyle w:val="BodyText"/>
        <w:spacing w:before="0" w:after="240"/>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D21268" w:rsidRPr="00683FF0" w14:paraId="0463B497" w14:textId="77777777" w:rsidTr="00D21268">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5E4FC2DE" w14:textId="2E93A24C" w:rsidR="00642CCB" w:rsidRPr="00683FF0" w:rsidRDefault="00642CCB" w:rsidP="00D21268">
            <w:pPr>
              <w:pStyle w:val="TableTextbold"/>
              <w:rPr>
                <w:color w:val="FFFFFF" w:themeColor="background1"/>
              </w:rPr>
            </w:pPr>
            <w:r w:rsidRPr="00683FF0">
              <w:rPr>
                <w:color w:val="FFFFFF" w:themeColor="background1"/>
              </w:rPr>
              <w:lastRenderedPageBreak/>
              <w:t xml:space="preserve">Report </w:t>
            </w:r>
            <w:r w:rsidR="009D1FE0"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34F3B496" w14:textId="70C5FCFF" w:rsidR="00642CCB" w:rsidRPr="00683FF0" w:rsidRDefault="00642CCB" w:rsidP="00D21268">
            <w:pPr>
              <w:pStyle w:val="TableTextbold"/>
              <w:rPr>
                <w:color w:val="FFFFFF" w:themeColor="background1"/>
              </w:rPr>
            </w:pPr>
            <w:r w:rsidRPr="00683FF0">
              <w:rPr>
                <w:color w:val="FFFFFF" w:themeColor="background1"/>
              </w:rPr>
              <w:t xml:space="preserve">Government </w:t>
            </w:r>
            <w:r w:rsidR="009D1FE0" w:rsidRPr="00683FF0">
              <w:rPr>
                <w:color w:val="FFFFFF" w:themeColor="background1"/>
              </w:rPr>
              <w:t>r</w:t>
            </w:r>
            <w:r w:rsidRPr="00683FF0">
              <w:rPr>
                <w:color w:val="FFFFFF" w:themeColor="background1"/>
              </w:rPr>
              <w:t>esponse</w:t>
            </w:r>
          </w:p>
        </w:tc>
      </w:tr>
      <w:tr w:rsidR="00642CCB" w:rsidRPr="00683FF0" w14:paraId="369DFC4D" w14:textId="77777777" w:rsidTr="00D21268">
        <w:tc>
          <w:tcPr>
            <w:tcW w:w="4508" w:type="dxa"/>
            <w:tcBorders>
              <w:top w:val="single" w:sz="4" w:space="0" w:color="1B556B" w:themeColor="text2"/>
              <w:bottom w:val="nil"/>
            </w:tcBorders>
            <w:shd w:val="clear" w:color="auto" w:fill="D2DDE1" w:themeFill="background2"/>
          </w:tcPr>
          <w:p w14:paraId="0DE15A15" w14:textId="61CF4307" w:rsidR="00642CCB" w:rsidRPr="00683FF0" w:rsidRDefault="00642CCB" w:rsidP="00D21268">
            <w:pPr>
              <w:pStyle w:val="TableTextbold"/>
            </w:pPr>
            <w:r w:rsidRPr="00683FF0">
              <w:t xml:space="preserve">Recommendation 27 – Provisional </w:t>
            </w:r>
            <w:r w:rsidR="00CC49B1" w:rsidRPr="00683FF0">
              <w:t xml:space="preserve">progress </w:t>
            </w:r>
            <w:r w:rsidRPr="00683FF0">
              <w:t>indicator</w:t>
            </w:r>
          </w:p>
        </w:tc>
        <w:tc>
          <w:tcPr>
            <w:tcW w:w="4508" w:type="dxa"/>
            <w:tcBorders>
              <w:top w:val="single" w:sz="4" w:space="0" w:color="1B556B" w:themeColor="text2"/>
              <w:bottom w:val="nil"/>
            </w:tcBorders>
            <w:shd w:val="clear" w:color="auto" w:fill="D2DDE1" w:themeFill="background2"/>
          </w:tcPr>
          <w:p w14:paraId="19499320" w14:textId="77777777" w:rsidR="00642CCB" w:rsidRPr="00683FF0" w:rsidRDefault="00642CCB" w:rsidP="00D21268">
            <w:pPr>
              <w:pStyle w:val="TableTextbold"/>
            </w:pPr>
          </w:p>
        </w:tc>
      </w:tr>
      <w:tr w:rsidR="00642CCB" w:rsidRPr="00683FF0" w14:paraId="13842236" w14:textId="77777777" w:rsidTr="00D21268">
        <w:tc>
          <w:tcPr>
            <w:tcW w:w="4508" w:type="dxa"/>
            <w:tcBorders>
              <w:top w:val="nil"/>
            </w:tcBorders>
            <w:shd w:val="clear" w:color="auto" w:fill="FFFFFF" w:themeFill="background1"/>
          </w:tcPr>
          <w:p w14:paraId="65E4D6CD" w14:textId="05167A82" w:rsidR="00642CCB" w:rsidRPr="00683FF0" w:rsidRDefault="00CC49B1" w:rsidP="00D21268">
            <w:pPr>
              <w:pStyle w:val="TableText"/>
            </w:pPr>
            <w:r w:rsidRPr="00683FF0">
              <w:t>27.</w:t>
            </w:r>
            <w:r w:rsidR="00C676AB" w:rsidRPr="00683FF0">
              <w:t xml:space="preserve">1. </w:t>
            </w:r>
            <w:r w:rsidR="00642CCB" w:rsidRPr="00683FF0">
              <w:t>Government to start working with mandated representatives for Iwi and other relevant Māori collectives to determine an approach to support Iwi/Māori collectives to build an emissions profile within their respective takiwā that quantifies total Iwi/Māori contribution to national emissions and emissions reductions, including hapū lands that were taken for conservation purposes and allocated to SNAs</w:t>
            </w:r>
            <w:r w:rsidR="003A0353" w:rsidRPr="00683FF0">
              <w:t> </w:t>
            </w:r>
            <w:r w:rsidR="00642CCB" w:rsidRPr="00683FF0">
              <w:t>(Significant Natural Areas), by no later than 30</w:t>
            </w:r>
            <w:r w:rsidR="003A0353" w:rsidRPr="00683FF0">
              <w:t> </w:t>
            </w:r>
            <w:r w:rsidR="00642CCB" w:rsidRPr="00683FF0">
              <w:t>June 2022.</w:t>
            </w:r>
          </w:p>
        </w:tc>
        <w:tc>
          <w:tcPr>
            <w:tcW w:w="4508" w:type="dxa"/>
            <w:tcBorders>
              <w:top w:val="nil"/>
            </w:tcBorders>
            <w:shd w:val="clear" w:color="auto" w:fill="FFFFFF" w:themeFill="background1"/>
          </w:tcPr>
          <w:p w14:paraId="0BDFF4F2" w14:textId="1898C1FC" w:rsidR="00F570F0" w:rsidRPr="00683FF0" w:rsidRDefault="00CC49B1" w:rsidP="00D21268">
            <w:pPr>
              <w:pStyle w:val="TableText"/>
            </w:pPr>
            <w:r w:rsidRPr="00683FF0">
              <w:rPr>
                <w:b/>
                <w:bCs/>
              </w:rPr>
              <w:t xml:space="preserve">27.1. </w:t>
            </w:r>
            <w:r w:rsidR="22511D70" w:rsidRPr="00683FF0">
              <w:rPr>
                <w:b/>
                <w:bCs/>
              </w:rPr>
              <w:t xml:space="preserve">The Government agrees in part with this provisional </w:t>
            </w:r>
            <w:r w:rsidRPr="00683FF0">
              <w:rPr>
                <w:b/>
                <w:bCs/>
              </w:rPr>
              <w:t xml:space="preserve">progress </w:t>
            </w:r>
            <w:r w:rsidR="22511D70" w:rsidRPr="00683FF0">
              <w:rPr>
                <w:b/>
                <w:bCs/>
              </w:rPr>
              <w:t>indicator.</w:t>
            </w:r>
            <w:r w:rsidR="3EBB0B04" w:rsidRPr="00683FF0">
              <w:rPr>
                <w:b/>
                <w:bCs/>
              </w:rPr>
              <w:t xml:space="preserve"> </w:t>
            </w:r>
            <w:r w:rsidR="3EBB0B04" w:rsidRPr="00683FF0">
              <w:t xml:space="preserve">The Government </w:t>
            </w:r>
            <w:r w:rsidR="5180D956" w:rsidRPr="00683FF0">
              <w:t>agree</w:t>
            </w:r>
            <w:r w:rsidR="3EBB0B04" w:rsidRPr="00683FF0">
              <w:t>s</w:t>
            </w:r>
            <w:r w:rsidR="5180D956" w:rsidRPr="00683FF0">
              <w:t xml:space="preserve"> that Māori emissions profiles are one tool to aid decision</w:t>
            </w:r>
            <w:r w:rsidR="002D5D8F" w:rsidRPr="00683FF0">
              <w:t xml:space="preserve"> </w:t>
            </w:r>
            <w:r w:rsidR="5180D956" w:rsidRPr="00683FF0">
              <w:t>making across the transition. Māori entities who wish to build technically feasible</w:t>
            </w:r>
            <w:r w:rsidR="002D5D8F" w:rsidRPr="00683FF0">
              <w:t xml:space="preserve"> </w:t>
            </w:r>
            <w:r w:rsidR="5180D956" w:rsidRPr="00683FF0">
              <w:t>emission profiles</w:t>
            </w:r>
            <w:r w:rsidR="002D5D8F" w:rsidRPr="00683FF0">
              <w:t xml:space="preserve"> </w:t>
            </w:r>
            <w:r w:rsidR="5180D956" w:rsidRPr="00683FF0">
              <w:t>will be</w:t>
            </w:r>
            <w:r w:rsidR="002D5D8F" w:rsidRPr="00683FF0">
              <w:t xml:space="preserve"> </w:t>
            </w:r>
            <w:r w:rsidR="5180D956" w:rsidRPr="00683FF0">
              <w:t xml:space="preserve">supported under the Māori climate platform. Due to Budget </w:t>
            </w:r>
            <w:r w:rsidR="001A3D22" w:rsidRPr="00683FF0">
              <w:t>20</w:t>
            </w:r>
            <w:r w:rsidR="5180D956" w:rsidRPr="00683FF0">
              <w:t>22 and engagement dependencies, this indicator date is not feasible</w:t>
            </w:r>
            <w:r w:rsidR="3EBB0B04" w:rsidRPr="00683FF0">
              <w:t xml:space="preserve"> </w:t>
            </w:r>
            <w:r w:rsidR="5180D956" w:rsidRPr="00683FF0">
              <w:t>(</w:t>
            </w:r>
            <w:r w:rsidR="002D5D8F" w:rsidRPr="00683FF0">
              <w:t>c</w:t>
            </w:r>
            <w:r w:rsidR="5180D956" w:rsidRPr="00683FF0">
              <w:t>hapter 2</w:t>
            </w:r>
            <w:r w:rsidR="002D5D8F" w:rsidRPr="00683FF0">
              <w:t>:</w:t>
            </w:r>
            <w:r w:rsidR="5180D956" w:rsidRPr="00683FF0">
              <w:t xml:space="preserve"> Empowering Māori</w:t>
            </w:r>
            <w:r w:rsidR="002D5D8F" w:rsidRPr="00683FF0">
              <w:t>,</w:t>
            </w:r>
            <w:r w:rsidR="5180D956" w:rsidRPr="00683FF0">
              <w:t xml:space="preserve"> actions </w:t>
            </w:r>
            <w:r w:rsidR="00776194" w:rsidRPr="00683FF0">
              <w:t>2.</w:t>
            </w:r>
            <w:r w:rsidR="5180D956" w:rsidRPr="00683FF0">
              <w:t>1</w:t>
            </w:r>
            <w:r w:rsidR="002D5D8F" w:rsidRPr="00683FF0">
              <w:t>,</w:t>
            </w:r>
            <w:r w:rsidR="5180D956" w:rsidRPr="00683FF0">
              <w:t xml:space="preserve"> </w:t>
            </w:r>
            <w:r w:rsidR="00776194" w:rsidRPr="00683FF0">
              <w:t>2.</w:t>
            </w:r>
            <w:r w:rsidR="5180D956" w:rsidRPr="00683FF0">
              <w:t>2).</w:t>
            </w:r>
          </w:p>
          <w:p w14:paraId="29C4AD39" w14:textId="77777777" w:rsidR="00F570F0" w:rsidRPr="00683FF0" w:rsidRDefault="00F570F0" w:rsidP="00D21268">
            <w:pPr>
              <w:pStyle w:val="TableText"/>
              <w:rPr>
                <w:b/>
                <w:bCs/>
              </w:rPr>
            </w:pPr>
            <w:r w:rsidRPr="00683FF0">
              <w:rPr>
                <w:b/>
                <w:bCs/>
              </w:rPr>
              <w:t xml:space="preserve">Responsible agency: </w:t>
            </w:r>
            <w:r w:rsidRPr="00683FF0">
              <w:t>Ministry for the Environment</w:t>
            </w:r>
          </w:p>
          <w:p w14:paraId="79363E38" w14:textId="1B80CDC0" w:rsidR="00F570F0" w:rsidRPr="00683FF0" w:rsidRDefault="00F570F0" w:rsidP="003A0353">
            <w:pPr>
              <w:pStyle w:val="TableText"/>
              <w:spacing w:before="0"/>
              <w:rPr>
                <w:b/>
                <w:bCs/>
              </w:rPr>
            </w:pPr>
            <w:r w:rsidRPr="00683FF0">
              <w:rPr>
                <w:b/>
                <w:bCs/>
              </w:rPr>
              <w:t xml:space="preserve">Responsible </w:t>
            </w:r>
            <w:r w:rsidRPr="00371ED1">
              <w:rPr>
                <w:b/>
                <w:bCs/>
              </w:rPr>
              <w:t xml:space="preserve">Minister: </w:t>
            </w:r>
            <w:r w:rsidRPr="00371ED1">
              <w:t xml:space="preserve">Minister </w:t>
            </w:r>
            <w:r w:rsidR="009D1FE0" w:rsidRPr="00371ED1">
              <w:t xml:space="preserve">of </w:t>
            </w:r>
            <w:r w:rsidR="7660721E" w:rsidRPr="00371ED1">
              <w:t>Climate Change</w:t>
            </w:r>
          </w:p>
          <w:p w14:paraId="17117362" w14:textId="4D0EAB19" w:rsidR="00F570F0" w:rsidRPr="00683FF0" w:rsidRDefault="00F570F0" w:rsidP="003A0353">
            <w:pPr>
              <w:pStyle w:val="TableText"/>
              <w:spacing w:before="0"/>
              <w:rPr>
                <w:szCs w:val="18"/>
              </w:rPr>
            </w:pPr>
            <w:r w:rsidRPr="00683FF0">
              <w:rPr>
                <w:b/>
                <w:bCs/>
              </w:rPr>
              <w:t xml:space="preserve">Timeline: </w:t>
            </w:r>
            <w:r w:rsidRPr="00683FF0">
              <w:rPr>
                <w:rFonts w:eastAsia="Times New Roman" w:cstheme="minorHAnsi"/>
              </w:rPr>
              <w:t>2022</w:t>
            </w:r>
            <w:r w:rsidR="009D1FE0" w:rsidRPr="00683FF0">
              <w:rPr>
                <w:rFonts w:eastAsia="Times New Roman" w:cstheme="minorHAnsi"/>
              </w:rPr>
              <w:t>–</w:t>
            </w:r>
            <w:r w:rsidRPr="00683FF0">
              <w:rPr>
                <w:rFonts w:eastAsia="Times New Roman" w:cstheme="minorHAnsi"/>
              </w:rPr>
              <w:t>25 (EB1)</w:t>
            </w:r>
          </w:p>
        </w:tc>
      </w:tr>
    </w:tbl>
    <w:p w14:paraId="07EB3564" w14:textId="48E2E487" w:rsidR="50E302AE" w:rsidRPr="00683FF0" w:rsidRDefault="50E302AE" w:rsidP="00D21268">
      <w:pPr>
        <w:pStyle w:val="BodyText"/>
      </w:pPr>
    </w:p>
    <w:p w14:paraId="75909EAF" w14:textId="77777777" w:rsidR="00833721" w:rsidRPr="00683FF0" w:rsidRDefault="00833721" w:rsidP="00D21268">
      <w:pPr>
        <w:pStyle w:val="BodyText"/>
      </w:pPr>
      <w:r w:rsidRPr="00683FF0">
        <w:br w:type="page"/>
      </w:r>
    </w:p>
    <w:p w14:paraId="3125F85B" w14:textId="721EE027" w:rsidR="008636EF" w:rsidRPr="00683FF0" w:rsidRDefault="00180B6A" w:rsidP="008636EF">
      <w:pPr>
        <w:pStyle w:val="Heading1"/>
      </w:pPr>
      <w:bookmarkStart w:id="57" w:name="_Toc103175842"/>
      <w:bookmarkStart w:id="58" w:name="_Toc103778805"/>
      <w:r w:rsidRPr="00683FF0">
        <w:lastRenderedPageBreak/>
        <w:t xml:space="preserve">Recommendation 28: </w:t>
      </w:r>
      <w:r w:rsidR="00627626" w:rsidRPr="00683FF0">
        <w:br/>
      </w:r>
      <w:r w:rsidR="00AB6168" w:rsidRPr="00683FF0">
        <w:t>Policy direction for a fair, inclusive and e</w:t>
      </w:r>
      <w:r w:rsidR="004C02DA" w:rsidRPr="00683FF0">
        <w:t>quitable transition</w:t>
      </w:r>
      <w:bookmarkEnd w:id="57"/>
      <w:bookmarkEnd w:id="58"/>
      <w:r w:rsidR="004C02DA"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627626" w:rsidRPr="00683FF0" w14:paraId="0CB7AE94" w14:textId="77777777" w:rsidTr="00627626">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18B58251" w14:textId="5E094699" w:rsidR="008636EF" w:rsidRPr="00683FF0" w:rsidRDefault="008636EF" w:rsidP="00627626">
            <w:pPr>
              <w:pStyle w:val="TableTextbold"/>
              <w:rPr>
                <w:color w:val="FFFFFF" w:themeColor="background1"/>
              </w:rPr>
            </w:pPr>
            <w:r w:rsidRPr="00683FF0">
              <w:rPr>
                <w:color w:val="FFFFFF" w:themeColor="background1"/>
              </w:rPr>
              <w:t xml:space="preserve">Report </w:t>
            </w:r>
            <w:r w:rsidR="002D5D8F"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06552D4E" w14:textId="24E63533" w:rsidR="008636EF" w:rsidRPr="00683FF0" w:rsidRDefault="008636EF" w:rsidP="00627626">
            <w:pPr>
              <w:pStyle w:val="TableTextbold"/>
              <w:rPr>
                <w:color w:val="FFFFFF" w:themeColor="background1"/>
              </w:rPr>
            </w:pPr>
            <w:r w:rsidRPr="00683FF0">
              <w:rPr>
                <w:color w:val="FFFFFF" w:themeColor="background1"/>
              </w:rPr>
              <w:t xml:space="preserve">Government </w:t>
            </w:r>
            <w:r w:rsidR="002D5D8F" w:rsidRPr="00683FF0">
              <w:rPr>
                <w:color w:val="FFFFFF" w:themeColor="background1"/>
              </w:rPr>
              <w:t>r</w:t>
            </w:r>
            <w:r w:rsidRPr="00683FF0">
              <w:rPr>
                <w:color w:val="FFFFFF" w:themeColor="background1"/>
              </w:rPr>
              <w:t>esponse</w:t>
            </w:r>
          </w:p>
        </w:tc>
      </w:tr>
      <w:tr w:rsidR="00C676AB" w:rsidRPr="00683FF0" w14:paraId="05F02C47" w14:textId="77777777" w:rsidTr="00627626">
        <w:trPr>
          <w:trHeight w:val="9369"/>
        </w:trPr>
        <w:tc>
          <w:tcPr>
            <w:tcW w:w="4508" w:type="dxa"/>
            <w:tcBorders>
              <w:top w:val="single" w:sz="4" w:space="0" w:color="1B556B" w:themeColor="text2"/>
            </w:tcBorders>
            <w:shd w:val="clear" w:color="auto" w:fill="auto"/>
          </w:tcPr>
          <w:p w14:paraId="7DB121CE" w14:textId="77777777" w:rsidR="00C676AB" w:rsidRPr="00683FF0" w:rsidRDefault="00C676AB" w:rsidP="00627626">
            <w:pPr>
              <w:pStyle w:val="TableTextbold"/>
              <w:spacing w:after="0"/>
            </w:pPr>
            <w:r w:rsidRPr="00683FF0">
              <w:t xml:space="preserve">Recommendation 28 – A fair, inclusive and equitable transition </w:t>
            </w:r>
          </w:p>
          <w:p w14:paraId="48255BA1" w14:textId="0E7ED37F" w:rsidR="00C676AB" w:rsidRPr="00683FF0" w:rsidRDefault="00C676AB" w:rsidP="00627626">
            <w:pPr>
              <w:pStyle w:val="TableText"/>
            </w:pPr>
            <w:r w:rsidRPr="00683FF0">
              <w:t>We recommend that, in the first emissions reduction plan, the Government commit to: Developing an Equitable Transitions Strategy that aims to deliver a well-signalled and inclusive transition, so it maximises opportunities, and minimises disruption and inequities. Objectives of the strategy should include:</w:t>
            </w:r>
          </w:p>
          <w:p w14:paraId="5C391BAF" w14:textId="42DB9526" w:rsidR="00C676AB" w:rsidRPr="00683FF0" w:rsidRDefault="00CC49B1" w:rsidP="00627626">
            <w:pPr>
              <w:pStyle w:val="TableText"/>
            </w:pPr>
            <w:r w:rsidRPr="00683FF0">
              <w:t>28.</w:t>
            </w:r>
            <w:r w:rsidR="00C676AB" w:rsidRPr="00683FF0">
              <w:t>1</w:t>
            </w:r>
            <w:r w:rsidR="38539085" w:rsidRPr="00683FF0">
              <w:t>.</w:t>
            </w:r>
            <w:r w:rsidR="00C676AB" w:rsidRPr="00683FF0">
              <w:t xml:space="preserve"> Acting in partnership with Iwi/Māori, giving effect to the principles of Te Tiriti o Waitangi/The Treaty of Waitangi, aligning with the He Ara Waiora framework to align with Iwi/Māori perspectives on wellbeing, and co-designing climate policies and strategies with Iwi/Māori.</w:t>
            </w:r>
          </w:p>
          <w:p w14:paraId="15E7F8F8" w14:textId="45CA0143" w:rsidR="00C676AB" w:rsidRPr="00683FF0" w:rsidRDefault="00CC49B1" w:rsidP="00627626">
            <w:pPr>
              <w:pStyle w:val="TableText"/>
            </w:pPr>
            <w:r w:rsidRPr="00683FF0">
              <w:t>28.</w:t>
            </w:r>
            <w:r w:rsidR="00C676AB" w:rsidRPr="00683FF0">
              <w:t>2</w:t>
            </w:r>
            <w:r w:rsidR="38539085" w:rsidRPr="00683FF0">
              <w:t>.</w:t>
            </w:r>
            <w:r w:rsidR="00C676AB" w:rsidRPr="00683FF0">
              <w:t xml:space="preserve"> Undertaking proactive transition planning that aligns with tikanga values and is co-designed with Iwi/Māori, local government, regional economic development agencies, workers, unions, businesses, and community groups with particular regard to those most disadvantaged.</w:t>
            </w:r>
          </w:p>
          <w:p w14:paraId="7F470740" w14:textId="70179CC0" w:rsidR="00C676AB" w:rsidRPr="00683FF0" w:rsidRDefault="00CC49B1" w:rsidP="00627626">
            <w:pPr>
              <w:pStyle w:val="TableText"/>
            </w:pPr>
            <w:r w:rsidRPr="00683FF0">
              <w:t>28.</w:t>
            </w:r>
            <w:r w:rsidR="00C676AB" w:rsidRPr="00683FF0">
              <w:t>3</w:t>
            </w:r>
            <w:r w:rsidR="38539085" w:rsidRPr="00683FF0">
              <w:t>.</w:t>
            </w:r>
            <w:r w:rsidR="00C676AB" w:rsidRPr="00683FF0">
              <w:t xml:space="preserve"> Strengthening efforts to support a nimble and responsive education system with equitable access that sets New Zealanders up with skills needed for a low emissions future. This should include putting in place strategies for identifying and building the skillsets needed to support sectors key to move to a low-emissions economy over the next decade, and education pathways by Māori, for Māori.</w:t>
            </w:r>
          </w:p>
          <w:p w14:paraId="62EE1530" w14:textId="6A839584" w:rsidR="00C676AB" w:rsidRPr="00683FF0" w:rsidRDefault="00CC49B1" w:rsidP="00627626">
            <w:pPr>
              <w:pStyle w:val="TableText"/>
            </w:pPr>
            <w:r w:rsidRPr="00683FF0">
              <w:t>28.</w:t>
            </w:r>
            <w:r w:rsidR="00C676AB" w:rsidRPr="00683FF0">
              <w:t>4</w:t>
            </w:r>
            <w:r w:rsidR="38539085" w:rsidRPr="00683FF0">
              <w:t>.</w:t>
            </w:r>
            <w:r w:rsidR="00C676AB" w:rsidRPr="00683FF0">
              <w:t xml:space="preserve"> Supporting workers to transition from high-emissions sectors to low-emissions sectors, including redeploying and upskilling workers. This will need to be developed in conjunction with workers, unions, education providers and businesses.</w:t>
            </w:r>
          </w:p>
          <w:p w14:paraId="1DC5A09E" w14:textId="11A66399" w:rsidR="00C676AB" w:rsidRPr="00683FF0" w:rsidRDefault="00CC49B1" w:rsidP="00627626">
            <w:pPr>
              <w:pStyle w:val="TableText"/>
              <w:rPr>
                <w:rFonts w:cstheme="minorHAnsi"/>
              </w:rPr>
            </w:pPr>
            <w:r w:rsidRPr="00683FF0">
              <w:t>28.</w:t>
            </w:r>
            <w:r w:rsidR="00C676AB" w:rsidRPr="00683FF0">
              <w:t>5</w:t>
            </w:r>
            <w:r w:rsidR="38539085" w:rsidRPr="00683FF0">
              <w:t>.</w:t>
            </w:r>
            <w:r w:rsidR="00C676AB" w:rsidRPr="00683FF0">
              <w:t xml:space="preserve"> Factoring distributional impacts into how climate strategies and policies are designed and implemented so that they minimise negative impacts, maximise co-benefits and take opportunities to reduce inequities. This will need to include a plan for improving the evidence base and tools for quantitatively assessing the distributional impacts and benefits in line with Treasury’s Living Standards Framework and He Ara Waiora.</w:t>
            </w:r>
          </w:p>
          <w:p w14:paraId="0F6AC4F7" w14:textId="7A96A901" w:rsidR="00C676AB" w:rsidRPr="00683FF0" w:rsidRDefault="00CC49B1" w:rsidP="00627626">
            <w:pPr>
              <w:pStyle w:val="TableText"/>
            </w:pPr>
            <w:r w:rsidRPr="00683FF0">
              <w:t>28.</w:t>
            </w:r>
            <w:r w:rsidR="00C676AB" w:rsidRPr="00683FF0">
              <w:t>6</w:t>
            </w:r>
            <w:r w:rsidR="38539085" w:rsidRPr="00683FF0">
              <w:t>.</w:t>
            </w:r>
            <w:r w:rsidR="00C676AB" w:rsidRPr="00683FF0">
              <w:t xml:space="preserve"> Clarifying how the Government is going to prioritise and fund the work laid out under the Strategy.</w:t>
            </w:r>
          </w:p>
        </w:tc>
        <w:tc>
          <w:tcPr>
            <w:tcW w:w="4508" w:type="dxa"/>
            <w:tcBorders>
              <w:top w:val="single" w:sz="4" w:space="0" w:color="1B556B" w:themeColor="text2"/>
            </w:tcBorders>
            <w:shd w:val="clear" w:color="auto" w:fill="auto"/>
          </w:tcPr>
          <w:p w14:paraId="74EFD282" w14:textId="77777777" w:rsidR="00C676AB" w:rsidRPr="00683FF0" w:rsidRDefault="00C676AB" w:rsidP="00627626">
            <w:pPr>
              <w:pStyle w:val="TableText"/>
            </w:pPr>
            <w:r w:rsidRPr="00683FF0">
              <w:rPr>
                <w:b/>
                <w:bCs/>
              </w:rPr>
              <w:t xml:space="preserve">The Government agrees with this recommendation as intended by the Commission. </w:t>
            </w:r>
            <w:r w:rsidRPr="00683FF0">
              <w:t xml:space="preserve">The Government agrees to develop an Equitable Transitions Strategy to identify and develop policies to maximise the benefits and to reduce negative impacts of the transition. </w:t>
            </w:r>
          </w:p>
          <w:p w14:paraId="55147830" w14:textId="77C1E98D" w:rsidR="00C676AB" w:rsidRPr="00683FF0" w:rsidRDefault="00C676AB" w:rsidP="00627626">
            <w:pPr>
              <w:pStyle w:val="TableText"/>
              <w:rPr>
                <w:rFonts w:eastAsia="Calibri" w:cs="Calibri"/>
                <w:color w:val="000000" w:themeColor="text1"/>
              </w:rPr>
            </w:pPr>
            <w:r w:rsidRPr="00683FF0">
              <w:t xml:space="preserve">The Strategy will be designed with Māori and a range of stakeholders including </w:t>
            </w:r>
            <w:r w:rsidR="042AAFD8" w:rsidRPr="00683FF0">
              <w:rPr>
                <w:rFonts w:eastAsia="Calibri" w:cs="Calibri"/>
                <w:color w:val="000000" w:themeColor="text1"/>
              </w:rPr>
              <w:t>unions, workers, business, women, education providers, regional and rural communities, local government, disabled people Pasifika and representatives for groups such as low-income and beneficiary households.</w:t>
            </w:r>
          </w:p>
          <w:p w14:paraId="018386D0" w14:textId="5BB4706C" w:rsidR="00C676AB" w:rsidRPr="00683FF0" w:rsidRDefault="00C676AB" w:rsidP="00627626">
            <w:pPr>
              <w:pStyle w:val="TableText"/>
            </w:pPr>
            <w:r w:rsidRPr="00683FF0">
              <w:t>The Strategy will incorporate and address the objectives recommended by the Climate Change Commission</w:t>
            </w:r>
            <w:r w:rsidR="00015301" w:rsidRPr="00683FF0">
              <w:t xml:space="preserve"> </w:t>
            </w:r>
            <w:r w:rsidRPr="00683FF0">
              <w:t>(</w:t>
            </w:r>
            <w:r w:rsidR="00015301" w:rsidRPr="00683FF0">
              <w:t>c</w:t>
            </w:r>
            <w:r w:rsidRPr="00683FF0">
              <w:t xml:space="preserve">hapter </w:t>
            </w:r>
            <w:r w:rsidR="00015301" w:rsidRPr="00683FF0">
              <w:t xml:space="preserve">3: </w:t>
            </w:r>
            <w:r w:rsidRPr="00683FF0">
              <w:t>Equitable transition</w:t>
            </w:r>
            <w:r w:rsidR="00015301" w:rsidRPr="00683FF0">
              <w:t>,</w:t>
            </w:r>
            <w:r w:rsidRPr="00683FF0">
              <w:t xml:space="preserve"> action</w:t>
            </w:r>
            <w:r w:rsidR="003A0353" w:rsidRPr="00683FF0">
              <w:t> </w:t>
            </w:r>
            <w:r w:rsidRPr="00683FF0">
              <w:t>3.</w:t>
            </w:r>
            <w:r w:rsidR="08BF8B77" w:rsidRPr="00683FF0">
              <w:t>2.</w:t>
            </w:r>
            <w:r w:rsidRPr="00683FF0">
              <w:t>1).</w:t>
            </w:r>
          </w:p>
          <w:p w14:paraId="2DD77DAE" w14:textId="6850C441" w:rsidR="00C676AB" w:rsidRPr="00683FF0" w:rsidRDefault="00C676AB" w:rsidP="00627626">
            <w:pPr>
              <w:pStyle w:val="TableText"/>
            </w:pPr>
            <w:r w:rsidRPr="00683FF0">
              <w:rPr>
                <w:b/>
                <w:bCs/>
              </w:rPr>
              <w:t xml:space="preserve">Responsible </w:t>
            </w:r>
            <w:r w:rsidR="2FA6113C" w:rsidRPr="00683FF0">
              <w:rPr>
                <w:b/>
                <w:bCs/>
              </w:rPr>
              <w:t>agencies</w:t>
            </w:r>
            <w:r w:rsidRPr="00683FF0">
              <w:rPr>
                <w:b/>
                <w:bCs/>
              </w:rPr>
              <w:t xml:space="preserve">: </w:t>
            </w:r>
            <w:r w:rsidRPr="00683FF0">
              <w:t xml:space="preserve">Ministry </w:t>
            </w:r>
            <w:r w:rsidR="28F154EE" w:rsidRPr="00683FF0">
              <w:t xml:space="preserve">of </w:t>
            </w:r>
            <w:r w:rsidRPr="00683FF0">
              <w:t xml:space="preserve">Business, Innovation and Employment, Ministry </w:t>
            </w:r>
            <w:r w:rsidR="28F154EE" w:rsidRPr="00683FF0">
              <w:t>of</w:t>
            </w:r>
            <w:r w:rsidRPr="00683FF0">
              <w:t xml:space="preserve"> Social Development</w:t>
            </w:r>
            <w:r w:rsidR="3912D7C2" w:rsidRPr="00683FF0">
              <w:t xml:space="preserve"> with support from additional agencies as appropriate to align with the strategy objectives</w:t>
            </w:r>
          </w:p>
          <w:p w14:paraId="3EFD44D1" w14:textId="20E0C79E" w:rsidR="00C676AB" w:rsidRPr="00683FF0" w:rsidRDefault="00C676AB" w:rsidP="00627626">
            <w:pPr>
              <w:pStyle w:val="TableText"/>
              <w:rPr>
                <w:rFonts w:ascii="Segoe UI" w:eastAsia="Segoe UI" w:hAnsi="Segoe UI" w:cs="Segoe UI"/>
                <w:color w:val="333333"/>
              </w:rPr>
            </w:pPr>
            <w:r w:rsidRPr="00683FF0">
              <w:rPr>
                <w:b/>
                <w:bCs/>
              </w:rPr>
              <w:t xml:space="preserve">Responsible </w:t>
            </w:r>
            <w:r w:rsidR="3912D7C2" w:rsidRPr="00683FF0">
              <w:rPr>
                <w:b/>
                <w:bCs/>
              </w:rPr>
              <w:t>Ministers</w:t>
            </w:r>
            <w:r w:rsidRPr="00683FF0">
              <w:rPr>
                <w:b/>
                <w:bCs/>
              </w:rPr>
              <w:t xml:space="preserve">: </w:t>
            </w:r>
            <w:r w:rsidRPr="00683FF0">
              <w:t>Minister</w:t>
            </w:r>
            <w:r w:rsidR="009446D5" w:rsidRPr="00683FF0">
              <w:t>s</w:t>
            </w:r>
            <w:r w:rsidR="00C1630D" w:rsidRPr="00683FF0">
              <w:t xml:space="preserve"> </w:t>
            </w:r>
            <w:r w:rsidRPr="00683FF0">
              <w:t xml:space="preserve">for </w:t>
            </w:r>
            <w:r w:rsidR="3FFD43A5" w:rsidRPr="00683FF0">
              <w:t>Economic</w:t>
            </w:r>
            <w:r w:rsidRPr="00683FF0">
              <w:t xml:space="preserve"> and Regional Development</w:t>
            </w:r>
            <w:r w:rsidR="3FFD43A5" w:rsidRPr="00683FF0">
              <w:t xml:space="preserve">, </w:t>
            </w:r>
            <w:r w:rsidR="009446D5" w:rsidRPr="00683FF0">
              <w:t>,</w:t>
            </w:r>
            <w:r w:rsidR="38539085" w:rsidRPr="00683FF0">
              <w:t xml:space="preserve"> </w:t>
            </w:r>
            <w:r w:rsidR="4F0ABF2D" w:rsidRPr="00683FF0">
              <w:t xml:space="preserve">and </w:t>
            </w:r>
            <w:r w:rsidR="38539085" w:rsidRPr="00683FF0">
              <w:t>Social Development and Employment with</w:t>
            </w:r>
            <w:r w:rsidR="71F98DF3" w:rsidRPr="00683FF0">
              <w:rPr>
                <w:rFonts w:eastAsia="Segoe UI"/>
                <w:color w:val="333333"/>
              </w:rPr>
              <w:t xml:space="preserve"> additional Ministers </w:t>
            </w:r>
            <w:r w:rsidR="379483BB" w:rsidRPr="00683FF0">
              <w:rPr>
                <w:rFonts w:eastAsia="Segoe UI"/>
                <w:color w:val="333333"/>
              </w:rPr>
              <w:t xml:space="preserve">included </w:t>
            </w:r>
            <w:r w:rsidR="71F98DF3" w:rsidRPr="00683FF0">
              <w:rPr>
                <w:rFonts w:eastAsia="Segoe UI"/>
                <w:color w:val="333333"/>
              </w:rPr>
              <w:t>as appropriate to align with the objectives</w:t>
            </w:r>
          </w:p>
          <w:p w14:paraId="1545EBA5" w14:textId="4AF07F08" w:rsidR="00C676AB" w:rsidRPr="00683FF0" w:rsidRDefault="00C676AB" w:rsidP="00627626">
            <w:pPr>
              <w:pStyle w:val="TableText"/>
            </w:pPr>
            <w:r w:rsidRPr="00683FF0">
              <w:rPr>
                <w:b/>
                <w:bCs/>
              </w:rPr>
              <w:t xml:space="preserve">Timeline: </w:t>
            </w:r>
            <w:r w:rsidRPr="00683FF0">
              <w:rPr>
                <w:rFonts w:eastAsia="Times New Roman"/>
              </w:rPr>
              <w:t>2022</w:t>
            </w:r>
            <w:r w:rsidR="00015301" w:rsidRPr="00683FF0">
              <w:rPr>
                <w:rFonts w:eastAsia="Times New Roman"/>
              </w:rPr>
              <w:t>–</w:t>
            </w:r>
            <w:r w:rsidR="3FFD43A5" w:rsidRPr="00683FF0">
              <w:rPr>
                <w:rFonts w:eastAsia="Times New Roman"/>
              </w:rPr>
              <w:t>24</w:t>
            </w:r>
            <w:r w:rsidRPr="00683FF0">
              <w:rPr>
                <w:rFonts w:eastAsia="Times New Roman"/>
              </w:rPr>
              <w:t xml:space="preserve"> (EB1)</w:t>
            </w:r>
            <w:r w:rsidRPr="00683FF0">
              <w:t>: </w:t>
            </w:r>
          </w:p>
          <w:p w14:paraId="366DCF57" w14:textId="1DB877C2" w:rsidR="00C676AB" w:rsidRPr="00683FF0" w:rsidRDefault="00C676AB" w:rsidP="00627626">
            <w:pPr>
              <w:pStyle w:val="TableBullet"/>
            </w:pPr>
            <w:r w:rsidRPr="00683FF0">
              <w:t>draft strategy for consultation by June 2023</w:t>
            </w:r>
            <w:r w:rsidR="00C1630D" w:rsidRPr="00683FF0">
              <w:t xml:space="preserve"> </w:t>
            </w:r>
          </w:p>
          <w:p w14:paraId="2DB81180" w14:textId="77777777" w:rsidR="00C676AB" w:rsidRPr="00683FF0" w:rsidRDefault="00C676AB" w:rsidP="00627626">
            <w:pPr>
              <w:pStyle w:val="TableBullet"/>
            </w:pPr>
            <w:r w:rsidRPr="00683FF0">
              <w:t>final strategy by June 2024 </w:t>
            </w:r>
          </w:p>
          <w:p w14:paraId="0E12E537" w14:textId="17ED9F18" w:rsidR="00C676AB" w:rsidRPr="00683FF0" w:rsidRDefault="00C676AB" w:rsidP="00627626">
            <w:pPr>
              <w:pStyle w:val="TableBullet"/>
              <w:rPr>
                <w:rFonts w:cstheme="minorHAnsi"/>
                <w:szCs w:val="18"/>
              </w:rPr>
            </w:pPr>
            <w:r w:rsidRPr="00683FF0">
              <w:rPr>
                <w:rFonts w:eastAsia="Calibri"/>
              </w:rPr>
              <w:t>identification of priority issues necessitating more urgent intervention as needed</w:t>
            </w:r>
          </w:p>
        </w:tc>
      </w:tr>
    </w:tbl>
    <w:p w14:paraId="07DF6E56" w14:textId="432FEC64" w:rsidR="50E302AE" w:rsidRPr="00683FF0" w:rsidRDefault="50E302AE" w:rsidP="00627626">
      <w:pPr>
        <w:pStyle w:val="BodyText"/>
        <w:spacing w:before="0" w:after="0"/>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66"/>
        <w:gridCol w:w="4239"/>
      </w:tblGrid>
      <w:tr w:rsidR="00627626" w:rsidRPr="00683FF0" w14:paraId="3052EFBF" w14:textId="77777777" w:rsidTr="00627626">
        <w:trPr>
          <w:trHeight w:val="340"/>
        </w:trPr>
        <w:tc>
          <w:tcPr>
            <w:tcW w:w="4260" w:type="dxa"/>
            <w:tcBorders>
              <w:top w:val="single" w:sz="4" w:space="0" w:color="1B556B" w:themeColor="text2"/>
              <w:bottom w:val="single" w:sz="4" w:space="0" w:color="1B556B" w:themeColor="text2"/>
            </w:tcBorders>
            <w:shd w:val="clear" w:color="auto" w:fill="1B556B" w:themeFill="text2"/>
            <w:vAlign w:val="center"/>
          </w:tcPr>
          <w:p w14:paraId="6F7B60B6" w14:textId="7FDE61B5" w:rsidR="008636EF" w:rsidRPr="00683FF0" w:rsidRDefault="008636EF" w:rsidP="00627626">
            <w:pPr>
              <w:pStyle w:val="TableTextbold"/>
              <w:rPr>
                <w:color w:val="FFFFFF" w:themeColor="background1"/>
              </w:rPr>
            </w:pPr>
            <w:r w:rsidRPr="00683FF0">
              <w:rPr>
                <w:color w:val="FFFFFF" w:themeColor="background1"/>
              </w:rPr>
              <w:lastRenderedPageBreak/>
              <w:t xml:space="preserve">Report </w:t>
            </w:r>
            <w:r w:rsidR="00C7303A" w:rsidRPr="00683FF0">
              <w:rPr>
                <w:color w:val="FFFFFF" w:themeColor="background1"/>
              </w:rPr>
              <w:t>r</w:t>
            </w:r>
            <w:r w:rsidRPr="00683FF0">
              <w:rPr>
                <w:color w:val="FFFFFF" w:themeColor="background1"/>
              </w:rPr>
              <w:t>ecommendation</w:t>
            </w:r>
          </w:p>
        </w:tc>
        <w:tc>
          <w:tcPr>
            <w:tcW w:w="4234" w:type="dxa"/>
            <w:tcBorders>
              <w:top w:val="single" w:sz="4" w:space="0" w:color="1B556B" w:themeColor="text2"/>
              <w:bottom w:val="single" w:sz="4" w:space="0" w:color="1B556B" w:themeColor="text2"/>
            </w:tcBorders>
            <w:shd w:val="clear" w:color="auto" w:fill="1B556B" w:themeFill="text2"/>
            <w:vAlign w:val="center"/>
          </w:tcPr>
          <w:p w14:paraId="6B3A22B8" w14:textId="1157529F" w:rsidR="008636EF" w:rsidRPr="00683FF0" w:rsidRDefault="008636EF" w:rsidP="00627626">
            <w:pPr>
              <w:pStyle w:val="TableTextbold"/>
              <w:rPr>
                <w:color w:val="FFFFFF" w:themeColor="background1"/>
              </w:rPr>
            </w:pPr>
            <w:r w:rsidRPr="00683FF0">
              <w:rPr>
                <w:color w:val="FFFFFF" w:themeColor="background1"/>
              </w:rPr>
              <w:t xml:space="preserve">Government </w:t>
            </w:r>
            <w:r w:rsidR="00C7303A" w:rsidRPr="00683FF0">
              <w:rPr>
                <w:color w:val="FFFFFF" w:themeColor="background1"/>
              </w:rPr>
              <w:t>r</w:t>
            </w:r>
            <w:r w:rsidRPr="00683FF0">
              <w:rPr>
                <w:color w:val="FFFFFF" w:themeColor="background1"/>
              </w:rPr>
              <w:t>esponse</w:t>
            </w:r>
          </w:p>
        </w:tc>
      </w:tr>
      <w:tr w:rsidR="008636EF" w:rsidRPr="00683FF0" w14:paraId="66E2EE2C" w14:textId="77777777" w:rsidTr="00627626">
        <w:tc>
          <w:tcPr>
            <w:tcW w:w="4260" w:type="dxa"/>
            <w:tcBorders>
              <w:top w:val="single" w:sz="4" w:space="0" w:color="1B556B" w:themeColor="text2"/>
              <w:bottom w:val="nil"/>
            </w:tcBorders>
            <w:shd w:val="clear" w:color="auto" w:fill="D2DDE1" w:themeFill="background2"/>
          </w:tcPr>
          <w:p w14:paraId="78C43273" w14:textId="77777777" w:rsidR="008636EF" w:rsidRPr="00683FF0" w:rsidRDefault="008636EF" w:rsidP="00627626">
            <w:pPr>
              <w:pStyle w:val="TableTextbold"/>
            </w:pPr>
            <w:r w:rsidRPr="00683FF0">
              <w:t xml:space="preserve">Recommendation 28 – Provisional progress indicators </w:t>
            </w:r>
          </w:p>
        </w:tc>
        <w:tc>
          <w:tcPr>
            <w:tcW w:w="4234" w:type="dxa"/>
            <w:tcBorders>
              <w:top w:val="single" w:sz="4" w:space="0" w:color="1B556B" w:themeColor="text2"/>
              <w:bottom w:val="nil"/>
            </w:tcBorders>
            <w:shd w:val="clear" w:color="auto" w:fill="D2DDE1" w:themeFill="background2"/>
          </w:tcPr>
          <w:p w14:paraId="19D04B3C" w14:textId="77777777" w:rsidR="008636EF" w:rsidRPr="00683FF0" w:rsidRDefault="008636EF" w:rsidP="00627626">
            <w:pPr>
              <w:pStyle w:val="TableTextbold"/>
            </w:pPr>
          </w:p>
        </w:tc>
      </w:tr>
      <w:tr w:rsidR="008636EF" w:rsidRPr="00683FF0" w14:paraId="19ABD74B" w14:textId="77777777" w:rsidTr="00627626">
        <w:tc>
          <w:tcPr>
            <w:tcW w:w="4260" w:type="dxa"/>
            <w:tcBorders>
              <w:top w:val="nil"/>
            </w:tcBorders>
            <w:shd w:val="clear" w:color="auto" w:fill="FFFFFF" w:themeFill="background1"/>
          </w:tcPr>
          <w:p w14:paraId="2AD802B9" w14:textId="26D20AE2" w:rsidR="008636EF" w:rsidRPr="00683FF0" w:rsidRDefault="008636EF" w:rsidP="00627626">
            <w:pPr>
              <w:pStyle w:val="TableText"/>
            </w:pPr>
            <w:r w:rsidRPr="00683FF0">
              <w:t>28.1</w:t>
            </w:r>
            <w:r w:rsidR="005977FE" w:rsidRPr="00683FF0">
              <w:t>.</w:t>
            </w:r>
            <w:r w:rsidRPr="00683FF0">
              <w:t xml:space="preserve"> Government to have, by 31 December 2021, outlined in their emissions reduction plan how they will prioritise and fund work on a fair, inclusive and equitable climate transition.</w:t>
            </w:r>
          </w:p>
        </w:tc>
        <w:tc>
          <w:tcPr>
            <w:tcW w:w="4234" w:type="dxa"/>
            <w:tcBorders>
              <w:top w:val="nil"/>
            </w:tcBorders>
            <w:shd w:val="clear" w:color="auto" w:fill="FFFFFF" w:themeFill="background1"/>
          </w:tcPr>
          <w:p w14:paraId="3BED4CE6" w14:textId="01C3C8BF" w:rsidR="008636EF" w:rsidRPr="00683FF0" w:rsidRDefault="005977FE" w:rsidP="00627626">
            <w:pPr>
              <w:pStyle w:val="TableText"/>
              <w:rPr>
                <w:rFonts w:cstheme="minorHAnsi"/>
              </w:rPr>
            </w:pPr>
            <w:r w:rsidRPr="00683FF0">
              <w:rPr>
                <w:b/>
              </w:rPr>
              <w:t>28.1.</w:t>
            </w:r>
            <w:r w:rsidRPr="00683FF0">
              <w:t xml:space="preserve"> </w:t>
            </w:r>
            <w:r w:rsidR="009312CD" w:rsidRPr="00683FF0">
              <w:rPr>
                <w:b/>
                <w:bCs/>
              </w:rPr>
              <w:t>The Government agrees with this recommendation</w:t>
            </w:r>
            <w:r w:rsidR="00C877FD" w:rsidRPr="00683FF0">
              <w:rPr>
                <w:b/>
                <w:bCs/>
              </w:rPr>
              <w:t xml:space="preserve"> and has addressed this in the emissions reduction plan</w:t>
            </w:r>
            <w:r w:rsidR="009312CD" w:rsidRPr="00683FF0">
              <w:rPr>
                <w:b/>
                <w:bCs/>
              </w:rPr>
              <w:t xml:space="preserve">. </w:t>
            </w:r>
            <w:r w:rsidR="009400EF" w:rsidRPr="00683FF0">
              <w:t>The plan</w:t>
            </w:r>
            <w:r w:rsidR="0AB0AC29" w:rsidRPr="00683FF0">
              <w:t xml:space="preserve"> sets out the Government</w:t>
            </w:r>
            <w:r w:rsidR="00C7303A" w:rsidRPr="00683FF0">
              <w:t>’</w:t>
            </w:r>
            <w:r w:rsidR="0AB0AC29" w:rsidRPr="00683FF0">
              <w:t>s approach to ensuring an equitable transition and how Government will fund initiatives to manage impacts across different groups in society as they emerge</w:t>
            </w:r>
            <w:r w:rsidR="00C7303A" w:rsidRPr="00683FF0">
              <w:t>.</w:t>
            </w:r>
            <w:r w:rsidR="009400EF" w:rsidRPr="00683FF0">
              <w:t xml:space="preserve"> (Chapter 3: Equitable transition)</w:t>
            </w:r>
          </w:p>
        </w:tc>
      </w:tr>
      <w:tr w:rsidR="008636EF" w:rsidRPr="00683FF0" w14:paraId="414E5AE8" w14:textId="77777777" w:rsidTr="00627626">
        <w:tc>
          <w:tcPr>
            <w:tcW w:w="4260" w:type="dxa"/>
            <w:shd w:val="clear" w:color="auto" w:fill="FFFFFF" w:themeFill="background1"/>
          </w:tcPr>
          <w:p w14:paraId="706F1383" w14:textId="77E38521" w:rsidR="008636EF" w:rsidRPr="00683FF0" w:rsidRDefault="008636EF" w:rsidP="00627626">
            <w:pPr>
              <w:pStyle w:val="TableText"/>
            </w:pPr>
            <w:r w:rsidRPr="00683FF0">
              <w:t>28.2</w:t>
            </w:r>
            <w:r w:rsidR="005977FE" w:rsidRPr="00683FF0">
              <w:t>.</w:t>
            </w:r>
            <w:r w:rsidRPr="00683FF0">
              <w:t xml:space="preserve"> Government to have, </w:t>
            </w:r>
            <w:r w:rsidR="00B26521" w:rsidRPr="00683FF0">
              <w:t>prior to June 2023</w:t>
            </w:r>
            <w:r w:rsidRPr="00683FF0">
              <w:t xml:space="preserve">, delivered a draft for consultation, and, </w:t>
            </w:r>
            <w:r w:rsidR="00B26521" w:rsidRPr="00683FF0">
              <w:t>by 30 June</w:t>
            </w:r>
            <w:r w:rsidR="00DB468D">
              <w:t xml:space="preserve"> 2024</w:t>
            </w:r>
            <w:r w:rsidRPr="00683FF0">
              <w:t>, published an Equitable Transitions Strategy linked to the Iwi/M</w:t>
            </w:r>
            <w:r w:rsidR="00FC73A3" w:rsidRPr="00683FF0">
              <w:rPr>
                <w:rFonts w:cstheme="minorHAnsi"/>
              </w:rPr>
              <w:t>ā</w:t>
            </w:r>
            <w:r w:rsidRPr="00683FF0">
              <w:t>ori strategy, economic plan, and national energy strategy.</w:t>
            </w:r>
          </w:p>
        </w:tc>
        <w:tc>
          <w:tcPr>
            <w:tcW w:w="4234" w:type="dxa"/>
            <w:shd w:val="clear" w:color="auto" w:fill="FFFFFF" w:themeFill="background1"/>
          </w:tcPr>
          <w:p w14:paraId="704C7C6D" w14:textId="72EBAD16" w:rsidR="008636EF" w:rsidRPr="00683FF0" w:rsidRDefault="005977FE" w:rsidP="00627626">
            <w:pPr>
              <w:pStyle w:val="TableText"/>
            </w:pPr>
            <w:r w:rsidRPr="00683FF0">
              <w:rPr>
                <w:b/>
                <w:bCs/>
              </w:rPr>
              <w:t xml:space="preserve">28.2. </w:t>
            </w:r>
            <w:r w:rsidR="00AC3114" w:rsidRPr="00683FF0">
              <w:rPr>
                <w:b/>
                <w:bCs/>
              </w:rPr>
              <w:t>The Government agrees with this provisional progress indicator as intended by the Commission</w:t>
            </w:r>
            <w:r w:rsidR="00AC3114" w:rsidRPr="00683FF0">
              <w:rPr>
                <w:rFonts w:eastAsia="Times New Roman" w:cstheme="minorHAnsi"/>
              </w:rPr>
              <w:t xml:space="preserve"> </w:t>
            </w:r>
            <w:r w:rsidR="00216DC9" w:rsidRPr="00683FF0">
              <w:rPr>
                <w:rFonts w:eastAsia="Times New Roman" w:cstheme="minorHAnsi"/>
              </w:rPr>
              <w:t xml:space="preserve">Chapter 3: Equitable transition sets out </w:t>
            </w:r>
            <w:r w:rsidR="00F86793" w:rsidRPr="00683FF0">
              <w:rPr>
                <w:rFonts w:eastAsia="Times New Roman" w:cstheme="minorHAnsi"/>
              </w:rPr>
              <w:t>how the Government will</w:t>
            </w:r>
            <w:r w:rsidR="00AA432A" w:rsidRPr="00683FF0">
              <w:rPr>
                <w:rFonts w:eastAsia="Times New Roman" w:cstheme="minorHAnsi"/>
              </w:rPr>
              <w:t xml:space="preserve"> develop an equitable transition strategy</w:t>
            </w:r>
            <w:r w:rsidR="009C6CF7" w:rsidRPr="00683FF0">
              <w:rPr>
                <w:rFonts w:eastAsia="Times New Roman" w:cstheme="minorHAnsi"/>
              </w:rPr>
              <w:t>.</w:t>
            </w:r>
            <w:r w:rsidR="00F86793" w:rsidRPr="00683FF0">
              <w:rPr>
                <w:rFonts w:eastAsia="Times New Roman" w:cstheme="minorHAnsi"/>
              </w:rPr>
              <w:t xml:space="preserve"> </w:t>
            </w:r>
            <w:r w:rsidR="00F570F0" w:rsidRPr="00683FF0">
              <w:rPr>
                <w:rFonts w:eastAsia="Times New Roman" w:cstheme="minorHAnsi"/>
              </w:rPr>
              <w:t>(</w:t>
            </w:r>
            <w:r w:rsidR="00C7303A" w:rsidRPr="00683FF0">
              <w:rPr>
                <w:rFonts w:eastAsia="Times New Roman" w:cstheme="minorHAnsi"/>
              </w:rPr>
              <w:t>c</w:t>
            </w:r>
            <w:r w:rsidR="00F570F0" w:rsidRPr="00683FF0">
              <w:rPr>
                <w:rFonts w:eastAsia="Times New Roman" w:cstheme="minorHAnsi"/>
              </w:rPr>
              <w:t>hapter</w:t>
            </w:r>
            <w:r w:rsidR="00C7303A" w:rsidRPr="00683FF0">
              <w:rPr>
                <w:rFonts w:eastAsia="Times New Roman" w:cstheme="minorHAnsi"/>
              </w:rPr>
              <w:t xml:space="preserve"> 3:</w:t>
            </w:r>
            <w:r w:rsidR="00F570F0" w:rsidRPr="00683FF0">
              <w:rPr>
                <w:rFonts w:eastAsia="Times New Roman" w:cstheme="minorHAnsi"/>
              </w:rPr>
              <w:t xml:space="preserve"> Equitable transition</w:t>
            </w:r>
            <w:r w:rsidR="00C7303A" w:rsidRPr="00683FF0">
              <w:rPr>
                <w:rFonts w:eastAsia="Times New Roman" w:cstheme="minorHAnsi"/>
              </w:rPr>
              <w:t>,</w:t>
            </w:r>
            <w:r w:rsidR="00F570F0" w:rsidRPr="00683FF0">
              <w:rPr>
                <w:rFonts w:eastAsia="Times New Roman" w:cstheme="minorHAnsi"/>
              </w:rPr>
              <w:t xml:space="preserve"> action 3.</w:t>
            </w:r>
            <w:r w:rsidR="009C6CF7" w:rsidRPr="00683FF0">
              <w:rPr>
                <w:rFonts w:eastAsia="Times New Roman" w:cstheme="minorHAnsi"/>
              </w:rPr>
              <w:t>2.</w:t>
            </w:r>
            <w:r w:rsidR="00F570F0" w:rsidRPr="00683FF0">
              <w:rPr>
                <w:rFonts w:eastAsia="Times New Roman" w:cstheme="minorHAnsi"/>
              </w:rPr>
              <w:t>1).</w:t>
            </w:r>
          </w:p>
        </w:tc>
      </w:tr>
      <w:tr w:rsidR="007F7EAA" w:rsidRPr="00683FF0" w14:paraId="35FE2F9F" w14:textId="77777777" w:rsidTr="00627626">
        <w:tc>
          <w:tcPr>
            <w:tcW w:w="4260" w:type="dxa"/>
            <w:shd w:val="clear" w:color="auto" w:fill="FFFFFF" w:themeFill="background1"/>
          </w:tcPr>
          <w:p w14:paraId="63236CA9" w14:textId="77777777" w:rsidR="007F7EAA" w:rsidRPr="00683FF0" w:rsidRDefault="007F7EAA" w:rsidP="00627626">
            <w:pPr>
              <w:pStyle w:val="TableText"/>
            </w:pPr>
          </w:p>
        </w:tc>
        <w:tc>
          <w:tcPr>
            <w:tcW w:w="4234" w:type="dxa"/>
            <w:shd w:val="clear" w:color="auto" w:fill="FFFFFF" w:themeFill="background1"/>
          </w:tcPr>
          <w:p w14:paraId="10AFDF8A" w14:textId="51670B0C" w:rsidR="007F7EAA" w:rsidRPr="00683FF0" w:rsidRDefault="356DD2E0" w:rsidP="00627626">
            <w:pPr>
              <w:pStyle w:val="TableText"/>
            </w:pPr>
            <w:r w:rsidRPr="00683FF0">
              <w:rPr>
                <w:b/>
                <w:bCs/>
              </w:rPr>
              <w:t>Responsible agenc</w:t>
            </w:r>
            <w:r w:rsidR="00172F7A" w:rsidRPr="00683FF0">
              <w:rPr>
                <w:b/>
                <w:bCs/>
              </w:rPr>
              <w:t>ies</w:t>
            </w:r>
            <w:r w:rsidRPr="00683FF0">
              <w:rPr>
                <w:b/>
                <w:bCs/>
              </w:rPr>
              <w:t xml:space="preserve">: </w:t>
            </w:r>
            <w:r w:rsidRPr="00683FF0">
              <w:t>Ministry of Business, Innovation and Employment, Ministry of Social Development</w:t>
            </w:r>
          </w:p>
          <w:p w14:paraId="461F6C2D" w14:textId="7C61CED9" w:rsidR="007F7EAA" w:rsidRPr="00683FF0" w:rsidRDefault="356DD2E0" w:rsidP="003A0353">
            <w:pPr>
              <w:pStyle w:val="TableText"/>
              <w:spacing w:before="0"/>
            </w:pPr>
            <w:r w:rsidRPr="00683FF0">
              <w:rPr>
                <w:b/>
                <w:bCs/>
              </w:rPr>
              <w:t>Responsible Minister</w:t>
            </w:r>
            <w:r w:rsidR="00172F7A" w:rsidRPr="00683FF0">
              <w:rPr>
                <w:b/>
                <w:bCs/>
              </w:rPr>
              <w:t>s</w:t>
            </w:r>
            <w:r w:rsidRPr="00683FF0">
              <w:rPr>
                <w:b/>
                <w:bCs/>
              </w:rPr>
              <w:t xml:space="preserve">: </w:t>
            </w:r>
            <w:r w:rsidR="28F154EE" w:rsidRPr="00683FF0">
              <w:t xml:space="preserve">Minister for </w:t>
            </w:r>
            <w:r w:rsidR="6B77D53C" w:rsidRPr="00683FF0">
              <w:t>Economic</w:t>
            </w:r>
            <w:r w:rsidR="28F154EE" w:rsidRPr="00683FF0">
              <w:t xml:space="preserve"> and Regional Development</w:t>
            </w:r>
            <w:r w:rsidR="1AC1B882" w:rsidRPr="00683FF0">
              <w:t xml:space="preserve"> and the Minister for Social Development and Employment</w:t>
            </w:r>
          </w:p>
          <w:p w14:paraId="610C7555" w14:textId="4FD4B2E5" w:rsidR="007F7EAA" w:rsidRPr="00683FF0" w:rsidRDefault="007F7EAA" w:rsidP="003A0353">
            <w:pPr>
              <w:pStyle w:val="TableText"/>
              <w:spacing w:before="0"/>
              <w:rPr>
                <w:b/>
                <w:bCs/>
              </w:rPr>
            </w:pPr>
            <w:r w:rsidRPr="00683FF0">
              <w:rPr>
                <w:b/>
                <w:bCs/>
              </w:rPr>
              <w:t xml:space="preserve">Timeline: </w:t>
            </w:r>
            <w:r w:rsidR="356DD2E0" w:rsidRPr="00683FF0">
              <w:t xml:space="preserve">2022–24 </w:t>
            </w:r>
          </w:p>
        </w:tc>
      </w:tr>
    </w:tbl>
    <w:p w14:paraId="15F3C8D6" w14:textId="62CD5CC0" w:rsidR="50E302AE" w:rsidRPr="00683FF0" w:rsidRDefault="50E302AE" w:rsidP="00627626">
      <w:pPr>
        <w:pStyle w:val="BodyText"/>
      </w:pPr>
    </w:p>
    <w:p w14:paraId="50620747" w14:textId="77777777" w:rsidR="00627626" w:rsidRPr="00683FF0" w:rsidRDefault="00627626" w:rsidP="00627626">
      <w:pPr>
        <w:pStyle w:val="BodyText"/>
      </w:pPr>
      <w:r w:rsidRPr="00683FF0">
        <w:br w:type="page"/>
      </w:r>
    </w:p>
    <w:p w14:paraId="26969CB7" w14:textId="43B26892" w:rsidR="008636EF" w:rsidRPr="00683FF0" w:rsidRDefault="00180B6A" w:rsidP="00627626">
      <w:pPr>
        <w:pStyle w:val="Heading1"/>
      </w:pPr>
      <w:bookmarkStart w:id="59" w:name="_Toc103175843"/>
      <w:bookmarkStart w:id="60" w:name="_Toc103778806"/>
      <w:r w:rsidRPr="00683FF0">
        <w:lastRenderedPageBreak/>
        <w:t>Recommendations 29</w:t>
      </w:r>
      <w:r w:rsidR="00E93D73" w:rsidRPr="00683FF0">
        <w:t>–</w:t>
      </w:r>
      <w:r w:rsidRPr="00683FF0">
        <w:t xml:space="preserve">33: </w:t>
      </w:r>
      <w:r w:rsidR="00627626" w:rsidRPr="00683FF0">
        <w:br/>
      </w:r>
      <w:r w:rsidR="00FB7317" w:rsidRPr="00683FF0">
        <w:t>The global 1.5°C effort and Nationally Determined Contribution for Aotearoa</w:t>
      </w:r>
      <w:bookmarkEnd w:id="59"/>
      <w:bookmarkEnd w:id="60"/>
      <w:r w:rsidR="00FB7317" w:rsidRPr="00683FF0">
        <w:t xml:space="preserve"> </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627626" w:rsidRPr="00683FF0" w14:paraId="66EDFFC7" w14:textId="77777777" w:rsidTr="00627626">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7B06E44E" w14:textId="07C794F4" w:rsidR="008636EF" w:rsidRPr="00683FF0" w:rsidRDefault="008636EF" w:rsidP="00627626">
            <w:pPr>
              <w:pStyle w:val="TableTextbold"/>
              <w:rPr>
                <w:color w:val="FFFFFF" w:themeColor="background1"/>
              </w:rPr>
            </w:pPr>
            <w:r w:rsidRPr="00683FF0">
              <w:rPr>
                <w:color w:val="FFFFFF" w:themeColor="background1"/>
              </w:rPr>
              <w:t xml:space="preserve">Report </w:t>
            </w:r>
            <w:r w:rsidR="00792092"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52717DA5" w14:textId="0EA9FBD5" w:rsidR="008636EF" w:rsidRPr="00683FF0" w:rsidRDefault="008636EF" w:rsidP="00627626">
            <w:pPr>
              <w:pStyle w:val="TableTextbold"/>
              <w:rPr>
                <w:color w:val="FFFFFF" w:themeColor="background1"/>
              </w:rPr>
            </w:pPr>
            <w:r w:rsidRPr="00683FF0">
              <w:rPr>
                <w:color w:val="FFFFFF" w:themeColor="background1"/>
              </w:rPr>
              <w:t xml:space="preserve">Government </w:t>
            </w:r>
            <w:r w:rsidR="00792092" w:rsidRPr="00683FF0">
              <w:rPr>
                <w:color w:val="FFFFFF" w:themeColor="background1"/>
              </w:rPr>
              <w:t>r</w:t>
            </w:r>
            <w:r w:rsidRPr="00683FF0">
              <w:rPr>
                <w:color w:val="FFFFFF" w:themeColor="background1"/>
              </w:rPr>
              <w:t>esponse</w:t>
            </w:r>
          </w:p>
        </w:tc>
      </w:tr>
      <w:tr w:rsidR="008636EF" w:rsidRPr="00683FF0" w14:paraId="0313F39F" w14:textId="77777777" w:rsidTr="00627626">
        <w:tc>
          <w:tcPr>
            <w:tcW w:w="4508" w:type="dxa"/>
            <w:tcBorders>
              <w:top w:val="single" w:sz="4" w:space="0" w:color="1B556B" w:themeColor="text2"/>
            </w:tcBorders>
            <w:shd w:val="clear" w:color="auto" w:fill="auto"/>
          </w:tcPr>
          <w:p w14:paraId="537A5127" w14:textId="29F18DFF" w:rsidR="008636EF" w:rsidRPr="00683FF0" w:rsidRDefault="008636EF" w:rsidP="00627626">
            <w:pPr>
              <w:pStyle w:val="TableTextbold"/>
              <w:spacing w:before="40"/>
              <w:rPr>
                <w:rFonts w:cstheme="minorHAnsi"/>
              </w:rPr>
            </w:pPr>
            <w:r w:rsidRPr="00683FF0">
              <w:rPr>
                <w:rFonts w:cstheme="minorHAnsi"/>
              </w:rPr>
              <w:t>Recommendation 29 – C</w:t>
            </w:r>
            <w:r w:rsidRPr="00683FF0">
              <w:t>ompatibility of the NDC with contributing to the global 1.5°C effort</w:t>
            </w:r>
            <w:r w:rsidR="007F7EAA" w:rsidRPr="00683FF0">
              <w:t xml:space="preserve">. </w:t>
            </w:r>
            <w:r w:rsidRPr="00683FF0">
              <w:t>We advise that the first NDC is not compatible with Aotearoa making a contribution to global efforts under the Paris Agreement to limit the increase in global average temperature to 1.5°C above preindustrial levels.</w:t>
            </w:r>
          </w:p>
        </w:tc>
        <w:tc>
          <w:tcPr>
            <w:tcW w:w="4508" w:type="dxa"/>
            <w:tcBorders>
              <w:top w:val="single" w:sz="4" w:space="0" w:color="1B556B" w:themeColor="text2"/>
            </w:tcBorders>
            <w:shd w:val="clear" w:color="auto" w:fill="auto"/>
          </w:tcPr>
          <w:p w14:paraId="24BA2AC4" w14:textId="60993C5C" w:rsidR="00F570F0" w:rsidRPr="00683FF0" w:rsidRDefault="00AC3114" w:rsidP="00627626">
            <w:pPr>
              <w:pStyle w:val="TableText"/>
              <w:spacing w:before="40" w:after="40"/>
            </w:pPr>
            <w:r w:rsidRPr="00683FF0">
              <w:rPr>
                <w:b/>
                <w:bCs/>
              </w:rPr>
              <w:t xml:space="preserve">The Government agrees with this recommendation. </w:t>
            </w:r>
            <w:r w:rsidR="00F570F0" w:rsidRPr="00683FF0">
              <w:t>In 2021, Government updated</w:t>
            </w:r>
            <w:r w:rsidR="00630323" w:rsidRPr="00683FF0">
              <w:t xml:space="preserve"> Aotearoa</w:t>
            </w:r>
            <w:r w:rsidR="00F570F0" w:rsidRPr="00683FF0">
              <w:t xml:space="preserve"> New Zealand’s 2021</w:t>
            </w:r>
            <w:r w:rsidR="00354BE2" w:rsidRPr="00683FF0">
              <w:t>–</w:t>
            </w:r>
            <w:r w:rsidR="00F570F0" w:rsidRPr="00683FF0">
              <w:t>30 NDC to improve its compatibility with the 1.5˚C temperature limitation goal. </w:t>
            </w:r>
          </w:p>
          <w:p w14:paraId="56A9F8FA" w14:textId="261F08AD" w:rsidR="00F570F0" w:rsidRPr="00683FF0" w:rsidRDefault="00630323" w:rsidP="00627626">
            <w:pPr>
              <w:pStyle w:val="TableText"/>
              <w:spacing w:before="40"/>
              <w:rPr>
                <w:rFonts w:cstheme="minorHAnsi"/>
              </w:rPr>
            </w:pPr>
            <w:r w:rsidRPr="00683FF0">
              <w:rPr>
                <w:rFonts w:cstheme="minorHAnsi"/>
              </w:rPr>
              <w:t xml:space="preserve">Aotearoa </w:t>
            </w:r>
            <w:r w:rsidR="00F570F0" w:rsidRPr="00683FF0">
              <w:rPr>
                <w:rFonts w:cstheme="minorHAnsi"/>
              </w:rPr>
              <w:t>New Zealand’s 2021</w:t>
            </w:r>
            <w:r w:rsidR="00354BE2" w:rsidRPr="00683FF0">
              <w:rPr>
                <w:rFonts w:cstheme="minorHAnsi"/>
              </w:rPr>
              <w:t>–</w:t>
            </w:r>
            <w:r w:rsidR="00F570F0" w:rsidRPr="00683FF0">
              <w:rPr>
                <w:rFonts w:cstheme="minorHAnsi"/>
              </w:rPr>
              <w:t>30 NDC is now for a 50% reduction on 2005 levels by 2030. The full NDC including information for clarity, transparency and understanding is available here.</w:t>
            </w:r>
          </w:p>
          <w:p w14:paraId="6265040D" w14:textId="78B6AD5B" w:rsidR="00F570F0" w:rsidRPr="00683FF0" w:rsidRDefault="00F570F0" w:rsidP="00627626">
            <w:pPr>
              <w:pStyle w:val="TableText"/>
              <w:spacing w:before="0"/>
              <w:rPr>
                <w:b/>
                <w:bCs/>
              </w:rPr>
            </w:pPr>
            <w:r w:rsidRPr="00683FF0">
              <w:rPr>
                <w:b/>
                <w:bCs/>
              </w:rPr>
              <w:t xml:space="preserve">Responsible agency: </w:t>
            </w:r>
            <w:r w:rsidRPr="00683FF0">
              <w:t>Ministry for the Environment</w:t>
            </w:r>
          </w:p>
          <w:p w14:paraId="58595C22" w14:textId="42842264" w:rsidR="00F570F0" w:rsidRPr="00683FF0" w:rsidRDefault="00F570F0" w:rsidP="00627626">
            <w:pPr>
              <w:pStyle w:val="TableText"/>
              <w:spacing w:before="0"/>
              <w:rPr>
                <w:b/>
                <w:bCs/>
              </w:rPr>
            </w:pPr>
            <w:r w:rsidRPr="00683FF0">
              <w:rPr>
                <w:b/>
                <w:bCs/>
              </w:rPr>
              <w:t xml:space="preserve">Responsible Minister: </w:t>
            </w:r>
            <w:r w:rsidRPr="00683FF0">
              <w:t>Minister o</w:t>
            </w:r>
            <w:r w:rsidR="00AC3114" w:rsidRPr="00683FF0">
              <w:t>f</w:t>
            </w:r>
            <w:r w:rsidRPr="00683FF0">
              <w:t xml:space="preserve"> Climate Change</w:t>
            </w:r>
          </w:p>
          <w:p w14:paraId="16883989" w14:textId="767A0795" w:rsidR="00F570F0" w:rsidRPr="00683FF0" w:rsidRDefault="00F570F0" w:rsidP="00627626">
            <w:pPr>
              <w:pStyle w:val="TableText"/>
              <w:spacing w:before="0"/>
              <w:rPr>
                <w:rFonts w:cstheme="minorHAnsi"/>
                <w:szCs w:val="18"/>
              </w:rPr>
            </w:pPr>
            <w:r w:rsidRPr="00683FF0">
              <w:rPr>
                <w:b/>
                <w:bCs/>
              </w:rPr>
              <w:t xml:space="preserve">Timeline: </w:t>
            </w:r>
            <w:r w:rsidRPr="00683FF0">
              <w:rPr>
                <w:rFonts w:cstheme="minorHAnsi"/>
              </w:rPr>
              <w:t>Completed</w:t>
            </w:r>
          </w:p>
        </w:tc>
      </w:tr>
    </w:tbl>
    <w:p w14:paraId="2F75CCBD" w14:textId="77777777" w:rsidR="008636EF" w:rsidRPr="00683FF0" w:rsidRDefault="008636EF" w:rsidP="00627626">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627626" w:rsidRPr="00683FF0" w14:paraId="665D1F08" w14:textId="77777777" w:rsidTr="00627626">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553C4E6B" w14:textId="0F9CA433" w:rsidR="008636EF" w:rsidRPr="00683FF0" w:rsidRDefault="008636EF" w:rsidP="00627626">
            <w:pPr>
              <w:pStyle w:val="TableTextbold"/>
              <w:rPr>
                <w:color w:val="FFFFFF" w:themeColor="background1"/>
              </w:rPr>
            </w:pPr>
            <w:r w:rsidRPr="00683FF0">
              <w:rPr>
                <w:color w:val="FFFFFF" w:themeColor="background1"/>
              </w:rPr>
              <w:t xml:space="preserve">Report </w:t>
            </w:r>
            <w:r w:rsidR="00354BE2"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059954F6" w14:textId="0753F9B8" w:rsidR="008636EF" w:rsidRPr="00683FF0" w:rsidRDefault="008636EF" w:rsidP="00627626">
            <w:pPr>
              <w:pStyle w:val="TableTextbold"/>
              <w:rPr>
                <w:color w:val="FFFFFF" w:themeColor="background1"/>
              </w:rPr>
            </w:pPr>
            <w:r w:rsidRPr="00683FF0">
              <w:rPr>
                <w:color w:val="FFFFFF" w:themeColor="background1"/>
              </w:rPr>
              <w:t xml:space="preserve">Government </w:t>
            </w:r>
            <w:r w:rsidR="00354BE2" w:rsidRPr="00683FF0">
              <w:rPr>
                <w:color w:val="FFFFFF" w:themeColor="background1"/>
              </w:rPr>
              <w:t>r</w:t>
            </w:r>
            <w:r w:rsidRPr="00683FF0">
              <w:rPr>
                <w:color w:val="FFFFFF" w:themeColor="background1"/>
              </w:rPr>
              <w:t>esponse</w:t>
            </w:r>
          </w:p>
        </w:tc>
      </w:tr>
      <w:tr w:rsidR="008636EF" w:rsidRPr="00683FF0" w14:paraId="1CD9FF66" w14:textId="77777777" w:rsidTr="00627626">
        <w:tc>
          <w:tcPr>
            <w:tcW w:w="4508" w:type="dxa"/>
            <w:tcBorders>
              <w:top w:val="single" w:sz="4" w:space="0" w:color="1B556B" w:themeColor="text2"/>
            </w:tcBorders>
            <w:shd w:val="clear" w:color="auto" w:fill="auto"/>
          </w:tcPr>
          <w:p w14:paraId="1D7C628E" w14:textId="77777777" w:rsidR="008636EF" w:rsidRPr="00683FF0" w:rsidRDefault="008636EF" w:rsidP="00627626">
            <w:pPr>
              <w:pStyle w:val="TableTextbold"/>
              <w:spacing w:before="40" w:after="40"/>
              <w:rPr>
                <w:rFonts w:cstheme="minorHAnsi"/>
              </w:rPr>
            </w:pPr>
            <w:r w:rsidRPr="00683FF0">
              <w:rPr>
                <w:rFonts w:cstheme="minorHAnsi"/>
              </w:rPr>
              <w:t xml:space="preserve">Recommendation 30 – </w:t>
            </w:r>
            <w:r w:rsidRPr="00683FF0">
              <w:t>Making the NDC compatible with contributing to the global 1.5°C effort</w:t>
            </w:r>
          </w:p>
        </w:tc>
        <w:tc>
          <w:tcPr>
            <w:tcW w:w="4508" w:type="dxa"/>
            <w:tcBorders>
              <w:top w:val="single" w:sz="4" w:space="0" w:color="1B556B" w:themeColor="text2"/>
            </w:tcBorders>
            <w:shd w:val="clear" w:color="auto" w:fill="auto"/>
          </w:tcPr>
          <w:p w14:paraId="47DDA399" w14:textId="77777777" w:rsidR="008636EF" w:rsidRPr="00683FF0" w:rsidRDefault="008636EF" w:rsidP="00627626">
            <w:pPr>
              <w:pStyle w:val="TableText"/>
            </w:pPr>
          </w:p>
        </w:tc>
      </w:tr>
      <w:tr w:rsidR="008636EF" w:rsidRPr="00683FF0" w14:paraId="2317A67F" w14:textId="77777777" w:rsidTr="00627626">
        <w:tc>
          <w:tcPr>
            <w:tcW w:w="4508" w:type="dxa"/>
            <w:shd w:val="clear" w:color="auto" w:fill="auto"/>
          </w:tcPr>
          <w:p w14:paraId="7227A539" w14:textId="20679348" w:rsidR="008636EF" w:rsidRPr="00683FF0" w:rsidRDefault="008636EF" w:rsidP="00627626">
            <w:pPr>
              <w:pStyle w:val="TableText"/>
              <w:spacing w:before="40"/>
              <w:rPr>
                <w:rFonts w:cstheme="minorHAnsi"/>
              </w:rPr>
            </w:pPr>
            <w:r w:rsidRPr="00683FF0">
              <w:rPr>
                <w:rFonts w:cstheme="minorHAnsi"/>
              </w:rPr>
              <w:t>30.1</w:t>
            </w:r>
            <w:r w:rsidR="00211FB2" w:rsidRPr="00683FF0">
              <w:rPr>
                <w:rFonts w:cstheme="minorHAnsi"/>
              </w:rPr>
              <w:t>.</w:t>
            </w:r>
            <w:r w:rsidRPr="00683FF0">
              <w:rPr>
                <w:rFonts w:cstheme="minorHAnsi"/>
              </w:rPr>
              <w:t xml:space="preserve"> </w:t>
            </w:r>
            <w:r w:rsidRPr="00683FF0">
              <w:t>We recommend that to make the NDC more likely to be compatible with contributing to global efforts under the Paris Agreement to limit warming to 1.5°C above pre-industrial levels, the contribution Aotearoa makes over the NDC period should reflect a reduction to net emissions of much more than 36% below 2005 gross levels by 2030, with the likelihood of compatibility increasing as the NDC is strengthened further.</w:t>
            </w:r>
          </w:p>
        </w:tc>
        <w:tc>
          <w:tcPr>
            <w:tcW w:w="4508" w:type="dxa"/>
            <w:shd w:val="clear" w:color="auto" w:fill="auto"/>
          </w:tcPr>
          <w:p w14:paraId="3FA1A435" w14:textId="266AD5CB" w:rsidR="00F570F0" w:rsidRPr="00683FF0" w:rsidRDefault="00211FB2" w:rsidP="00627626">
            <w:pPr>
              <w:pStyle w:val="TableText"/>
              <w:spacing w:before="40" w:after="40"/>
              <w:rPr>
                <w:rFonts w:eastAsia="Times New Roman"/>
              </w:rPr>
            </w:pPr>
            <w:r w:rsidRPr="00683FF0">
              <w:rPr>
                <w:b/>
                <w:bCs/>
              </w:rPr>
              <w:t xml:space="preserve">30.1. </w:t>
            </w:r>
            <w:r w:rsidR="00AC3114" w:rsidRPr="00683FF0">
              <w:rPr>
                <w:b/>
                <w:bCs/>
              </w:rPr>
              <w:t xml:space="preserve">The Government agrees with this recommendation. </w:t>
            </w:r>
            <w:r w:rsidR="00F570F0" w:rsidRPr="00683FF0">
              <w:rPr>
                <w:rFonts w:eastAsia="Times New Roman"/>
              </w:rPr>
              <w:t xml:space="preserve">In 2021, Government updated </w:t>
            </w:r>
            <w:r w:rsidR="00354BE2" w:rsidRPr="00683FF0">
              <w:rPr>
                <w:rFonts w:eastAsia="Times New Roman"/>
              </w:rPr>
              <w:t xml:space="preserve">Aotearoa </w:t>
            </w:r>
            <w:r w:rsidR="00F570F0" w:rsidRPr="00683FF0">
              <w:rPr>
                <w:rFonts w:eastAsia="Times New Roman"/>
              </w:rPr>
              <w:t>New Zealand’s 2021</w:t>
            </w:r>
            <w:r w:rsidR="00354BE2" w:rsidRPr="00683FF0">
              <w:rPr>
                <w:rFonts w:eastAsia="Times New Roman"/>
              </w:rPr>
              <w:t>–</w:t>
            </w:r>
            <w:r w:rsidR="00F570F0" w:rsidRPr="00683FF0">
              <w:rPr>
                <w:rFonts w:eastAsia="Times New Roman"/>
              </w:rPr>
              <w:t>30 NDC to improve its compatibility with the 1.5˚C temperature limitation goal. </w:t>
            </w:r>
          </w:p>
          <w:p w14:paraId="2C59D473" w14:textId="33DD70DA" w:rsidR="00F570F0" w:rsidRPr="00683FF0" w:rsidRDefault="00630323" w:rsidP="00627626">
            <w:pPr>
              <w:pStyle w:val="TableText"/>
              <w:spacing w:before="40" w:after="40"/>
              <w:rPr>
                <w:rFonts w:eastAsia="Times New Roman"/>
              </w:rPr>
            </w:pPr>
            <w:r w:rsidRPr="00683FF0">
              <w:rPr>
                <w:rFonts w:eastAsia="Times New Roman"/>
              </w:rPr>
              <w:t xml:space="preserve">Aotearoa </w:t>
            </w:r>
            <w:r w:rsidR="00F570F0" w:rsidRPr="00683FF0">
              <w:rPr>
                <w:rFonts w:eastAsia="Times New Roman"/>
              </w:rPr>
              <w:t>New Zealand’s 2021</w:t>
            </w:r>
            <w:r w:rsidR="00354BE2" w:rsidRPr="00683FF0">
              <w:rPr>
                <w:rFonts w:eastAsia="Times New Roman"/>
              </w:rPr>
              <w:t>–</w:t>
            </w:r>
            <w:r w:rsidR="00F570F0" w:rsidRPr="00683FF0">
              <w:rPr>
                <w:rFonts w:eastAsia="Times New Roman"/>
              </w:rPr>
              <w:t>30 NDC is now for a 50% reduction on 2005 levels by 2030. The full NDC including information for clarity, transparency and understanding is available here.</w:t>
            </w:r>
          </w:p>
          <w:p w14:paraId="170B06B2" w14:textId="77777777" w:rsidR="00F570F0" w:rsidRPr="00683FF0" w:rsidRDefault="00F570F0" w:rsidP="00627626">
            <w:pPr>
              <w:pStyle w:val="TableText"/>
              <w:spacing w:before="0"/>
              <w:rPr>
                <w:b/>
                <w:bCs/>
              </w:rPr>
            </w:pPr>
            <w:r w:rsidRPr="00683FF0">
              <w:rPr>
                <w:b/>
                <w:bCs/>
              </w:rPr>
              <w:t xml:space="preserve">Responsible agency: </w:t>
            </w:r>
            <w:r w:rsidRPr="00683FF0">
              <w:t>Ministry for the Environment</w:t>
            </w:r>
          </w:p>
          <w:p w14:paraId="1D0CA9B7" w14:textId="5F0ED8B1" w:rsidR="00F570F0" w:rsidRPr="00683FF0" w:rsidRDefault="00F570F0" w:rsidP="00627626">
            <w:pPr>
              <w:pStyle w:val="TableText"/>
              <w:spacing w:before="0"/>
              <w:rPr>
                <w:b/>
                <w:bCs/>
              </w:rPr>
            </w:pPr>
            <w:r w:rsidRPr="00683FF0">
              <w:rPr>
                <w:b/>
                <w:bCs/>
              </w:rPr>
              <w:t xml:space="preserve">Responsible Minister: </w:t>
            </w:r>
            <w:r w:rsidRPr="00683FF0">
              <w:t xml:space="preserve">Minister </w:t>
            </w:r>
            <w:r w:rsidR="002F1286" w:rsidRPr="00683FF0">
              <w:t>of</w:t>
            </w:r>
            <w:r w:rsidRPr="00683FF0">
              <w:t xml:space="preserve"> Climate Change</w:t>
            </w:r>
          </w:p>
          <w:p w14:paraId="75FA6C3F" w14:textId="7FF07EB9" w:rsidR="008636EF" w:rsidRPr="00683FF0" w:rsidRDefault="00F570F0" w:rsidP="00627626">
            <w:pPr>
              <w:pStyle w:val="TableText"/>
              <w:spacing w:before="0"/>
            </w:pPr>
            <w:r w:rsidRPr="00683FF0">
              <w:rPr>
                <w:b/>
                <w:bCs/>
              </w:rPr>
              <w:t xml:space="preserve">Timeline: </w:t>
            </w:r>
            <w:r w:rsidRPr="00683FF0">
              <w:rPr>
                <w:rFonts w:eastAsia="Times New Roman"/>
              </w:rPr>
              <w:t>Completed</w:t>
            </w:r>
          </w:p>
        </w:tc>
      </w:tr>
      <w:tr w:rsidR="008636EF" w:rsidRPr="00683FF0" w14:paraId="0EDD6D1A" w14:textId="77777777" w:rsidTr="00627626">
        <w:tc>
          <w:tcPr>
            <w:tcW w:w="4508" w:type="dxa"/>
            <w:shd w:val="clear" w:color="auto" w:fill="auto"/>
          </w:tcPr>
          <w:p w14:paraId="5D5B287B" w14:textId="7D6D79B3" w:rsidR="008636EF" w:rsidRPr="00683FF0" w:rsidRDefault="008636EF" w:rsidP="00627626">
            <w:pPr>
              <w:pStyle w:val="TableText"/>
              <w:rPr>
                <w:rFonts w:cstheme="minorHAnsi"/>
              </w:rPr>
            </w:pPr>
            <w:r w:rsidRPr="00683FF0">
              <w:rPr>
                <w:rFonts w:cstheme="minorHAnsi"/>
              </w:rPr>
              <w:t>30.2</w:t>
            </w:r>
            <w:r w:rsidR="00211FB2" w:rsidRPr="00683FF0">
              <w:rPr>
                <w:rFonts w:cstheme="minorHAnsi"/>
              </w:rPr>
              <w:t>.</w:t>
            </w:r>
            <w:r w:rsidRPr="00683FF0">
              <w:rPr>
                <w:rFonts w:cstheme="minorHAnsi"/>
              </w:rPr>
              <w:t xml:space="preserve"> </w:t>
            </w:r>
            <w:r w:rsidRPr="00683FF0">
              <w:t>How much the NDC is strengthened beyond 36% should reflect the tolerance for climate and reputational risk and economic impact, and principles for effort sharing, which require political decisions. Any changes to the NDC should be developed in partnership with Iwi/Māori, to give effect to the principles of Te Tiriti o Waitangi/The Treaty of Waitangi and align with the He Ara Waiora framework.</w:t>
            </w:r>
          </w:p>
        </w:tc>
        <w:tc>
          <w:tcPr>
            <w:tcW w:w="4508" w:type="dxa"/>
            <w:shd w:val="clear" w:color="auto" w:fill="auto"/>
          </w:tcPr>
          <w:p w14:paraId="2E77B07B" w14:textId="65698A5E" w:rsidR="00F570F0" w:rsidRPr="00683FF0" w:rsidRDefault="00211FB2" w:rsidP="00627626">
            <w:pPr>
              <w:pStyle w:val="TableText"/>
            </w:pPr>
            <w:r w:rsidRPr="00683FF0">
              <w:rPr>
                <w:b/>
                <w:bCs/>
              </w:rPr>
              <w:t xml:space="preserve">30.2. </w:t>
            </w:r>
            <w:r w:rsidR="00AC3114" w:rsidRPr="00683FF0">
              <w:rPr>
                <w:b/>
                <w:bCs/>
              </w:rPr>
              <w:t xml:space="preserve">The Government agrees with this recommendation. </w:t>
            </w:r>
            <w:r w:rsidR="00F570F0" w:rsidRPr="00683FF0">
              <w:t xml:space="preserve">In 2021, Government updated </w:t>
            </w:r>
            <w:r w:rsidR="00630323" w:rsidRPr="00683FF0">
              <w:t xml:space="preserve">Aotearoa </w:t>
            </w:r>
            <w:r w:rsidR="00F570F0" w:rsidRPr="00683FF0">
              <w:t>New Zealand’s 2021</w:t>
            </w:r>
            <w:r w:rsidR="00630323" w:rsidRPr="00683FF0">
              <w:t>–</w:t>
            </w:r>
            <w:r w:rsidR="00F570F0" w:rsidRPr="00683FF0">
              <w:t>30 NDC to improve its compatibility with the 1.5˚C temperature limitation goal. </w:t>
            </w:r>
          </w:p>
          <w:p w14:paraId="3FDB6399" w14:textId="78A175A0" w:rsidR="00F570F0" w:rsidRPr="00683FF0" w:rsidRDefault="00630323" w:rsidP="00627626">
            <w:pPr>
              <w:pStyle w:val="TableText"/>
            </w:pPr>
            <w:r w:rsidRPr="00683FF0">
              <w:t xml:space="preserve">Aotearoa </w:t>
            </w:r>
            <w:r w:rsidR="00F570F0" w:rsidRPr="00683FF0">
              <w:t>New Zealand’s 2021</w:t>
            </w:r>
            <w:r w:rsidRPr="00683FF0">
              <w:t>–</w:t>
            </w:r>
            <w:r w:rsidR="00F570F0" w:rsidRPr="00683FF0">
              <w:t>30 NDC is now for a 50% reduction on 2005 levels by 2030. The full NDC including information for clarity, transparency and understanding is available here.</w:t>
            </w:r>
          </w:p>
          <w:p w14:paraId="4DD629E7" w14:textId="16ECDEAB" w:rsidR="00F570F0" w:rsidRPr="00683FF0" w:rsidRDefault="00F570F0" w:rsidP="00627626">
            <w:pPr>
              <w:pStyle w:val="TableText"/>
              <w:spacing w:before="0"/>
              <w:rPr>
                <w:b/>
                <w:bCs/>
              </w:rPr>
            </w:pPr>
            <w:r w:rsidRPr="00683FF0">
              <w:rPr>
                <w:b/>
                <w:bCs/>
              </w:rPr>
              <w:t xml:space="preserve">Responsible agency: </w:t>
            </w:r>
            <w:r w:rsidRPr="00683FF0">
              <w:t>Ministry for the Environment</w:t>
            </w:r>
          </w:p>
          <w:p w14:paraId="2C12629A" w14:textId="2FF2E7C3" w:rsidR="00F570F0" w:rsidRPr="00683FF0" w:rsidRDefault="00F570F0" w:rsidP="00627626">
            <w:pPr>
              <w:pStyle w:val="TableText"/>
              <w:spacing w:before="0"/>
              <w:rPr>
                <w:b/>
                <w:bCs/>
              </w:rPr>
            </w:pPr>
            <w:r w:rsidRPr="00683FF0">
              <w:rPr>
                <w:b/>
                <w:bCs/>
              </w:rPr>
              <w:t xml:space="preserve">Responsible Minister: </w:t>
            </w:r>
            <w:r w:rsidRPr="00683FF0">
              <w:t>Minister o</w:t>
            </w:r>
            <w:r w:rsidR="002F1286" w:rsidRPr="00683FF0">
              <w:t>f</w:t>
            </w:r>
            <w:r w:rsidRPr="00683FF0">
              <w:t xml:space="preserve"> Climate Change</w:t>
            </w:r>
          </w:p>
          <w:p w14:paraId="0D2CE86E" w14:textId="3E966ABD" w:rsidR="008636EF" w:rsidRPr="00683FF0" w:rsidRDefault="00F570F0" w:rsidP="00627626">
            <w:pPr>
              <w:pStyle w:val="TableText"/>
              <w:spacing w:before="0"/>
              <w:rPr>
                <w:rFonts w:cstheme="minorHAnsi"/>
                <w:szCs w:val="18"/>
              </w:rPr>
            </w:pPr>
            <w:r w:rsidRPr="00683FF0">
              <w:rPr>
                <w:b/>
                <w:bCs/>
              </w:rPr>
              <w:t xml:space="preserve">Timeline: </w:t>
            </w:r>
            <w:r w:rsidRPr="00683FF0">
              <w:rPr>
                <w:rFonts w:eastAsia="Times New Roman"/>
              </w:rPr>
              <w:t xml:space="preserve">Completed </w:t>
            </w:r>
          </w:p>
        </w:tc>
      </w:tr>
    </w:tbl>
    <w:p w14:paraId="037EAF50" w14:textId="77777777" w:rsidR="00F570F0" w:rsidRPr="00683FF0" w:rsidRDefault="00F570F0" w:rsidP="00627626">
      <w:pPr>
        <w:pStyle w:val="BodyText"/>
        <w:spacing w:before="0" w:after="0"/>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5E1F74" w:rsidRPr="00683FF0" w14:paraId="717CC836" w14:textId="77777777" w:rsidTr="005E1F74">
        <w:trPr>
          <w:trHeight w:val="340"/>
        </w:trPr>
        <w:tc>
          <w:tcPr>
            <w:tcW w:w="4253" w:type="dxa"/>
            <w:tcBorders>
              <w:top w:val="single" w:sz="4" w:space="0" w:color="1B556B" w:themeColor="text2"/>
              <w:bottom w:val="nil"/>
            </w:tcBorders>
            <w:shd w:val="clear" w:color="auto" w:fill="1B556B" w:themeFill="text2"/>
            <w:vAlign w:val="center"/>
          </w:tcPr>
          <w:p w14:paraId="5D7FEEE6" w14:textId="652A6E70" w:rsidR="008636EF" w:rsidRPr="00683FF0" w:rsidRDefault="008636EF" w:rsidP="005E1F74">
            <w:pPr>
              <w:pStyle w:val="TableTextbold"/>
              <w:rPr>
                <w:color w:val="FFFFFF" w:themeColor="background1"/>
              </w:rPr>
            </w:pPr>
            <w:r w:rsidRPr="00683FF0">
              <w:rPr>
                <w:color w:val="FFFFFF" w:themeColor="background1"/>
              </w:rPr>
              <w:lastRenderedPageBreak/>
              <w:t xml:space="preserve">Report </w:t>
            </w:r>
            <w:r w:rsidR="0032639A" w:rsidRPr="00683FF0">
              <w:rPr>
                <w:color w:val="FFFFFF" w:themeColor="background1"/>
              </w:rPr>
              <w:t>r</w:t>
            </w:r>
            <w:r w:rsidRPr="00683FF0">
              <w:rPr>
                <w:color w:val="FFFFFF" w:themeColor="background1"/>
              </w:rPr>
              <w:t>ecommendation</w:t>
            </w:r>
          </w:p>
        </w:tc>
        <w:tc>
          <w:tcPr>
            <w:tcW w:w="4252" w:type="dxa"/>
            <w:tcBorders>
              <w:top w:val="single" w:sz="4" w:space="0" w:color="1B556B" w:themeColor="text2"/>
              <w:bottom w:val="nil"/>
            </w:tcBorders>
            <w:shd w:val="clear" w:color="auto" w:fill="1B556B" w:themeFill="text2"/>
            <w:vAlign w:val="center"/>
          </w:tcPr>
          <w:p w14:paraId="0FFCD4CF" w14:textId="27DBAD82" w:rsidR="008636EF" w:rsidRPr="00683FF0" w:rsidRDefault="008636EF" w:rsidP="005E1F74">
            <w:pPr>
              <w:pStyle w:val="TableTextbold"/>
              <w:rPr>
                <w:color w:val="FFFFFF" w:themeColor="background1"/>
              </w:rPr>
            </w:pPr>
            <w:r w:rsidRPr="00683FF0">
              <w:rPr>
                <w:color w:val="FFFFFF" w:themeColor="background1"/>
              </w:rPr>
              <w:t xml:space="preserve">Government </w:t>
            </w:r>
            <w:r w:rsidR="0032639A" w:rsidRPr="00683FF0">
              <w:rPr>
                <w:color w:val="FFFFFF" w:themeColor="background1"/>
              </w:rPr>
              <w:t>r</w:t>
            </w:r>
            <w:r w:rsidRPr="00683FF0">
              <w:rPr>
                <w:color w:val="FFFFFF" w:themeColor="background1"/>
              </w:rPr>
              <w:t>esponse</w:t>
            </w:r>
          </w:p>
        </w:tc>
      </w:tr>
      <w:tr w:rsidR="008636EF" w:rsidRPr="00683FF0" w14:paraId="17F581C4" w14:textId="77777777" w:rsidTr="005E1F74">
        <w:tc>
          <w:tcPr>
            <w:tcW w:w="4253" w:type="dxa"/>
            <w:tcBorders>
              <w:top w:val="nil"/>
            </w:tcBorders>
            <w:shd w:val="clear" w:color="auto" w:fill="auto"/>
          </w:tcPr>
          <w:p w14:paraId="5B19B69A" w14:textId="77777777" w:rsidR="008636EF" w:rsidRPr="00683FF0" w:rsidRDefault="008636EF" w:rsidP="005E1F74">
            <w:pPr>
              <w:pStyle w:val="TableTextbold"/>
              <w:spacing w:after="0"/>
            </w:pPr>
            <w:r w:rsidRPr="00683FF0">
              <w:rPr>
                <w:rFonts w:cstheme="minorHAnsi"/>
              </w:rPr>
              <w:t xml:space="preserve">Recommendation 31 – </w:t>
            </w:r>
            <w:r w:rsidRPr="00683FF0">
              <w:t>Planning and reporting on the NDC</w:t>
            </w:r>
          </w:p>
          <w:p w14:paraId="047F1CDF" w14:textId="77777777" w:rsidR="008636EF" w:rsidRPr="00683FF0" w:rsidRDefault="008636EF" w:rsidP="003A0353">
            <w:pPr>
              <w:pStyle w:val="TableText"/>
              <w:spacing w:after="0"/>
              <w:rPr>
                <w:rFonts w:cstheme="minorHAnsi"/>
              </w:rPr>
            </w:pPr>
            <w:r w:rsidRPr="00683FF0">
              <w:t>We recommend that the Government should:</w:t>
            </w:r>
          </w:p>
        </w:tc>
        <w:tc>
          <w:tcPr>
            <w:tcW w:w="4252" w:type="dxa"/>
            <w:tcBorders>
              <w:top w:val="nil"/>
            </w:tcBorders>
            <w:shd w:val="clear" w:color="auto" w:fill="auto"/>
          </w:tcPr>
          <w:p w14:paraId="1B835235" w14:textId="77777777" w:rsidR="008636EF" w:rsidRPr="00683FF0" w:rsidRDefault="008636EF" w:rsidP="00DA00A6">
            <w:pPr>
              <w:rPr>
                <w:rFonts w:cstheme="minorHAnsi"/>
                <w:sz w:val="18"/>
                <w:szCs w:val="18"/>
              </w:rPr>
            </w:pPr>
          </w:p>
        </w:tc>
      </w:tr>
      <w:tr w:rsidR="008636EF" w:rsidRPr="00683FF0" w14:paraId="5A5310C1" w14:textId="77777777" w:rsidTr="005E1F74">
        <w:tc>
          <w:tcPr>
            <w:tcW w:w="4253" w:type="dxa"/>
            <w:shd w:val="clear" w:color="auto" w:fill="auto"/>
          </w:tcPr>
          <w:p w14:paraId="407FECC2" w14:textId="0B7CE33D" w:rsidR="008636EF" w:rsidRPr="00683FF0" w:rsidRDefault="008636EF" w:rsidP="005E1F74">
            <w:pPr>
              <w:pStyle w:val="TableText"/>
              <w:rPr>
                <w:rFonts w:cstheme="minorHAnsi"/>
              </w:rPr>
            </w:pPr>
            <w:r w:rsidRPr="00683FF0">
              <w:rPr>
                <w:rFonts w:cstheme="minorHAnsi"/>
              </w:rPr>
              <w:t>31.1</w:t>
            </w:r>
            <w:r w:rsidR="00211FB2" w:rsidRPr="00683FF0">
              <w:rPr>
                <w:rFonts w:cstheme="minorHAnsi"/>
              </w:rPr>
              <w:t>.</w:t>
            </w:r>
            <w:r w:rsidRPr="00683FF0">
              <w:rPr>
                <w:rFonts w:cstheme="minorHAnsi"/>
              </w:rPr>
              <w:t xml:space="preserve"> </w:t>
            </w:r>
            <w:r w:rsidRPr="00683FF0">
              <w:t>In making its decisions, continue to enable the NDC to be met through a combination of domestic emission reductions, domestic removals, and use of international carbon markets.</w:t>
            </w:r>
          </w:p>
        </w:tc>
        <w:tc>
          <w:tcPr>
            <w:tcW w:w="4252" w:type="dxa"/>
            <w:shd w:val="clear" w:color="auto" w:fill="auto"/>
          </w:tcPr>
          <w:p w14:paraId="06AA9CEE" w14:textId="7C212484" w:rsidR="00CD585A" w:rsidRPr="00683FF0" w:rsidRDefault="00211FB2" w:rsidP="005E1F74">
            <w:pPr>
              <w:pStyle w:val="TableText"/>
              <w:rPr>
                <w:rFonts w:eastAsia="Times New Roman"/>
              </w:rPr>
            </w:pPr>
            <w:r w:rsidRPr="00683FF0">
              <w:rPr>
                <w:b/>
                <w:bCs/>
              </w:rPr>
              <w:t xml:space="preserve">31.1. </w:t>
            </w:r>
            <w:r w:rsidR="00AC3114" w:rsidRPr="00683FF0">
              <w:rPr>
                <w:b/>
                <w:bCs/>
              </w:rPr>
              <w:t xml:space="preserve">The Government agrees with this recommendation. </w:t>
            </w:r>
            <w:r w:rsidR="007672F9" w:rsidRPr="00683FF0">
              <w:t>Aotearoa</w:t>
            </w:r>
            <w:r w:rsidR="007672F9" w:rsidRPr="00683FF0">
              <w:rPr>
                <w:b/>
                <w:bCs/>
              </w:rPr>
              <w:t xml:space="preserve"> </w:t>
            </w:r>
            <w:r w:rsidR="00F570F0" w:rsidRPr="00683FF0">
              <w:rPr>
                <w:rFonts w:eastAsia="Times New Roman"/>
              </w:rPr>
              <w:t xml:space="preserve">New Zealand’s updated NDC reconfirms that a combination of domestic emissions reductions and removals, and the use of offshore mitigation may be used to achieve the NDC. </w:t>
            </w:r>
            <w:r w:rsidR="00E93D73" w:rsidRPr="00683FF0">
              <w:rPr>
                <w:rFonts w:eastAsia="Times New Roman"/>
              </w:rPr>
              <w:t>Aotearoa</w:t>
            </w:r>
            <w:r w:rsidR="00F570F0" w:rsidRPr="00683FF0">
              <w:rPr>
                <w:rFonts w:eastAsia="Times New Roman"/>
              </w:rPr>
              <w:t xml:space="preserve"> will prioriti</w:t>
            </w:r>
            <w:r w:rsidR="00E93D73" w:rsidRPr="00683FF0">
              <w:rPr>
                <w:rFonts w:eastAsia="Times New Roman"/>
              </w:rPr>
              <w:t>se</w:t>
            </w:r>
            <w:r w:rsidR="00F570F0" w:rsidRPr="00683FF0">
              <w:rPr>
                <w:rFonts w:eastAsia="Times New Roman"/>
              </w:rPr>
              <w:t xml:space="preserve"> domestic mitigation in meeting its NDC and will develop a portfolio of offshore mitigation options to supplement this</w:t>
            </w:r>
            <w:r w:rsidR="35DEEC9A" w:rsidRPr="00683FF0">
              <w:rPr>
                <w:rFonts w:eastAsia="Times New Roman"/>
              </w:rPr>
              <w:t>.</w:t>
            </w:r>
          </w:p>
        </w:tc>
      </w:tr>
      <w:tr w:rsidR="008636EF" w:rsidRPr="00683FF0" w14:paraId="16806FBE" w14:textId="77777777" w:rsidTr="005E1F74">
        <w:tc>
          <w:tcPr>
            <w:tcW w:w="4253" w:type="dxa"/>
            <w:shd w:val="clear" w:color="auto" w:fill="auto"/>
          </w:tcPr>
          <w:p w14:paraId="3FB6A217" w14:textId="4BAD7A1B" w:rsidR="008636EF" w:rsidRPr="00683FF0" w:rsidRDefault="008636EF" w:rsidP="005E1F74">
            <w:pPr>
              <w:pStyle w:val="TableText"/>
              <w:rPr>
                <w:rFonts w:cstheme="minorHAnsi"/>
              </w:rPr>
            </w:pPr>
            <w:r w:rsidRPr="00683FF0">
              <w:rPr>
                <w:rFonts w:cstheme="minorHAnsi"/>
              </w:rPr>
              <w:t>31.2</w:t>
            </w:r>
            <w:r w:rsidR="00211FB2" w:rsidRPr="00683FF0">
              <w:rPr>
                <w:rFonts w:cstheme="minorHAnsi"/>
              </w:rPr>
              <w:t>.</w:t>
            </w:r>
            <w:r w:rsidRPr="00683FF0">
              <w:rPr>
                <w:rFonts w:cstheme="minorHAnsi"/>
              </w:rPr>
              <w:t xml:space="preserve"> </w:t>
            </w:r>
            <w:r w:rsidRPr="00683FF0">
              <w:t>Report annually on how it plans to meet the NDC, including the balance of planned domestic emission reductions, removals, and offshore purchasing.</w:t>
            </w:r>
          </w:p>
        </w:tc>
        <w:tc>
          <w:tcPr>
            <w:tcW w:w="4252" w:type="dxa"/>
            <w:shd w:val="clear" w:color="auto" w:fill="auto"/>
          </w:tcPr>
          <w:p w14:paraId="5C752E5C" w14:textId="1CB7E2B1" w:rsidR="00CD585A" w:rsidRPr="00683FF0" w:rsidRDefault="00211FB2" w:rsidP="005E1F74">
            <w:pPr>
              <w:pStyle w:val="TableText"/>
              <w:rPr>
                <w:rFonts w:eastAsia="Times New Roman" w:cstheme="minorHAnsi"/>
              </w:rPr>
            </w:pPr>
            <w:r w:rsidRPr="00683FF0">
              <w:rPr>
                <w:b/>
                <w:bCs/>
              </w:rPr>
              <w:t xml:space="preserve">31.2. </w:t>
            </w:r>
            <w:r w:rsidR="002F1286" w:rsidRPr="00683FF0">
              <w:rPr>
                <w:b/>
                <w:bCs/>
              </w:rPr>
              <w:t xml:space="preserve">The Government agrees in principle with this recommendation. </w:t>
            </w:r>
            <w:r w:rsidR="001D56FE" w:rsidRPr="00683FF0">
              <w:rPr>
                <w:rFonts w:eastAsia="Times New Roman" w:cstheme="minorHAnsi"/>
              </w:rPr>
              <w:t>Aotearoa</w:t>
            </w:r>
            <w:r w:rsidR="00CD585A" w:rsidRPr="00683FF0">
              <w:rPr>
                <w:rFonts w:eastAsia="Times New Roman" w:cstheme="minorHAnsi"/>
              </w:rPr>
              <w:t xml:space="preserve"> will fulfil its international obligations and report biennially on its NDC implementation and achievement (among other things) through the Paris Agreement’s enhanced transparency framework.</w:t>
            </w:r>
            <w:r w:rsidR="000E4406" w:rsidRPr="00683FF0">
              <w:rPr>
                <w:rFonts w:eastAsia="Times New Roman" w:cstheme="minorHAnsi"/>
              </w:rPr>
              <w:t xml:space="preserve"> </w:t>
            </w:r>
            <w:r w:rsidR="00CD585A" w:rsidRPr="00683FF0">
              <w:rPr>
                <w:rFonts w:eastAsia="Times New Roman" w:cstheme="minorHAnsi"/>
              </w:rPr>
              <w:t>More frequent reporting for domestic purposes is under active consideration/work programme. </w:t>
            </w:r>
          </w:p>
        </w:tc>
      </w:tr>
      <w:tr w:rsidR="008636EF" w:rsidRPr="00683FF0" w14:paraId="20124EBE" w14:textId="77777777" w:rsidTr="005E1F74">
        <w:tc>
          <w:tcPr>
            <w:tcW w:w="4253" w:type="dxa"/>
            <w:shd w:val="clear" w:color="auto" w:fill="auto"/>
          </w:tcPr>
          <w:p w14:paraId="584B8A36" w14:textId="7C013197" w:rsidR="008636EF" w:rsidRPr="00683FF0" w:rsidRDefault="008636EF" w:rsidP="005E1F74">
            <w:pPr>
              <w:pStyle w:val="TableText"/>
            </w:pPr>
            <w:r w:rsidRPr="00683FF0">
              <w:t>31.3</w:t>
            </w:r>
            <w:r w:rsidR="00211FB2" w:rsidRPr="00683FF0">
              <w:t>.</w:t>
            </w:r>
            <w:r w:rsidRPr="00683FF0">
              <w:t xml:space="preserve"> Clearly communicate its strategy for purchasing offshore mitigation to meet the NDC and how it will identify and manage fiscal and other risks and their consequences.</w:t>
            </w:r>
          </w:p>
        </w:tc>
        <w:tc>
          <w:tcPr>
            <w:tcW w:w="4252" w:type="dxa"/>
            <w:shd w:val="clear" w:color="auto" w:fill="auto"/>
          </w:tcPr>
          <w:p w14:paraId="650230AD" w14:textId="5256E022" w:rsidR="008636EF" w:rsidRPr="00683FF0" w:rsidRDefault="00211FB2" w:rsidP="005E1F74">
            <w:pPr>
              <w:pStyle w:val="TableText"/>
              <w:rPr>
                <w:rFonts w:eastAsia="Times New Roman"/>
              </w:rPr>
            </w:pPr>
            <w:r w:rsidRPr="00683FF0">
              <w:rPr>
                <w:b/>
                <w:bCs/>
              </w:rPr>
              <w:t xml:space="preserve">31.3. </w:t>
            </w:r>
            <w:r w:rsidR="002F1286" w:rsidRPr="00683FF0">
              <w:rPr>
                <w:b/>
                <w:bCs/>
              </w:rPr>
              <w:t>The Government agrees in principle with this recommendation.</w:t>
            </w:r>
            <w:r w:rsidR="002F1286" w:rsidRPr="00683FF0">
              <w:rPr>
                <w:rFonts w:eastAsia="Times New Roman"/>
              </w:rPr>
              <w:t xml:space="preserve"> </w:t>
            </w:r>
            <w:r w:rsidR="00C35D3F" w:rsidRPr="00683FF0">
              <w:rPr>
                <w:rFonts w:eastAsia="Times New Roman"/>
              </w:rPr>
              <w:t>Aotearoa</w:t>
            </w:r>
            <w:r w:rsidR="00CD585A" w:rsidRPr="00683FF0">
              <w:rPr>
                <w:rFonts w:eastAsia="Times New Roman"/>
              </w:rPr>
              <w:t xml:space="preserve"> will develop a portfolio of</w:t>
            </w:r>
            <w:r w:rsidR="003A0353" w:rsidRPr="00683FF0">
              <w:rPr>
                <w:rFonts w:eastAsia="Times New Roman"/>
              </w:rPr>
              <w:t> </w:t>
            </w:r>
            <w:r w:rsidR="00CD585A" w:rsidRPr="00683FF0">
              <w:rPr>
                <w:rFonts w:eastAsia="Times New Roman"/>
              </w:rPr>
              <w:t>options for offshore mitigation, to supplement domestic action and meet the NDC.</w:t>
            </w:r>
            <w:r w:rsidR="000E4406" w:rsidRPr="00683FF0">
              <w:rPr>
                <w:rFonts w:eastAsia="Times New Roman"/>
              </w:rPr>
              <w:t xml:space="preserve"> </w:t>
            </w:r>
            <w:r w:rsidR="49F50B44" w:rsidRPr="00683FF0">
              <w:rPr>
                <w:rFonts w:eastAsia="Times New Roman"/>
              </w:rPr>
              <w:t xml:space="preserve">The Government will consider the fiscal risks associated with our climate targets, including the NDC. </w:t>
            </w:r>
          </w:p>
        </w:tc>
      </w:tr>
      <w:tr w:rsidR="007F7EAA" w:rsidRPr="00683FF0" w14:paraId="30373C0A" w14:textId="77777777" w:rsidTr="005E1F74">
        <w:tc>
          <w:tcPr>
            <w:tcW w:w="4253" w:type="dxa"/>
            <w:shd w:val="clear" w:color="auto" w:fill="auto"/>
          </w:tcPr>
          <w:p w14:paraId="08AB1FCD" w14:textId="77777777" w:rsidR="007F7EAA" w:rsidRPr="00683FF0" w:rsidRDefault="007F7EAA" w:rsidP="00DA00A6">
            <w:pPr>
              <w:spacing w:before="40" w:after="40"/>
              <w:rPr>
                <w:rFonts w:cstheme="minorHAnsi"/>
                <w:sz w:val="18"/>
                <w:szCs w:val="18"/>
              </w:rPr>
            </w:pPr>
          </w:p>
        </w:tc>
        <w:tc>
          <w:tcPr>
            <w:tcW w:w="4252" w:type="dxa"/>
            <w:shd w:val="clear" w:color="auto" w:fill="auto"/>
          </w:tcPr>
          <w:p w14:paraId="67BCFD57" w14:textId="4076A342" w:rsidR="007F7EAA" w:rsidRPr="00683FF0" w:rsidRDefault="007F7EAA" w:rsidP="005E1F74">
            <w:pPr>
              <w:pStyle w:val="TableText"/>
            </w:pPr>
            <w:r w:rsidRPr="00683FF0">
              <w:rPr>
                <w:b/>
                <w:bCs/>
              </w:rPr>
              <w:t>Responsible agenc</w:t>
            </w:r>
            <w:r w:rsidR="00972507" w:rsidRPr="00683FF0">
              <w:rPr>
                <w:b/>
                <w:bCs/>
              </w:rPr>
              <w:t>ies</w:t>
            </w:r>
            <w:r w:rsidRPr="00683FF0">
              <w:rPr>
                <w:b/>
                <w:bCs/>
              </w:rPr>
              <w:t xml:space="preserve">: </w:t>
            </w:r>
            <w:r w:rsidRPr="00683FF0">
              <w:t>Ministry for the Environment</w:t>
            </w:r>
            <w:r w:rsidR="00C35D3F" w:rsidRPr="00683FF0">
              <w:t>,</w:t>
            </w:r>
            <w:r w:rsidRPr="00683FF0">
              <w:t xml:space="preserve"> Ministry for Foreign Affairs and Trade</w:t>
            </w:r>
            <w:r w:rsidR="183D055C" w:rsidRPr="00683FF0">
              <w:t>, Treasury</w:t>
            </w:r>
          </w:p>
          <w:p w14:paraId="584FE1CC" w14:textId="16777CAC" w:rsidR="007F7EAA" w:rsidRPr="00683FF0" w:rsidRDefault="007F7EAA" w:rsidP="005E1F74">
            <w:pPr>
              <w:pStyle w:val="TableText"/>
              <w:spacing w:before="0"/>
              <w:rPr>
                <w:b/>
                <w:bCs/>
              </w:rPr>
            </w:pPr>
            <w:r w:rsidRPr="00683FF0">
              <w:rPr>
                <w:b/>
                <w:bCs/>
              </w:rPr>
              <w:t xml:space="preserve">Responsible Minister: </w:t>
            </w:r>
            <w:r w:rsidRPr="00683FF0">
              <w:t>Ministers of Climate Change</w:t>
            </w:r>
            <w:r w:rsidR="00C35D3F" w:rsidRPr="00683FF0">
              <w:t>,</w:t>
            </w:r>
          </w:p>
          <w:p w14:paraId="1A917BD6" w14:textId="77777777" w:rsidR="000E4406" w:rsidRPr="00683FF0" w:rsidRDefault="007F7EAA" w:rsidP="005E1F74">
            <w:pPr>
              <w:pStyle w:val="TableTextbold"/>
              <w:spacing w:before="0"/>
            </w:pPr>
            <w:r w:rsidRPr="00683FF0">
              <w:t xml:space="preserve">Timeline: </w:t>
            </w:r>
          </w:p>
          <w:p w14:paraId="0B963E3B" w14:textId="00F67F98" w:rsidR="007F7EAA" w:rsidRPr="00683FF0" w:rsidRDefault="516FFC51" w:rsidP="005E1F74">
            <w:pPr>
              <w:pStyle w:val="TableBullet"/>
            </w:pPr>
            <w:r w:rsidRPr="00683FF0">
              <w:t xml:space="preserve">31.1. </w:t>
            </w:r>
            <w:r w:rsidR="3DEFAFB2" w:rsidRPr="00683FF0">
              <w:t>2021</w:t>
            </w:r>
            <w:r w:rsidR="00C35D3F" w:rsidRPr="00683FF0">
              <w:t>–</w:t>
            </w:r>
            <w:r w:rsidR="3DEFAFB2" w:rsidRPr="00683FF0">
              <w:t>30 (NDC period) </w:t>
            </w:r>
          </w:p>
          <w:p w14:paraId="349A6918" w14:textId="56B85BD0" w:rsidR="000E4406" w:rsidRPr="00683FF0" w:rsidRDefault="516FFC51" w:rsidP="005E1F74">
            <w:pPr>
              <w:pStyle w:val="TableBullet"/>
            </w:pPr>
            <w:r w:rsidRPr="00683FF0">
              <w:t>31.2. 2022 onwards. First biennial report due 2024</w:t>
            </w:r>
          </w:p>
          <w:p w14:paraId="1E97D79D" w14:textId="77777777" w:rsidR="0058731E" w:rsidRPr="00683FF0" w:rsidRDefault="00C952EA" w:rsidP="005E1F74">
            <w:pPr>
              <w:pStyle w:val="TableBullet"/>
            </w:pPr>
            <w:r w:rsidRPr="00683FF0">
              <w:t>3</w:t>
            </w:r>
            <w:r w:rsidR="002D5F5B" w:rsidRPr="00683FF0">
              <w:t>1.</w:t>
            </w:r>
            <w:r w:rsidRPr="00683FF0">
              <w:t xml:space="preserve">3. </w:t>
            </w:r>
          </w:p>
          <w:p w14:paraId="3C883DEC" w14:textId="4D1173AC" w:rsidR="007F7EAA" w:rsidRPr="00683FF0" w:rsidRDefault="00623842" w:rsidP="005E1F74">
            <w:pPr>
              <w:pStyle w:val="TableDash"/>
            </w:pPr>
            <w:r w:rsidRPr="00683FF0">
              <w:t>strategy for purchasing offshore mitigation to mee</w:t>
            </w:r>
            <w:r w:rsidR="00320F9B" w:rsidRPr="00683FF0">
              <w:t>t</w:t>
            </w:r>
            <w:r w:rsidRPr="00683FF0">
              <w:t xml:space="preserve"> the NDC - </w:t>
            </w:r>
            <w:r w:rsidR="00C952EA" w:rsidRPr="00683FF0">
              <w:t>2022</w:t>
            </w:r>
            <w:r w:rsidRPr="00683FF0">
              <w:t xml:space="preserve"> </w:t>
            </w:r>
            <w:r w:rsidR="00C371AC" w:rsidRPr="00683FF0">
              <w:t>-</w:t>
            </w:r>
            <w:r w:rsidR="00C952EA" w:rsidRPr="00683FF0">
              <w:t>2023</w:t>
            </w:r>
          </w:p>
          <w:p w14:paraId="27EFA91B" w14:textId="51089761" w:rsidR="00C952EA" w:rsidRPr="00683FF0" w:rsidRDefault="7218B959" w:rsidP="005E1F74">
            <w:pPr>
              <w:pStyle w:val="TableDash"/>
              <w:textAlignment w:val="baseline"/>
              <w:rPr>
                <w:b/>
                <w:bCs/>
                <w:szCs w:val="18"/>
              </w:rPr>
            </w:pPr>
            <w:r w:rsidRPr="00683FF0">
              <w:t>identification of fiscal risks for meeting the NDC</w:t>
            </w:r>
            <w:r w:rsidR="12AC0C6C" w:rsidRPr="00683FF0">
              <w:t xml:space="preserve"> – end 2022</w:t>
            </w:r>
          </w:p>
        </w:tc>
      </w:tr>
    </w:tbl>
    <w:p w14:paraId="512F5065" w14:textId="77777777" w:rsidR="00CD585A" w:rsidRPr="00683FF0" w:rsidRDefault="00CD585A" w:rsidP="005E1F74">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5E1F74" w:rsidRPr="00683FF0" w14:paraId="20E791A7" w14:textId="77777777" w:rsidTr="005E1F74">
        <w:trPr>
          <w:tblHeader/>
        </w:trPr>
        <w:tc>
          <w:tcPr>
            <w:tcW w:w="4508" w:type="dxa"/>
            <w:tcBorders>
              <w:top w:val="single" w:sz="4" w:space="0" w:color="1B556B" w:themeColor="text2"/>
              <w:bottom w:val="single" w:sz="4" w:space="0" w:color="1B556B" w:themeColor="text2"/>
            </w:tcBorders>
            <w:shd w:val="clear" w:color="auto" w:fill="1B556B" w:themeFill="text2"/>
            <w:vAlign w:val="center"/>
          </w:tcPr>
          <w:p w14:paraId="7A1C33F6" w14:textId="647058D9" w:rsidR="008636EF" w:rsidRPr="00683FF0" w:rsidRDefault="008636EF" w:rsidP="005E1F74">
            <w:pPr>
              <w:pStyle w:val="TableTextbold"/>
              <w:rPr>
                <w:color w:val="FFFFFF" w:themeColor="background1"/>
              </w:rPr>
            </w:pPr>
            <w:r w:rsidRPr="00683FF0">
              <w:rPr>
                <w:color w:val="FFFFFF" w:themeColor="background1"/>
              </w:rPr>
              <w:t xml:space="preserve">Report </w:t>
            </w:r>
            <w:r w:rsidR="00C35D3F"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27025E47" w14:textId="450D7C36" w:rsidR="008636EF" w:rsidRPr="00683FF0" w:rsidRDefault="008636EF" w:rsidP="005E1F74">
            <w:pPr>
              <w:pStyle w:val="TableTextbold"/>
              <w:rPr>
                <w:color w:val="FFFFFF" w:themeColor="background1"/>
              </w:rPr>
            </w:pPr>
            <w:r w:rsidRPr="00683FF0">
              <w:rPr>
                <w:color w:val="FFFFFF" w:themeColor="background1"/>
              </w:rPr>
              <w:t xml:space="preserve">Government </w:t>
            </w:r>
            <w:r w:rsidR="00C35D3F" w:rsidRPr="00683FF0">
              <w:rPr>
                <w:color w:val="FFFFFF" w:themeColor="background1"/>
              </w:rPr>
              <w:t>r</w:t>
            </w:r>
            <w:r w:rsidRPr="00683FF0">
              <w:rPr>
                <w:color w:val="FFFFFF" w:themeColor="background1"/>
              </w:rPr>
              <w:t>esponse</w:t>
            </w:r>
          </w:p>
        </w:tc>
      </w:tr>
      <w:tr w:rsidR="008636EF" w:rsidRPr="00683FF0" w14:paraId="6EC00B44" w14:textId="77777777" w:rsidTr="005E1F74">
        <w:tc>
          <w:tcPr>
            <w:tcW w:w="4508" w:type="dxa"/>
            <w:tcBorders>
              <w:top w:val="single" w:sz="4" w:space="0" w:color="1B556B" w:themeColor="text2"/>
            </w:tcBorders>
            <w:shd w:val="clear" w:color="auto" w:fill="auto"/>
          </w:tcPr>
          <w:p w14:paraId="6ECB6E8F" w14:textId="1CF0653A" w:rsidR="008636EF" w:rsidRPr="00683FF0" w:rsidDel="002A4F9C" w:rsidRDefault="008636EF" w:rsidP="005E1F74">
            <w:pPr>
              <w:pStyle w:val="TableTextbold"/>
              <w:spacing w:after="0"/>
            </w:pPr>
            <w:r w:rsidRPr="00683FF0">
              <w:t>Recommendation 32 – Form of the NDC</w:t>
            </w:r>
          </w:p>
          <w:p w14:paraId="0D5D5B50" w14:textId="3D5C6736" w:rsidR="008636EF" w:rsidRPr="00683FF0" w:rsidRDefault="008636EF" w:rsidP="003A0353">
            <w:pPr>
              <w:pStyle w:val="TableText"/>
              <w:spacing w:after="0"/>
              <w:rPr>
                <w:rFonts w:cstheme="minorHAnsi"/>
              </w:rPr>
            </w:pPr>
            <w:r w:rsidRPr="00683FF0" w:rsidDel="002A4F9C">
              <w:t>We recommend that the Government should:</w:t>
            </w:r>
          </w:p>
        </w:tc>
        <w:tc>
          <w:tcPr>
            <w:tcW w:w="4508" w:type="dxa"/>
            <w:tcBorders>
              <w:top w:val="single" w:sz="4" w:space="0" w:color="1B556B" w:themeColor="text2"/>
            </w:tcBorders>
            <w:shd w:val="clear" w:color="auto" w:fill="auto"/>
          </w:tcPr>
          <w:p w14:paraId="5184CD2D" w14:textId="77777777" w:rsidR="008636EF" w:rsidRPr="00683FF0" w:rsidRDefault="008636EF" w:rsidP="00DA00A6">
            <w:pPr>
              <w:rPr>
                <w:rFonts w:cstheme="minorHAnsi"/>
                <w:sz w:val="18"/>
                <w:szCs w:val="18"/>
              </w:rPr>
            </w:pPr>
          </w:p>
        </w:tc>
      </w:tr>
      <w:tr w:rsidR="008636EF" w:rsidRPr="00683FF0" w14:paraId="73613163" w14:textId="77777777" w:rsidTr="005E1F74">
        <w:tc>
          <w:tcPr>
            <w:tcW w:w="4508" w:type="dxa"/>
            <w:shd w:val="clear" w:color="auto" w:fill="auto"/>
          </w:tcPr>
          <w:p w14:paraId="587D1A53" w14:textId="3C6BD125" w:rsidR="008636EF" w:rsidRPr="00683FF0" w:rsidRDefault="008636EF" w:rsidP="005E1F74">
            <w:pPr>
              <w:pStyle w:val="TableText"/>
            </w:pPr>
            <w:r w:rsidRPr="00683FF0">
              <w:t>32.1</w:t>
            </w:r>
            <w:r w:rsidR="002A4F9C" w:rsidRPr="00683FF0">
              <w:t>.</w:t>
            </w:r>
            <w:r w:rsidRPr="00683FF0">
              <w:t xml:space="preserve"> We recommend that the Government should continue to define the NDC on the basis of all greenhouse gases using the most recent IPCC global warming potentials adopted by the Parties to the UNFCCC. If the NDC is updated, the Government should express it on a basis that is consistent with how emissions will be reported in the national greenhouse gas inventory from 2021</w:t>
            </w:r>
            <w:r w:rsidR="00436AC1" w:rsidRPr="00683FF0">
              <w:t>–</w:t>
            </w:r>
            <w:r w:rsidRPr="00683FF0">
              <w:t>30.</w:t>
            </w:r>
          </w:p>
        </w:tc>
        <w:tc>
          <w:tcPr>
            <w:tcW w:w="4508" w:type="dxa"/>
            <w:shd w:val="clear" w:color="auto" w:fill="auto"/>
          </w:tcPr>
          <w:p w14:paraId="5267CE46" w14:textId="05442FCF" w:rsidR="00CD585A" w:rsidRPr="00683FF0" w:rsidRDefault="00013FDB" w:rsidP="005E1F74">
            <w:pPr>
              <w:pStyle w:val="TableText"/>
              <w:rPr>
                <w:rFonts w:cstheme="minorHAnsi"/>
              </w:rPr>
            </w:pPr>
            <w:r w:rsidRPr="00683FF0">
              <w:rPr>
                <w:b/>
                <w:bCs/>
              </w:rPr>
              <w:t xml:space="preserve">32.1. </w:t>
            </w:r>
            <w:r w:rsidR="002F1286" w:rsidRPr="00683FF0">
              <w:rPr>
                <w:b/>
                <w:bCs/>
              </w:rPr>
              <w:t xml:space="preserve">The Government agrees with this recommendation. </w:t>
            </w:r>
            <w:r w:rsidR="009D05C6" w:rsidRPr="00683FF0">
              <w:rPr>
                <w:rFonts w:eastAsia="Times New Roman"/>
              </w:rPr>
              <w:t>New Zealand’s updated NDC1</w:t>
            </w:r>
            <w:r w:rsidR="09A52537" w:rsidRPr="00683FF0">
              <w:rPr>
                <w:rFonts w:eastAsia="Times New Roman"/>
              </w:rPr>
              <w:t>,</w:t>
            </w:r>
            <w:r w:rsidR="009D05C6" w:rsidRPr="00683FF0">
              <w:rPr>
                <w:rFonts w:eastAsia="Times New Roman"/>
              </w:rPr>
              <w:t xml:space="preserve"> submitted in 2021</w:t>
            </w:r>
            <w:r w:rsidR="09A52537" w:rsidRPr="00683FF0">
              <w:rPr>
                <w:rFonts w:eastAsia="Times New Roman"/>
              </w:rPr>
              <w:t xml:space="preserve">, continues to </w:t>
            </w:r>
            <w:r w:rsidR="009D05C6" w:rsidRPr="00683FF0">
              <w:rPr>
                <w:rFonts w:eastAsia="Times New Roman"/>
              </w:rPr>
              <w:t>cover all greenhouse gases</w:t>
            </w:r>
            <w:r w:rsidR="09A52537" w:rsidRPr="00683FF0">
              <w:rPr>
                <w:rFonts w:eastAsia="Times New Roman"/>
              </w:rPr>
              <w:t>. Consistent with</w:t>
            </w:r>
            <w:r w:rsidR="00C1630D" w:rsidRPr="00683FF0">
              <w:rPr>
                <w:rFonts w:eastAsia="Times New Roman"/>
              </w:rPr>
              <w:t xml:space="preserve"> </w:t>
            </w:r>
            <w:r w:rsidR="009D05C6" w:rsidRPr="00683FF0">
              <w:rPr>
                <w:rFonts w:eastAsia="Times New Roman"/>
              </w:rPr>
              <w:t>international greenhouse gas inventory reporting requirements under the Paris Agreement</w:t>
            </w:r>
            <w:r w:rsidR="09A52537" w:rsidRPr="00683FF0">
              <w:rPr>
                <w:rFonts w:eastAsia="Times New Roman"/>
              </w:rPr>
              <w:t>,</w:t>
            </w:r>
            <w:r w:rsidR="00C1630D" w:rsidRPr="00683FF0">
              <w:rPr>
                <w:rFonts w:eastAsia="Times New Roman"/>
              </w:rPr>
              <w:t xml:space="preserve"> </w:t>
            </w:r>
            <w:r w:rsidR="09A52537" w:rsidRPr="00683FF0">
              <w:rPr>
                <w:rFonts w:eastAsia="Times New Roman"/>
              </w:rPr>
              <w:t>the</w:t>
            </w:r>
            <w:r w:rsidR="009D05C6" w:rsidRPr="00683FF0">
              <w:rPr>
                <w:rFonts w:eastAsia="Times New Roman"/>
              </w:rPr>
              <w:t xml:space="preserve"> national greenhouse gas inventory from 2031-2030 will cover</w:t>
            </w:r>
            <w:r w:rsidR="00C1630D" w:rsidRPr="00683FF0">
              <w:rPr>
                <w:rFonts w:eastAsia="Times New Roman"/>
              </w:rPr>
              <w:t xml:space="preserve"> </w:t>
            </w:r>
            <w:r w:rsidR="009D05C6" w:rsidRPr="00683FF0">
              <w:rPr>
                <w:rFonts w:eastAsia="Times New Roman"/>
              </w:rPr>
              <w:t>CO</w:t>
            </w:r>
            <w:r w:rsidR="009D05C6" w:rsidRPr="00683FF0">
              <w:rPr>
                <w:rFonts w:eastAsia="Times New Roman"/>
                <w:vertAlign w:val="subscript"/>
              </w:rPr>
              <w:t>2</w:t>
            </w:r>
            <w:r w:rsidR="009D05C6" w:rsidRPr="00683FF0">
              <w:rPr>
                <w:rFonts w:eastAsia="Times New Roman"/>
              </w:rPr>
              <w:t>, CH</w:t>
            </w:r>
            <w:r w:rsidR="009D05C6" w:rsidRPr="00683FF0">
              <w:rPr>
                <w:rFonts w:eastAsia="Times New Roman"/>
                <w:vertAlign w:val="subscript"/>
              </w:rPr>
              <w:t>4</w:t>
            </w:r>
            <w:r w:rsidR="009D05C6" w:rsidRPr="00683FF0">
              <w:rPr>
                <w:rFonts w:eastAsia="Times New Roman"/>
              </w:rPr>
              <w:t>, N</w:t>
            </w:r>
            <w:r w:rsidR="009D05C6" w:rsidRPr="00683FF0">
              <w:rPr>
                <w:rFonts w:eastAsia="Times New Roman"/>
                <w:vertAlign w:val="subscript"/>
              </w:rPr>
              <w:t>2</w:t>
            </w:r>
            <w:r w:rsidR="009D05C6" w:rsidRPr="00683FF0">
              <w:rPr>
                <w:rFonts w:eastAsia="Times New Roman"/>
              </w:rPr>
              <w:t>O, HFCs, PFCs, SF6 and NF3 and use the 100-year global warming potentials (GWPs) from the IPCC’s 5th assessment report as agreed by Parties to the Paris Agreement in decision 18/CMA.1.</w:t>
            </w:r>
          </w:p>
        </w:tc>
      </w:tr>
      <w:tr w:rsidR="008636EF" w:rsidRPr="00683FF0" w14:paraId="43B8210C" w14:textId="77777777" w:rsidTr="005E1F74">
        <w:tc>
          <w:tcPr>
            <w:tcW w:w="4508" w:type="dxa"/>
            <w:shd w:val="clear" w:color="auto" w:fill="auto"/>
          </w:tcPr>
          <w:p w14:paraId="72B09A9F" w14:textId="12525067" w:rsidR="008636EF" w:rsidRPr="00683FF0" w:rsidRDefault="008636EF" w:rsidP="005E1F74">
            <w:pPr>
              <w:pStyle w:val="TableText"/>
              <w:rPr>
                <w:rFonts w:cstheme="minorHAnsi"/>
              </w:rPr>
            </w:pPr>
            <w:r w:rsidRPr="00683FF0">
              <w:rPr>
                <w:rFonts w:cstheme="minorHAnsi"/>
              </w:rPr>
              <w:lastRenderedPageBreak/>
              <w:t>32.2</w:t>
            </w:r>
            <w:r w:rsidR="00114D56" w:rsidRPr="00683FF0">
              <w:rPr>
                <w:rFonts w:cstheme="minorHAnsi"/>
              </w:rPr>
              <w:t>.</w:t>
            </w:r>
            <w:r w:rsidRPr="00683FF0">
              <w:rPr>
                <w:rFonts w:cstheme="minorHAnsi"/>
              </w:rPr>
              <w:t xml:space="preserve"> </w:t>
            </w:r>
            <w:r w:rsidR="002C4E6C" w:rsidRPr="00683FF0">
              <w:t>C</w:t>
            </w:r>
            <w:r w:rsidRPr="00683FF0">
              <w:t>ontinue to contribute to further global mitigation beyond the NDC through the provision of climate finance to developing countries and active participation in mitigation mechanisms, including for international aviation and shipping.</w:t>
            </w:r>
          </w:p>
        </w:tc>
        <w:tc>
          <w:tcPr>
            <w:tcW w:w="4508" w:type="dxa"/>
            <w:shd w:val="clear" w:color="auto" w:fill="auto"/>
          </w:tcPr>
          <w:p w14:paraId="0E094604" w14:textId="1582CE73" w:rsidR="00CD585A" w:rsidRPr="00683FF0" w:rsidRDefault="00013FDB" w:rsidP="005E1F74">
            <w:pPr>
              <w:pStyle w:val="TableText"/>
              <w:rPr>
                <w:rFonts w:eastAsia="Times New Roman"/>
              </w:rPr>
            </w:pPr>
            <w:r w:rsidRPr="00683FF0">
              <w:rPr>
                <w:b/>
                <w:bCs/>
              </w:rPr>
              <w:t xml:space="preserve">32.2. </w:t>
            </w:r>
            <w:r w:rsidR="002F1286" w:rsidRPr="00683FF0">
              <w:rPr>
                <w:b/>
                <w:bCs/>
              </w:rPr>
              <w:t xml:space="preserve">The Government agrees with this recommendation. </w:t>
            </w:r>
            <w:r w:rsidR="00114D56" w:rsidRPr="00683FF0">
              <w:rPr>
                <w:rFonts w:eastAsia="Times New Roman"/>
              </w:rPr>
              <w:t>Aotearoa</w:t>
            </w:r>
            <w:r w:rsidR="00CD585A" w:rsidRPr="00683FF0">
              <w:rPr>
                <w:rFonts w:eastAsia="Times New Roman"/>
              </w:rPr>
              <w:t xml:space="preserve"> </w:t>
            </w:r>
            <w:r w:rsidR="64063123" w:rsidRPr="00683FF0">
              <w:rPr>
                <w:rFonts w:eastAsia="Times New Roman"/>
              </w:rPr>
              <w:t xml:space="preserve">does and </w:t>
            </w:r>
            <w:r w:rsidR="00CD585A" w:rsidRPr="00683FF0">
              <w:rPr>
                <w:rFonts w:eastAsia="Times New Roman"/>
              </w:rPr>
              <w:t xml:space="preserve">will continue to provide climate finance for </w:t>
            </w:r>
            <w:r w:rsidR="64063123" w:rsidRPr="00683FF0">
              <w:rPr>
                <w:rFonts w:eastAsia="Times New Roman"/>
              </w:rPr>
              <w:t xml:space="preserve">climate action, including both </w:t>
            </w:r>
            <w:r w:rsidR="00CD585A" w:rsidRPr="00683FF0">
              <w:rPr>
                <w:rFonts w:eastAsia="Times New Roman"/>
              </w:rPr>
              <w:t>mitigation and adaptation action.</w:t>
            </w:r>
            <w:r w:rsidR="64063123" w:rsidRPr="00683FF0">
              <w:rPr>
                <w:rFonts w:eastAsia="Times New Roman"/>
              </w:rPr>
              <w:t xml:space="preserve"> Provision and mobilisation of climate finance is a developed country obligation under the Paris Agreement that is separate and distinct from all countries’ emissions reduction commitments. Supporting other countries’ emissions reductions through climate finance does not entitle New Zealand to claim those emissions reductions towards its NDC – that is, through climate finance, Aotearoa contributes to further global mitigation beyond its NDC.</w:t>
            </w:r>
          </w:p>
          <w:p w14:paraId="002A0BFD" w14:textId="03CA7719" w:rsidR="00CD585A" w:rsidRPr="00683FF0" w:rsidRDefault="64063123" w:rsidP="005E1F74">
            <w:pPr>
              <w:pStyle w:val="TableText"/>
              <w:rPr>
                <w:rFonts w:eastAsia="Times New Roman"/>
              </w:rPr>
            </w:pPr>
            <w:r w:rsidRPr="00683FF0">
              <w:rPr>
                <w:rFonts w:eastAsia="Times New Roman"/>
              </w:rPr>
              <w:t>The 2022</w:t>
            </w:r>
            <w:r w:rsidR="003A0353" w:rsidRPr="00683FF0">
              <w:rPr>
                <w:rFonts w:eastAsia="Times New Roman"/>
              </w:rPr>
              <w:t>–</w:t>
            </w:r>
            <w:r w:rsidRPr="00683FF0">
              <w:rPr>
                <w:rFonts w:eastAsia="Times New Roman"/>
              </w:rPr>
              <w:t>25 climate finance commitment of 1.3bn NZD announced by Aotearoa in 2021 is a</w:t>
            </w:r>
            <w:r w:rsidR="00CD585A" w:rsidRPr="00683FF0">
              <w:rPr>
                <w:rFonts w:eastAsia="Times New Roman"/>
              </w:rPr>
              <w:t xml:space="preserve"> four-fold increase </w:t>
            </w:r>
            <w:r w:rsidR="00114D56" w:rsidRPr="00683FF0">
              <w:rPr>
                <w:rFonts w:eastAsia="Times New Roman"/>
              </w:rPr>
              <w:t>over</w:t>
            </w:r>
            <w:r w:rsidR="00CD585A" w:rsidRPr="00683FF0">
              <w:rPr>
                <w:rFonts w:eastAsia="Times New Roman"/>
              </w:rPr>
              <w:t xml:space="preserve"> previous commitments.</w:t>
            </w:r>
            <w:r w:rsidRPr="00683FF0">
              <w:rPr>
                <w:rFonts w:eastAsia="Times New Roman"/>
              </w:rPr>
              <w:t xml:space="preserve"> At least half of this will go to the Pacific, and at least half to adaptation action.</w:t>
            </w:r>
          </w:p>
          <w:p w14:paraId="2C326F6C" w14:textId="3BF004A5" w:rsidR="50E302AE" w:rsidRPr="00683FF0" w:rsidRDefault="50E302AE" w:rsidP="005E1F74">
            <w:pPr>
              <w:pStyle w:val="TableText"/>
              <w:rPr>
                <w:rFonts w:eastAsia="Calibri" w:cs="Calibri"/>
              </w:rPr>
            </w:pPr>
            <w:r w:rsidRPr="00683FF0">
              <w:rPr>
                <w:rFonts w:eastAsia="Calibri" w:cs="Calibri"/>
              </w:rPr>
              <w:t xml:space="preserve">Aotearoa is an active participant in a number of international mitigation initiatives that support our emissions reduction priorities and aspirations for effective global action. </w:t>
            </w:r>
          </w:p>
          <w:p w14:paraId="7C28C91C" w14:textId="021E7751" w:rsidR="00CD585A" w:rsidRPr="00683FF0" w:rsidRDefault="08BF3714" w:rsidP="005E1F74">
            <w:pPr>
              <w:pStyle w:val="TableText"/>
              <w:rPr>
                <w:rFonts w:cstheme="minorHAnsi"/>
              </w:rPr>
            </w:pPr>
            <w:r w:rsidRPr="00683FF0">
              <w:rPr>
                <w:rFonts w:eastAsia="Calibri" w:cs="Calibri"/>
              </w:rPr>
              <w:t>Aotearoa will continue to push for ambitious action across all sectors, including international aviation and shipping.</w:t>
            </w:r>
            <w:r w:rsidR="00C1630D" w:rsidRPr="00683FF0">
              <w:rPr>
                <w:rFonts w:eastAsia="Calibri" w:cs="Calibri"/>
              </w:rPr>
              <w:t xml:space="preserve"> </w:t>
            </w:r>
            <w:r w:rsidRPr="00683FF0">
              <w:rPr>
                <w:rFonts w:eastAsia="Calibri" w:cs="Calibri"/>
              </w:rPr>
              <w:t>Work will continue to advocate for and implement measures under the jurisdiction of the International Civil Aviation Organization and International Maritime Organization.</w:t>
            </w:r>
          </w:p>
        </w:tc>
      </w:tr>
      <w:tr w:rsidR="000E4406" w:rsidRPr="00683FF0" w14:paraId="5EAB9E45" w14:textId="77777777" w:rsidTr="005E1F74">
        <w:tc>
          <w:tcPr>
            <w:tcW w:w="4508" w:type="dxa"/>
            <w:shd w:val="clear" w:color="auto" w:fill="auto"/>
          </w:tcPr>
          <w:p w14:paraId="5031194A" w14:textId="77777777" w:rsidR="000E4406" w:rsidRPr="00683FF0" w:rsidRDefault="000E4406" w:rsidP="00DA00A6">
            <w:pPr>
              <w:spacing w:before="40" w:after="40"/>
              <w:rPr>
                <w:rFonts w:cstheme="minorHAnsi"/>
                <w:sz w:val="18"/>
                <w:szCs w:val="18"/>
              </w:rPr>
            </w:pPr>
          </w:p>
        </w:tc>
        <w:tc>
          <w:tcPr>
            <w:tcW w:w="4508" w:type="dxa"/>
            <w:shd w:val="clear" w:color="auto" w:fill="auto"/>
          </w:tcPr>
          <w:p w14:paraId="58DB3936" w14:textId="45F34EF5" w:rsidR="000E4406" w:rsidRPr="00683FF0" w:rsidRDefault="000E4406" w:rsidP="005E1F74">
            <w:pPr>
              <w:pStyle w:val="TableText"/>
              <w:rPr>
                <w:b/>
                <w:bCs/>
              </w:rPr>
            </w:pPr>
            <w:r w:rsidRPr="00683FF0">
              <w:rPr>
                <w:b/>
                <w:bCs/>
              </w:rPr>
              <w:t>Responsible agenc</w:t>
            </w:r>
            <w:r w:rsidR="00114D56" w:rsidRPr="00683FF0">
              <w:rPr>
                <w:b/>
                <w:bCs/>
              </w:rPr>
              <w:t>ies</w:t>
            </w:r>
            <w:r w:rsidRPr="00683FF0">
              <w:rPr>
                <w:b/>
                <w:bCs/>
              </w:rPr>
              <w:t xml:space="preserve">: </w:t>
            </w:r>
            <w:r w:rsidRPr="00683FF0">
              <w:t>Ministry for Foreign Affairs and Trade, Ministry of Transport</w:t>
            </w:r>
          </w:p>
          <w:p w14:paraId="6D2E9FC9" w14:textId="2228EC51" w:rsidR="000E4406" w:rsidRPr="00683FF0" w:rsidRDefault="000E4406" w:rsidP="005E1F74">
            <w:pPr>
              <w:pStyle w:val="TableText"/>
              <w:spacing w:before="0"/>
              <w:rPr>
                <w:b/>
                <w:bCs/>
              </w:rPr>
            </w:pPr>
            <w:r w:rsidRPr="00683FF0">
              <w:rPr>
                <w:b/>
                <w:bCs/>
              </w:rPr>
              <w:t>Responsible Minister</w:t>
            </w:r>
            <w:r w:rsidR="00114D56" w:rsidRPr="00683FF0">
              <w:rPr>
                <w:b/>
                <w:bCs/>
              </w:rPr>
              <w:t>s</w:t>
            </w:r>
            <w:r w:rsidRPr="00683FF0">
              <w:rPr>
                <w:b/>
                <w:bCs/>
              </w:rPr>
              <w:t xml:space="preserve">: </w:t>
            </w:r>
            <w:r w:rsidRPr="00683FF0">
              <w:t>Ministers of Climate Change, Foreign Affairs</w:t>
            </w:r>
            <w:r w:rsidR="00013FDB" w:rsidRPr="00683FF0">
              <w:t>,</w:t>
            </w:r>
            <w:r w:rsidRPr="00683FF0">
              <w:t xml:space="preserve"> Transport</w:t>
            </w:r>
          </w:p>
          <w:p w14:paraId="30B4D3B0" w14:textId="12C867B8" w:rsidR="000E4406" w:rsidRPr="00683FF0" w:rsidRDefault="000E4406" w:rsidP="005E1F74">
            <w:pPr>
              <w:pStyle w:val="TableTextbold"/>
              <w:spacing w:before="0"/>
            </w:pPr>
            <w:r w:rsidRPr="00683FF0">
              <w:t>Timeline:</w:t>
            </w:r>
            <w:r w:rsidR="00C1630D" w:rsidRPr="00683FF0">
              <w:t xml:space="preserve"> </w:t>
            </w:r>
          </w:p>
          <w:p w14:paraId="09DFFEE8" w14:textId="16FE94B4" w:rsidR="45ADA2B8" w:rsidRPr="00683FF0" w:rsidRDefault="6D7D29F2" w:rsidP="005E1F74">
            <w:pPr>
              <w:pStyle w:val="TableBullet"/>
            </w:pPr>
            <w:r w:rsidRPr="00683FF0">
              <w:t>32.1</w:t>
            </w:r>
            <w:r w:rsidR="00114D56" w:rsidRPr="00683FF0">
              <w:t>.</w:t>
            </w:r>
            <w:r w:rsidRPr="00683FF0">
              <w:t xml:space="preserve"> Completed</w:t>
            </w:r>
          </w:p>
          <w:p w14:paraId="67712C45" w14:textId="7E8293F8" w:rsidR="00BC0B00" w:rsidRPr="00683FF0" w:rsidRDefault="7DDD5FB6" w:rsidP="005E1F74">
            <w:pPr>
              <w:pStyle w:val="TableBullet"/>
            </w:pPr>
            <w:r w:rsidRPr="00683FF0">
              <w:t>33.2.</w:t>
            </w:r>
            <w:r w:rsidR="00C1630D" w:rsidRPr="00683FF0">
              <w:t xml:space="preserve"> </w:t>
            </w:r>
            <w:r w:rsidRPr="00683FF0">
              <w:t>Provision of 1.3bn NZD of climate finance over 2022-2025</w:t>
            </w:r>
          </w:p>
          <w:p w14:paraId="06A40DA1" w14:textId="5401E028" w:rsidR="000E4406" w:rsidRPr="00683FF0" w:rsidRDefault="50E302AE" w:rsidP="005E1F74">
            <w:pPr>
              <w:pStyle w:val="TableBullet"/>
              <w:rPr>
                <w:b/>
                <w:bCs/>
                <w:szCs w:val="18"/>
              </w:rPr>
            </w:pPr>
            <w:r w:rsidRPr="00683FF0">
              <w:t>33.2</w:t>
            </w:r>
            <w:r w:rsidR="00C1630D" w:rsidRPr="00683FF0">
              <w:t xml:space="preserve"> </w:t>
            </w:r>
            <w:r w:rsidRPr="00683FF0">
              <w:t>2022 and ongoing</w:t>
            </w:r>
          </w:p>
        </w:tc>
      </w:tr>
    </w:tbl>
    <w:p w14:paraId="09D8962A" w14:textId="77777777" w:rsidR="008636EF" w:rsidRPr="00683FF0" w:rsidRDefault="008636EF" w:rsidP="005E1F74">
      <w:pPr>
        <w:pStyle w:val="BodyText"/>
      </w:pP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none" w:sz="0" w:space="0" w:color="auto"/>
          <w:insideV w:val="single" w:sz="4" w:space="0" w:color="1B556B" w:themeColor="text2"/>
        </w:tblBorders>
        <w:tblLayout w:type="fixed"/>
        <w:tblLook w:val="04A0" w:firstRow="1" w:lastRow="0" w:firstColumn="1" w:lastColumn="0" w:noHBand="0" w:noVBand="1"/>
      </w:tblPr>
      <w:tblGrid>
        <w:gridCol w:w="4253"/>
        <w:gridCol w:w="4252"/>
      </w:tblGrid>
      <w:tr w:rsidR="005E1F74" w:rsidRPr="00683FF0" w14:paraId="7012C050" w14:textId="77777777" w:rsidTr="005E1F74">
        <w:trPr>
          <w:trHeight w:val="340"/>
        </w:trPr>
        <w:tc>
          <w:tcPr>
            <w:tcW w:w="4508" w:type="dxa"/>
            <w:tcBorders>
              <w:top w:val="single" w:sz="4" w:space="0" w:color="1B556B" w:themeColor="text2"/>
              <w:bottom w:val="single" w:sz="4" w:space="0" w:color="1B556B" w:themeColor="text2"/>
            </w:tcBorders>
            <w:shd w:val="clear" w:color="auto" w:fill="1B556B" w:themeFill="text2"/>
            <w:vAlign w:val="center"/>
          </w:tcPr>
          <w:p w14:paraId="550583B3" w14:textId="3F9B767D" w:rsidR="008636EF" w:rsidRPr="00683FF0" w:rsidRDefault="008636EF" w:rsidP="005E1F74">
            <w:pPr>
              <w:pStyle w:val="TableTextbold"/>
              <w:rPr>
                <w:color w:val="FFFFFF" w:themeColor="background1"/>
              </w:rPr>
            </w:pPr>
            <w:r w:rsidRPr="00683FF0">
              <w:rPr>
                <w:color w:val="FFFFFF" w:themeColor="background1"/>
              </w:rPr>
              <w:t xml:space="preserve">Report </w:t>
            </w:r>
            <w:r w:rsidR="00114D56" w:rsidRPr="00683FF0">
              <w:rPr>
                <w:color w:val="FFFFFF" w:themeColor="background1"/>
              </w:rPr>
              <w:t>r</w:t>
            </w:r>
            <w:r w:rsidRPr="00683FF0">
              <w:rPr>
                <w:color w:val="FFFFFF" w:themeColor="background1"/>
              </w:rPr>
              <w:t>ecommendation</w:t>
            </w:r>
          </w:p>
        </w:tc>
        <w:tc>
          <w:tcPr>
            <w:tcW w:w="4508" w:type="dxa"/>
            <w:tcBorders>
              <w:top w:val="single" w:sz="4" w:space="0" w:color="1B556B" w:themeColor="text2"/>
              <w:bottom w:val="single" w:sz="4" w:space="0" w:color="1B556B" w:themeColor="text2"/>
            </w:tcBorders>
            <w:shd w:val="clear" w:color="auto" w:fill="1B556B" w:themeFill="text2"/>
            <w:vAlign w:val="center"/>
          </w:tcPr>
          <w:p w14:paraId="4F9A5DF1" w14:textId="4A1D5C9F" w:rsidR="008636EF" w:rsidRPr="00683FF0" w:rsidRDefault="008636EF" w:rsidP="005E1F74">
            <w:pPr>
              <w:pStyle w:val="TableTextbold"/>
              <w:rPr>
                <w:color w:val="FFFFFF" w:themeColor="background1"/>
              </w:rPr>
            </w:pPr>
            <w:r w:rsidRPr="00683FF0">
              <w:rPr>
                <w:color w:val="FFFFFF" w:themeColor="background1"/>
              </w:rPr>
              <w:t xml:space="preserve">Government </w:t>
            </w:r>
            <w:r w:rsidR="00114D56" w:rsidRPr="00683FF0">
              <w:rPr>
                <w:color w:val="FFFFFF" w:themeColor="background1"/>
              </w:rPr>
              <w:t>r</w:t>
            </w:r>
            <w:r w:rsidRPr="00683FF0">
              <w:rPr>
                <w:color w:val="FFFFFF" w:themeColor="background1"/>
              </w:rPr>
              <w:t>esponse</w:t>
            </w:r>
          </w:p>
        </w:tc>
      </w:tr>
      <w:tr w:rsidR="008636EF" w:rsidRPr="00683FF0" w14:paraId="31312EDD" w14:textId="77777777" w:rsidTr="005E1F74">
        <w:tc>
          <w:tcPr>
            <w:tcW w:w="4508" w:type="dxa"/>
            <w:tcBorders>
              <w:top w:val="single" w:sz="4" w:space="0" w:color="1B556B" w:themeColor="text2"/>
            </w:tcBorders>
            <w:shd w:val="clear" w:color="auto" w:fill="auto"/>
          </w:tcPr>
          <w:p w14:paraId="1A68AE22" w14:textId="77777777" w:rsidR="008636EF" w:rsidRPr="00683FF0" w:rsidRDefault="008636EF" w:rsidP="005E1F74">
            <w:pPr>
              <w:pStyle w:val="TableTextbold"/>
              <w:rPr>
                <w:rFonts w:cstheme="minorHAnsi"/>
              </w:rPr>
            </w:pPr>
            <w:r w:rsidRPr="00683FF0">
              <w:rPr>
                <w:rFonts w:cstheme="minorHAnsi"/>
              </w:rPr>
              <w:t>Recommendation 33 – R</w:t>
            </w:r>
            <w:r w:rsidRPr="00683FF0">
              <w:t>eductions in biogenic methane that might be required of Aotearoa in the future as part of a global 1.5°C effort</w:t>
            </w:r>
          </w:p>
          <w:p w14:paraId="3CED0593" w14:textId="77777777" w:rsidR="008636EF" w:rsidRPr="00683FF0" w:rsidRDefault="008636EF" w:rsidP="005E1F74">
            <w:pPr>
              <w:pStyle w:val="TableText"/>
              <w:spacing w:before="0"/>
              <w:rPr>
                <w:rFonts w:cstheme="minorHAnsi"/>
              </w:rPr>
            </w:pPr>
            <w:r w:rsidRPr="00683FF0">
              <w:t>We advise that the reductions in emissions of biogenic methane that Aotearoa may eventually need to make as part of a global effort to limit the global average temperature increase to 1.5°C above pre-industrial levels could be between 49% and 60% below 2017 levels by 2100.</w:t>
            </w:r>
          </w:p>
        </w:tc>
        <w:tc>
          <w:tcPr>
            <w:tcW w:w="4508" w:type="dxa"/>
            <w:tcBorders>
              <w:top w:val="single" w:sz="4" w:space="0" w:color="1B556B" w:themeColor="text2"/>
            </w:tcBorders>
            <w:shd w:val="clear" w:color="auto" w:fill="auto"/>
          </w:tcPr>
          <w:p w14:paraId="43E2B62E" w14:textId="21F61A75" w:rsidR="000E4406" w:rsidRPr="00683FF0" w:rsidRDefault="00CD585A" w:rsidP="005E1F74">
            <w:pPr>
              <w:pStyle w:val="TableText"/>
            </w:pPr>
            <w:r w:rsidRPr="00683FF0">
              <w:t>This recommendation responds to a request made under section 5K of the Climate Change Response Act 2002</w:t>
            </w:r>
            <w:r w:rsidR="00114D56" w:rsidRPr="00683FF0">
              <w:t>. It</w:t>
            </w:r>
            <w:r w:rsidRPr="00683FF0">
              <w:t xml:space="preserve"> is not part of the statutory requirements for setting the first three emissions budgets or finalising the first emissions reduction plan.</w:t>
            </w:r>
          </w:p>
          <w:p w14:paraId="5A2CDE94" w14:textId="06268383" w:rsidR="00CD585A" w:rsidRPr="00683FF0" w:rsidRDefault="00CD585A" w:rsidP="003A0353">
            <w:pPr>
              <w:pStyle w:val="TableText"/>
              <w:spacing w:before="0"/>
              <w:rPr>
                <w:b/>
                <w:bCs/>
              </w:rPr>
            </w:pPr>
            <w:r w:rsidRPr="00683FF0">
              <w:rPr>
                <w:b/>
                <w:bCs/>
              </w:rPr>
              <w:t xml:space="preserve">Responsible agency: </w:t>
            </w:r>
            <w:r w:rsidRPr="00683FF0">
              <w:t xml:space="preserve">Ministry for the Environment </w:t>
            </w:r>
          </w:p>
          <w:p w14:paraId="6BFBAD38" w14:textId="1FEA2353" w:rsidR="00CD585A" w:rsidRPr="00683FF0" w:rsidRDefault="00CD585A" w:rsidP="003A0353">
            <w:pPr>
              <w:pStyle w:val="TableText"/>
              <w:spacing w:before="0"/>
            </w:pPr>
            <w:r w:rsidRPr="00683FF0">
              <w:rPr>
                <w:b/>
                <w:bCs/>
              </w:rPr>
              <w:t xml:space="preserve">Responsible Minister: </w:t>
            </w:r>
            <w:r w:rsidRPr="00683FF0">
              <w:t xml:space="preserve">Minister </w:t>
            </w:r>
            <w:r w:rsidR="002F1286" w:rsidRPr="00683FF0">
              <w:t>of</w:t>
            </w:r>
            <w:r w:rsidRPr="00683FF0">
              <w:t xml:space="preserve"> Climate Change </w:t>
            </w:r>
          </w:p>
        </w:tc>
      </w:tr>
    </w:tbl>
    <w:p w14:paraId="3C552A94" w14:textId="77777777" w:rsidR="005E1F74" w:rsidRPr="00683FF0" w:rsidRDefault="005E1F74" w:rsidP="0005423B">
      <w:pPr>
        <w:spacing w:before="40" w:after="40"/>
        <w:rPr>
          <w:b/>
          <w:bCs/>
          <w:sz w:val="18"/>
          <w:szCs w:val="18"/>
        </w:rPr>
      </w:pPr>
    </w:p>
    <w:p w14:paraId="0CE50193" w14:textId="77777777" w:rsidR="004B26C2" w:rsidRDefault="004B26C2">
      <w:pPr>
        <w:rPr>
          <w:b/>
          <w:bCs/>
          <w:sz w:val="18"/>
          <w:szCs w:val="18"/>
        </w:rPr>
      </w:pPr>
      <w:r>
        <w:rPr>
          <w:b/>
          <w:bCs/>
          <w:sz w:val="18"/>
          <w:szCs w:val="18"/>
        </w:rPr>
        <w:br w:type="page"/>
      </w:r>
    </w:p>
    <w:p w14:paraId="3CC7E800" w14:textId="670985A3" w:rsidR="005E1F74" w:rsidRPr="00683FF0" w:rsidRDefault="004B26C2" w:rsidP="004B26C2">
      <w:pPr>
        <w:pStyle w:val="Heading1"/>
      </w:pPr>
      <w:bookmarkStart w:id="61" w:name="_Toc103778807"/>
      <w:r>
        <w:lastRenderedPageBreak/>
        <w:t>Appendix</w:t>
      </w:r>
      <w:bookmarkEnd w:id="61"/>
    </w:p>
    <w:p w14:paraId="197E4C6E" w14:textId="2A4F3C45" w:rsidR="0005423B" w:rsidRPr="00683FF0" w:rsidRDefault="0005423B" w:rsidP="00A04B27">
      <w:pPr>
        <w:pStyle w:val="Tableheading"/>
      </w:pPr>
      <w:bookmarkStart w:id="62" w:name="Table1"/>
      <w:r w:rsidRPr="00683FF0">
        <w:t xml:space="preserve">Climate Change </w:t>
      </w:r>
      <w:r w:rsidR="006E42C5" w:rsidRPr="00683FF0">
        <w:t>C</w:t>
      </w:r>
      <w:r w:rsidRPr="00683FF0">
        <w:t>ommission emissions budgets 1</w:t>
      </w:r>
    </w:p>
    <w:tbl>
      <w:tblPr>
        <w:tblW w:w="8505" w:type="dxa"/>
        <w:tblBorders>
          <w:top w:val="single" w:sz="6" w:space="0" w:color="1B556B" w:themeColor="text2"/>
          <w:bottom w:val="single" w:sz="6" w:space="0" w:color="1B556B" w:themeColor="text2"/>
          <w:insideH w:val="single" w:sz="6" w:space="0" w:color="1B556B" w:themeColor="text2"/>
          <w:insideV w:val="single" w:sz="6" w:space="0" w:color="1B556B" w:themeColor="text2"/>
        </w:tblBorders>
        <w:tblCellMar>
          <w:left w:w="85" w:type="dxa"/>
          <w:right w:w="85" w:type="dxa"/>
        </w:tblCellMar>
        <w:tblLook w:val="04A0" w:firstRow="1" w:lastRow="0" w:firstColumn="1" w:lastColumn="0" w:noHBand="0" w:noVBand="1"/>
      </w:tblPr>
      <w:tblGrid>
        <w:gridCol w:w="2552"/>
        <w:gridCol w:w="709"/>
        <w:gridCol w:w="1842"/>
        <w:gridCol w:w="1701"/>
        <w:gridCol w:w="1701"/>
      </w:tblGrid>
      <w:tr w:rsidR="005E1F74" w:rsidRPr="00683FF0" w14:paraId="2CF4414A" w14:textId="77777777" w:rsidTr="006F7262">
        <w:tc>
          <w:tcPr>
            <w:tcW w:w="2552" w:type="dxa"/>
            <w:shd w:val="clear" w:color="auto" w:fill="1B556B" w:themeFill="text2"/>
            <w:vAlign w:val="bottom"/>
            <w:hideMark/>
          </w:tcPr>
          <w:bookmarkEnd w:id="62"/>
          <w:p w14:paraId="1D46CFA3" w14:textId="77777777" w:rsidR="0005423B" w:rsidRPr="00683FF0" w:rsidRDefault="0005423B" w:rsidP="005E1F74">
            <w:pPr>
              <w:pStyle w:val="TableTextbold"/>
              <w:rPr>
                <w:rFonts w:ascii="Segoe UI" w:hAnsi="Segoe UI" w:cs="Segoe UI"/>
                <w:color w:val="FFFFFF" w:themeColor="background1"/>
              </w:rPr>
            </w:pPr>
            <w:r w:rsidRPr="00683FF0">
              <w:rPr>
                <w:color w:val="FFFFFF" w:themeColor="background1"/>
              </w:rPr>
              <w:t> </w:t>
            </w:r>
          </w:p>
        </w:tc>
        <w:tc>
          <w:tcPr>
            <w:tcW w:w="709" w:type="dxa"/>
            <w:shd w:val="clear" w:color="auto" w:fill="1B556B" w:themeFill="text2"/>
            <w:vAlign w:val="bottom"/>
            <w:hideMark/>
          </w:tcPr>
          <w:p w14:paraId="5D804024" w14:textId="5D90B21F" w:rsidR="0005423B" w:rsidRPr="00683FF0" w:rsidRDefault="0005423B" w:rsidP="003A0353">
            <w:pPr>
              <w:pStyle w:val="TableTextbold"/>
              <w:jc w:val="center"/>
              <w:rPr>
                <w:rFonts w:ascii="Segoe UI" w:hAnsi="Segoe UI" w:cs="Segoe UI"/>
                <w:color w:val="FFFFFF" w:themeColor="background1"/>
              </w:rPr>
            </w:pPr>
            <w:r w:rsidRPr="00683FF0">
              <w:rPr>
                <w:bCs/>
                <w:color w:val="FFFFFF" w:themeColor="background1"/>
              </w:rPr>
              <w:t>2019</w:t>
            </w:r>
          </w:p>
        </w:tc>
        <w:tc>
          <w:tcPr>
            <w:tcW w:w="1842" w:type="dxa"/>
            <w:shd w:val="clear" w:color="auto" w:fill="1B556B" w:themeFill="text2"/>
            <w:vAlign w:val="bottom"/>
            <w:hideMark/>
          </w:tcPr>
          <w:p w14:paraId="1C2991CD" w14:textId="1E5314C8" w:rsidR="0005423B" w:rsidRPr="00683FF0" w:rsidRDefault="0005423B" w:rsidP="005E1F74">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1 2022</w:t>
            </w:r>
            <w:r w:rsidR="006E42C5" w:rsidRPr="00683FF0">
              <w:rPr>
                <w:bCs/>
                <w:color w:val="FFFFFF" w:themeColor="background1"/>
              </w:rPr>
              <w:t>–</w:t>
            </w:r>
            <w:r w:rsidRPr="00683FF0">
              <w:rPr>
                <w:bCs/>
                <w:color w:val="FFFFFF" w:themeColor="background1"/>
              </w:rPr>
              <w:t>25</w:t>
            </w:r>
          </w:p>
        </w:tc>
        <w:tc>
          <w:tcPr>
            <w:tcW w:w="1701" w:type="dxa"/>
            <w:shd w:val="clear" w:color="auto" w:fill="1B556B" w:themeFill="text2"/>
            <w:vAlign w:val="bottom"/>
            <w:hideMark/>
          </w:tcPr>
          <w:p w14:paraId="01CB2E75" w14:textId="7450F167" w:rsidR="0005423B" w:rsidRPr="00683FF0" w:rsidRDefault="0005423B" w:rsidP="005E1F74">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2 2026</w:t>
            </w:r>
            <w:r w:rsidR="006E42C5" w:rsidRPr="00683FF0">
              <w:rPr>
                <w:bCs/>
                <w:color w:val="FFFFFF" w:themeColor="background1"/>
              </w:rPr>
              <w:t>–</w:t>
            </w:r>
            <w:r w:rsidRPr="00683FF0">
              <w:rPr>
                <w:bCs/>
                <w:color w:val="FFFFFF" w:themeColor="background1"/>
              </w:rPr>
              <w:t>30</w:t>
            </w:r>
          </w:p>
        </w:tc>
        <w:tc>
          <w:tcPr>
            <w:tcW w:w="1701" w:type="dxa"/>
            <w:shd w:val="clear" w:color="auto" w:fill="1B556B" w:themeFill="text2"/>
            <w:vAlign w:val="bottom"/>
            <w:hideMark/>
          </w:tcPr>
          <w:p w14:paraId="6AC1EED5" w14:textId="6049F7D3" w:rsidR="0005423B" w:rsidRPr="00683FF0" w:rsidRDefault="0005423B" w:rsidP="005E1F74">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3 2030</w:t>
            </w:r>
            <w:r w:rsidR="006E42C5" w:rsidRPr="00683FF0">
              <w:rPr>
                <w:bCs/>
                <w:color w:val="FFFFFF" w:themeColor="background1"/>
              </w:rPr>
              <w:t>–</w:t>
            </w:r>
            <w:r w:rsidRPr="00683FF0">
              <w:rPr>
                <w:bCs/>
                <w:color w:val="FFFFFF" w:themeColor="background1"/>
              </w:rPr>
              <w:t>35</w:t>
            </w:r>
          </w:p>
        </w:tc>
      </w:tr>
      <w:tr w:rsidR="0005423B" w:rsidRPr="00683FF0" w14:paraId="28155981" w14:textId="77777777" w:rsidTr="006F7262">
        <w:tc>
          <w:tcPr>
            <w:tcW w:w="2552" w:type="dxa"/>
            <w:shd w:val="clear" w:color="auto" w:fill="auto"/>
            <w:hideMark/>
          </w:tcPr>
          <w:p w14:paraId="3179918B" w14:textId="33BCF31E" w:rsidR="0005423B" w:rsidRPr="00683FF0" w:rsidRDefault="0005423B" w:rsidP="005E1F74">
            <w:pPr>
              <w:pStyle w:val="TableText"/>
              <w:rPr>
                <w:rFonts w:ascii="Segoe UI" w:hAnsi="Segoe UI" w:cs="Segoe UI"/>
              </w:rPr>
            </w:pPr>
            <w:r w:rsidRPr="00683FF0">
              <w:t>All gases, net (AR5)</w:t>
            </w:r>
            <w:r w:rsidR="00C1630D" w:rsidRPr="00683FF0">
              <w:t xml:space="preserve"> </w:t>
            </w:r>
            <w:r w:rsidRPr="00683FF0">
              <w:t>(Mt</w:t>
            </w:r>
            <w:r w:rsidR="00C266A8" w:rsidRPr="00683FF0">
              <w:t xml:space="preserve"> </w:t>
            </w:r>
            <w:r w:rsidRPr="00683FF0">
              <w:t>CO</w:t>
            </w:r>
            <w:r w:rsidRPr="00683FF0">
              <w:rPr>
                <w:vertAlign w:val="subscript"/>
              </w:rPr>
              <w:t>2</w:t>
            </w:r>
            <w:r w:rsidRPr="00683FF0">
              <w:t>-e)</w:t>
            </w:r>
          </w:p>
        </w:tc>
        <w:tc>
          <w:tcPr>
            <w:tcW w:w="709" w:type="dxa"/>
            <w:shd w:val="clear" w:color="auto" w:fill="auto"/>
            <w:hideMark/>
          </w:tcPr>
          <w:p w14:paraId="1FD15D49" w14:textId="72C845F9" w:rsidR="0005423B" w:rsidRPr="00683FF0" w:rsidRDefault="0005423B" w:rsidP="00875790">
            <w:pPr>
              <w:pStyle w:val="TableText"/>
              <w:jc w:val="center"/>
              <w:rPr>
                <w:rFonts w:ascii="Segoe UI" w:hAnsi="Segoe UI" w:cs="Segoe UI"/>
              </w:rPr>
            </w:pPr>
          </w:p>
        </w:tc>
        <w:tc>
          <w:tcPr>
            <w:tcW w:w="1842" w:type="dxa"/>
            <w:shd w:val="clear" w:color="auto" w:fill="auto"/>
            <w:hideMark/>
          </w:tcPr>
          <w:p w14:paraId="3DF4808D" w14:textId="68B2B254" w:rsidR="0005423B" w:rsidRPr="00683FF0" w:rsidRDefault="0005423B" w:rsidP="005E1F74">
            <w:pPr>
              <w:pStyle w:val="TableText"/>
              <w:jc w:val="center"/>
              <w:rPr>
                <w:rFonts w:ascii="Segoe UI" w:hAnsi="Segoe UI" w:cs="Segoe UI"/>
              </w:rPr>
            </w:pPr>
            <w:r w:rsidRPr="00683FF0">
              <w:t>290</w:t>
            </w:r>
          </w:p>
        </w:tc>
        <w:tc>
          <w:tcPr>
            <w:tcW w:w="1701" w:type="dxa"/>
            <w:shd w:val="clear" w:color="auto" w:fill="auto"/>
            <w:hideMark/>
          </w:tcPr>
          <w:p w14:paraId="67F4828D" w14:textId="77777777" w:rsidR="0005423B" w:rsidRPr="00683FF0" w:rsidRDefault="0005423B" w:rsidP="005E1F74">
            <w:pPr>
              <w:pStyle w:val="TableText"/>
              <w:jc w:val="center"/>
              <w:rPr>
                <w:rFonts w:ascii="Segoe UI" w:hAnsi="Segoe UI" w:cs="Segoe UI"/>
              </w:rPr>
            </w:pPr>
            <w:r w:rsidRPr="00683FF0">
              <w:t>312</w:t>
            </w:r>
          </w:p>
        </w:tc>
        <w:tc>
          <w:tcPr>
            <w:tcW w:w="1701" w:type="dxa"/>
            <w:shd w:val="clear" w:color="auto" w:fill="auto"/>
            <w:hideMark/>
          </w:tcPr>
          <w:p w14:paraId="2A41598E" w14:textId="77777777" w:rsidR="0005423B" w:rsidRPr="00683FF0" w:rsidRDefault="0005423B" w:rsidP="005E1F74">
            <w:pPr>
              <w:pStyle w:val="TableText"/>
              <w:jc w:val="center"/>
              <w:rPr>
                <w:rFonts w:ascii="Segoe UI" w:hAnsi="Segoe UI" w:cs="Segoe UI"/>
              </w:rPr>
            </w:pPr>
            <w:r w:rsidRPr="00683FF0">
              <w:t>253</w:t>
            </w:r>
          </w:p>
        </w:tc>
      </w:tr>
      <w:tr w:rsidR="0005423B" w:rsidRPr="00683FF0" w14:paraId="537B6D45" w14:textId="77777777" w:rsidTr="006F7262">
        <w:tc>
          <w:tcPr>
            <w:tcW w:w="2552" w:type="dxa"/>
            <w:shd w:val="clear" w:color="auto" w:fill="auto"/>
            <w:hideMark/>
          </w:tcPr>
          <w:p w14:paraId="56177730" w14:textId="27A4A3F9" w:rsidR="0005423B" w:rsidRPr="00683FF0" w:rsidRDefault="0005423B" w:rsidP="005E1F74">
            <w:pPr>
              <w:pStyle w:val="TableText"/>
              <w:rPr>
                <w:rFonts w:ascii="Segoe UI" w:hAnsi="Segoe UI" w:cs="Segoe UI"/>
              </w:rPr>
            </w:pPr>
            <w:r w:rsidRPr="00683FF0">
              <w:t>Annual average (Mt</w:t>
            </w:r>
            <w:r w:rsidR="00C266A8" w:rsidRPr="00683FF0">
              <w:t xml:space="preserve"> </w:t>
            </w:r>
            <w:r w:rsidRPr="00683FF0">
              <w:t>CO</w:t>
            </w:r>
            <w:r w:rsidRPr="00683FF0">
              <w:rPr>
                <w:vertAlign w:val="subscript"/>
              </w:rPr>
              <w:t>2</w:t>
            </w:r>
            <w:r w:rsidR="00C266A8" w:rsidRPr="00683FF0">
              <w:t>-</w:t>
            </w:r>
            <w:r w:rsidRPr="00683FF0">
              <w:t>e/yr)</w:t>
            </w:r>
          </w:p>
        </w:tc>
        <w:tc>
          <w:tcPr>
            <w:tcW w:w="709" w:type="dxa"/>
            <w:shd w:val="clear" w:color="auto" w:fill="auto"/>
            <w:hideMark/>
          </w:tcPr>
          <w:p w14:paraId="5D4457A9" w14:textId="08316483" w:rsidR="0005423B" w:rsidRPr="00683FF0" w:rsidRDefault="0005423B" w:rsidP="00875790">
            <w:pPr>
              <w:pStyle w:val="TableText"/>
              <w:jc w:val="center"/>
              <w:rPr>
                <w:rFonts w:ascii="Segoe UI" w:hAnsi="Segoe UI" w:cs="Segoe UI"/>
              </w:rPr>
            </w:pPr>
            <w:r w:rsidRPr="00683FF0">
              <w:t>78.0</w:t>
            </w:r>
          </w:p>
        </w:tc>
        <w:tc>
          <w:tcPr>
            <w:tcW w:w="1842" w:type="dxa"/>
            <w:shd w:val="clear" w:color="auto" w:fill="auto"/>
            <w:hideMark/>
          </w:tcPr>
          <w:p w14:paraId="21E3C577" w14:textId="2A703BA0" w:rsidR="0005423B" w:rsidRPr="00683FF0" w:rsidRDefault="0005423B" w:rsidP="005E1F74">
            <w:pPr>
              <w:pStyle w:val="TableText"/>
              <w:jc w:val="center"/>
              <w:rPr>
                <w:rFonts w:ascii="Segoe UI" w:hAnsi="Segoe UI" w:cs="Segoe UI"/>
              </w:rPr>
            </w:pPr>
            <w:r w:rsidRPr="00683FF0">
              <w:t>72.4</w:t>
            </w:r>
          </w:p>
        </w:tc>
        <w:tc>
          <w:tcPr>
            <w:tcW w:w="1701" w:type="dxa"/>
            <w:shd w:val="clear" w:color="auto" w:fill="auto"/>
            <w:hideMark/>
          </w:tcPr>
          <w:p w14:paraId="3A1B1C41" w14:textId="77777777" w:rsidR="0005423B" w:rsidRPr="00683FF0" w:rsidRDefault="0005423B" w:rsidP="005E1F74">
            <w:pPr>
              <w:pStyle w:val="TableText"/>
              <w:jc w:val="center"/>
              <w:rPr>
                <w:rFonts w:ascii="Segoe UI" w:hAnsi="Segoe UI" w:cs="Segoe UI"/>
              </w:rPr>
            </w:pPr>
            <w:r w:rsidRPr="00683FF0">
              <w:t>62.4</w:t>
            </w:r>
          </w:p>
        </w:tc>
        <w:tc>
          <w:tcPr>
            <w:tcW w:w="1701" w:type="dxa"/>
            <w:shd w:val="clear" w:color="auto" w:fill="auto"/>
            <w:hideMark/>
          </w:tcPr>
          <w:p w14:paraId="3D17C207" w14:textId="2EAC2D50" w:rsidR="0005423B" w:rsidRPr="00683FF0" w:rsidRDefault="0005423B" w:rsidP="005E1F74">
            <w:pPr>
              <w:pStyle w:val="TableText"/>
              <w:jc w:val="center"/>
              <w:rPr>
                <w:rFonts w:ascii="Segoe UI" w:hAnsi="Segoe UI" w:cs="Segoe UI"/>
              </w:rPr>
            </w:pPr>
            <w:r w:rsidRPr="00683FF0">
              <w:t>50.6</w:t>
            </w:r>
          </w:p>
        </w:tc>
      </w:tr>
    </w:tbl>
    <w:p w14:paraId="411BCB08" w14:textId="77777777" w:rsidR="0005423B" w:rsidRPr="00683FF0" w:rsidRDefault="0005423B" w:rsidP="00A04B27">
      <w:pPr>
        <w:pStyle w:val="BodyText"/>
        <w:spacing w:after="0"/>
      </w:pPr>
    </w:p>
    <w:p w14:paraId="6248B903" w14:textId="77A59D96" w:rsidR="0005423B" w:rsidRPr="00683FF0" w:rsidRDefault="0005423B" w:rsidP="00A04B27">
      <w:pPr>
        <w:pStyle w:val="Tableheading"/>
      </w:pPr>
      <w:bookmarkStart w:id="63" w:name="Table2"/>
      <w:r w:rsidRPr="00683FF0">
        <w:t xml:space="preserve">Government response to </w:t>
      </w:r>
      <w:r w:rsidR="006E42C5" w:rsidRPr="00683FF0">
        <w:t>C</w:t>
      </w:r>
      <w:r w:rsidRPr="00683FF0">
        <w:t>ommission</w:t>
      </w:r>
      <w:r w:rsidR="006E42C5" w:rsidRPr="00683FF0">
        <w:t>’</w:t>
      </w:r>
      <w:r w:rsidRPr="00683FF0">
        <w:t>s budgets 1</w:t>
      </w:r>
    </w:p>
    <w:tbl>
      <w:tblPr>
        <w:tblW w:w="8505" w:type="dxa"/>
        <w:tblBorders>
          <w:top w:val="single" w:sz="6" w:space="0" w:color="1B556B" w:themeColor="text2"/>
          <w:bottom w:val="single" w:sz="6" w:space="0" w:color="1B556B" w:themeColor="text2"/>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3312"/>
        <w:gridCol w:w="1731"/>
        <w:gridCol w:w="1731"/>
        <w:gridCol w:w="1731"/>
      </w:tblGrid>
      <w:tr w:rsidR="00A04B27" w:rsidRPr="00683FF0" w14:paraId="17558239" w14:textId="77777777" w:rsidTr="00A04B27">
        <w:trPr>
          <w:trHeight w:val="659"/>
        </w:trPr>
        <w:tc>
          <w:tcPr>
            <w:tcW w:w="3491" w:type="dxa"/>
            <w:shd w:val="clear" w:color="auto" w:fill="1B556B" w:themeFill="text2"/>
            <w:hideMark/>
          </w:tcPr>
          <w:bookmarkEnd w:id="63"/>
          <w:p w14:paraId="1AEE9065" w14:textId="77777777" w:rsidR="0005423B" w:rsidRPr="00683FF0" w:rsidRDefault="0005423B" w:rsidP="00A04B27">
            <w:pPr>
              <w:pStyle w:val="TableTextbold"/>
              <w:rPr>
                <w:rFonts w:ascii="Segoe UI" w:hAnsi="Segoe UI" w:cs="Segoe UI"/>
                <w:color w:val="FFFFFF" w:themeColor="background1"/>
              </w:rPr>
            </w:pPr>
            <w:r w:rsidRPr="00683FF0">
              <w:rPr>
                <w:color w:val="FFFFFF" w:themeColor="background1"/>
              </w:rPr>
              <w:t> </w:t>
            </w:r>
          </w:p>
        </w:tc>
        <w:tc>
          <w:tcPr>
            <w:tcW w:w="1819" w:type="dxa"/>
            <w:shd w:val="clear" w:color="auto" w:fill="1B556B" w:themeFill="text2"/>
            <w:hideMark/>
          </w:tcPr>
          <w:p w14:paraId="4D26202C" w14:textId="465B0090" w:rsidR="0005423B" w:rsidRPr="00683FF0" w:rsidRDefault="0005423B" w:rsidP="00A04B27">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1 2022</w:t>
            </w:r>
            <w:r w:rsidR="006E42C5" w:rsidRPr="00683FF0">
              <w:rPr>
                <w:bCs/>
                <w:color w:val="FFFFFF" w:themeColor="background1"/>
              </w:rPr>
              <w:t>–</w:t>
            </w:r>
            <w:r w:rsidRPr="00683FF0">
              <w:rPr>
                <w:bCs/>
                <w:color w:val="FFFFFF" w:themeColor="background1"/>
              </w:rPr>
              <w:t>25</w:t>
            </w:r>
          </w:p>
        </w:tc>
        <w:tc>
          <w:tcPr>
            <w:tcW w:w="1819" w:type="dxa"/>
            <w:shd w:val="clear" w:color="auto" w:fill="1B556B" w:themeFill="text2"/>
            <w:hideMark/>
          </w:tcPr>
          <w:p w14:paraId="4AAD1BA4" w14:textId="2C31750C" w:rsidR="0005423B" w:rsidRPr="00683FF0" w:rsidRDefault="0005423B" w:rsidP="00A04B27">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2 2026</w:t>
            </w:r>
            <w:r w:rsidR="006E42C5" w:rsidRPr="00683FF0">
              <w:rPr>
                <w:bCs/>
                <w:color w:val="FFFFFF" w:themeColor="background1"/>
              </w:rPr>
              <w:t>–</w:t>
            </w:r>
            <w:r w:rsidRPr="00683FF0">
              <w:rPr>
                <w:bCs/>
                <w:color w:val="FFFFFF" w:themeColor="background1"/>
              </w:rPr>
              <w:t>30</w:t>
            </w:r>
          </w:p>
        </w:tc>
        <w:tc>
          <w:tcPr>
            <w:tcW w:w="1819" w:type="dxa"/>
            <w:shd w:val="clear" w:color="auto" w:fill="1B556B" w:themeFill="text2"/>
            <w:hideMark/>
          </w:tcPr>
          <w:p w14:paraId="6E0A2C61" w14:textId="006413F2" w:rsidR="0005423B" w:rsidRPr="00683FF0" w:rsidRDefault="0005423B" w:rsidP="00A04B27">
            <w:pPr>
              <w:pStyle w:val="TableTextbold"/>
              <w:jc w:val="center"/>
              <w:rPr>
                <w:rFonts w:ascii="Segoe UI" w:hAnsi="Segoe UI" w:cs="Segoe UI"/>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3 2030</w:t>
            </w:r>
            <w:r w:rsidR="006E42C5" w:rsidRPr="00683FF0">
              <w:rPr>
                <w:bCs/>
                <w:color w:val="FFFFFF" w:themeColor="background1"/>
              </w:rPr>
              <w:t>–</w:t>
            </w:r>
            <w:r w:rsidRPr="00683FF0">
              <w:rPr>
                <w:bCs/>
                <w:color w:val="FFFFFF" w:themeColor="background1"/>
              </w:rPr>
              <w:t>35</w:t>
            </w:r>
          </w:p>
        </w:tc>
      </w:tr>
      <w:tr w:rsidR="0005423B" w:rsidRPr="00683FF0" w14:paraId="00283DA5" w14:textId="77777777" w:rsidTr="00A04B27">
        <w:trPr>
          <w:trHeight w:val="322"/>
        </w:trPr>
        <w:tc>
          <w:tcPr>
            <w:tcW w:w="3491" w:type="dxa"/>
            <w:shd w:val="clear" w:color="auto" w:fill="auto"/>
            <w:hideMark/>
          </w:tcPr>
          <w:p w14:paraId="46717749" w14:textId="6DBB392D" w:rsidR="0005423B" w:rsidRPr="00683FF0" w:rsidRDefault="0005423B" w:rsidP="00A04B27">
            <w:pPr>
              <w:pStyle w:val="TableText"/>
              <w:rPr>
                <w:rFonts w:ascii="Segoe UI" w:hAnsi="Segoe UI" w:cs="Segoe UI"/>
              </w:rPr>
            </w:pPr>
            <w:r w:rsidRPr="00683FF0">
              <w:t>All gases, net (AR5)</w:t>
            </w:r>
            <w:r w:rsidR="00C1630D" w:rsidRPr="00683FF0">
              <w:t xml:space="preserve"> </w:t>
            </w:r>
            <w:r w:rsidRPr="00683FF0">
              <w:t>(Mt</w:t>
            </w:r>
            <w:r w:rsidR="00C266A8" w:rsidRPr="00683FF0">
              <w:t xml:space="preserve"> </w:t>
            </w:r>
            <w:r w:rsidRPr="00683FF0">
              <w:t>CO</w:t>
            </w:r>
            <w:r w:rsidRPr="00683FF0">
              <w:rPr>
                <w:vertAlign w:val="subscript"/>
              </w:rPr>
              <w:t>2</w:t>
            </w:r>
            <w:r w:rsidRPr="00683FF0">
              <w:t>-e)</w:t>
            </w:r>
          </w:p>
        </w:tc>
        <w:tc>
          <w:tcPr>
            <w:tcW w:w="1819" w:type="dxa"/>
            <w:shd w:val="clear" w:color="auto" w:fill="auto"/>
            <w:hideMark/>
          </w:tcPr>
          <w:p w14:paraId="09F9F64D" w14:textId="1A5DE270" w:rsidR="0005423B" w:rsidRPr="00683FF0" w:rsidRDefault="0005423B" w:rsidP="00A04B27">
            <w:pPr>
              <w:pStyle w:val="TableText"/>
              <w:jc w:val="center"/>
              <w:rPr>
                <w:rFonts w:ascii="Segoe UI" w:hAnsi="Segoe UI" w:cs="Segoe UI"/>
              </w:rPr>
            </w:pPr>
            <w:r w:rsidRPr="00683FF0">
              <w:t>290</w:t>
            </w:r>
          </w:p>
        </w:tc>
        <w:tc>
          <w:tcPr>
            <w:tcW w:w="1819" w:type="dxa"/>
            <w:shd w:val="clear" w:color="auto" w:fill="auto"/>
            <w:hideMark/>
          </w:tcPr>
          <w:p w14:paraId="556AA616" w14:textId="1EC4AD05" w:rsidR="0005423B" w:rsidRPr="00683FF0" w:rsidRDefault="0005423B" w:rsidP="00A04B27">
            <w:pPr>
              <w:pStyle w:val="TableText"/>
              <w:jc w:val="center"/>
              <w:rPr>
                <w:rFonts w:ascii="Segoe UI" w:hAnsi="Segoe UI" w:cs="Segoe UI"/>
              </w:rPr>
            </w:pPr>
            <w:r w:rsidRPr="00683FF0">
              <w:t>305</w:t>
            </w:r>
          </w:p>
        </w:tc>
        <w:tc>
          <w:tcPr>
            <w:tcW w:w="1819" w:type="dxa"/>
            <w:shd w:val="clear" w:color="auto" w:fill="auto"/>
            <w:hideMark/>
          </w:tcPr>
          <w:p w14:paraId="77728A15" w14:textId="7A2E61D9" w:rsidR="0005423B" w:rsidRPr="00683FF0" w:rsidRDefault="0005423B" w:rsidP="00A04B27">
            <w:pPr>
              <w:pStyle w:val="TableText"/>
              <w:jc w:val="center"/>
              <w:rPr>
                <w:rFonts w:ascii="Segoe UI" w:hAnsi="Segoe UI" w:cs="Segoe UI"/>
              </w:rPr>
            </w:pPr>
            <w:r w:rsidRPr="00683FF0">
              <w:t>240</w:t>
            </w:r>
          </w:p>
        </w:tc>
      </w:tr>
    </w:tbl>
    <w:p w14:paraId="22D199B7" w14:textId="77777777" w:rsidR="0005423B" w:rsidRPr="00683FF0" w:rsidRDefault="0005423B" w:rsidP="00A04B27">
      <w:pPr>
        <w:pStyle w:val="BodyText"/>
        <w:spacing w:after="0"/>
      </w:pPr>
    </w:p>
    <w:p w14:paraId="5E02D2DA" w14:textId="03C54D52" w:rsidR="0005423B" w:rsidRPr="00683FF0" w:rsidRDefault="0005423B" w:rsidP="00A04B27">
      <w:pPr>
        <w:pStyle w:val="Tableheading"/>
        <w:rPr>
          <w:bCs/>
        </w:rPr>
      </w:pPr>
      <w:bookmarkStart w:id="64" w:name="Table3"/>
      <w:r w:rsidRPr="00683FF0">
        <w:t xml:space="preserve">Climate Change </w:t>
      </w:r>
      <w:r w:rsidR="006E42C5" w:rsidRPr="00683FF0">
        <w:t>C</w:t>
      </w:r>
      <w:r w:rsidRPr="00683FF0">
        <w:t>ommission emissions budgets 2</w:t>
      </w:r>
    </w:p>
    <w:tbl>
      <w:tblPr>
        <w:tblW w:w="8505" w:type="dxa"/>
        <w:tblBorders>
          <w:top w:val="single" w:sz="6" w:space="0" w:color="1B556B" w:themeColor="text2"/>
          <w:bottom w:val="single" w:sz="6" w:space="0" w:color="1B556B" w:themeColor="text2"/>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3076"/>
        <w:gridCol w:w="2027"/>
        <w:gridCol w:w="1701"/>
        <w:gridCol w:w="1701"/>
      </w:tblGrid>
      <w:tr w:rsidR="00A04B27" w:rsidRPr="00683FF0" w14:paraId="664B3656" w14:textId="77777777" w:rsidTr="00A04B27">
        <w:tc>
          <w:tcPr>
            <w:tcW w:w="3076" w:type="dxa"/>
            <w:shd w:val="clear" w:color="auto" w:fill="1B556B" w:themeFill="text2"/>
            <w:hideMark/>
          </w:tcPr>
          <w:bookmarkEnd w:id="64"/>
          <w:p w14:paraId="2D5FE776" w14:textId="77777777" w:rsidR="0005423B" w:rsidRPr="00683FF0" w:rsidRDefault="0005423B" w:rsidP="00A04B27">
            <w:pPr>
              <w:pStyle w:val="TableTextbold"/>
              <w:rPr>
                <w:color w:val="FFFFFF" w:themeColor="background1"/>
              </w:rPr>
            </w:pPr>
            <w:r w:rsidRPr="00683FF0">
              <w:rPr>
                <w:color w:val="FFFFFF" w:themeColor="background1"/>
              </w:rPr>
              <w:t> </w:t>
            </w:r>
          </w:p>
        </w:tc>
        <w:tc>
          <w:tcPr>
            <w:tcW w:w="2027" w:type="dxa"/>
            <w:shd w:val="clear" w:color="auto" w:fill="1B556B" w:themeFill="text2"/>
            <w:hideMark/>
          </w:tcPr>
          <w:p w14:paraId="533F73C8" w14:textId="6E8FA6E1" w:rsidR="0005423B" w:rsidRPr="00683FF0" w:rsidRDefault="0005423B" w:rsidP="00A04B27">
            <w:pPr>
              <w:pStyle w:val="TableTextbold"/>
              <w:jc w:val="center"/>
              <w:rPr>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1 2022</w:t>
            </w:r>
            <w:r w:rsidR="00E54485" w:rsidRPr="00683FF0">
              <w:rPr>
                <w:bCs/>
                <w:color w:val="FFFFFF" w:themeColor="background1"/>
              </w:rPr>
              <w:t>–</w:t>
            </w:r>
            <w:r w:rsidRPr="00683FF0">
              <w:rPr>
                <w:bCs/>
                <w:color w:val="FFFFFF" w:themeColor="background1"/>
              </w:rPr>
              <w:t>25</w:t>
            </w:r>
          </w:p>
        </w:tc>
        <w:tc>
          <w:tcPr>
            <w:tcW w:w="1701" w:type="dxa"/>
            <w:shd w:val="clear" w:color="auto" w:fill="1B556B" w:themeFill="text2"/>
            <w:hideMark/>
          </w:tcPr>
          <w:p w14:paraId="4449984C" w14:textId="1802081E" w:rsidR="0005423B" w:rsidRPr="00683FF0" w:rsidRDefault="0005423B" w:rsidP="00A04B27">
            <w:pPr>
              <w:pStyle w:val="TableTextbold"/>
              <w:jc w:val="center"/>
              <w:rPr>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2 2026</w:t>
            </w:r>
            <w:r w:rsidR="00E54485" w:rsidRPr="00683FF0">
              <w:rPr>
                <w:bCs/>
                <w:color w:val="FFFFFF" w:themeColor="background1"/>
              </w:rPr>
              <w:t>–</w:t>
            </w:r>
            <w:r w:rsidRPr="00683FF0">
              <w:rPr>
                <w:bCs/>
                <w:color w:val="FFFFFF" w:themeColor="background1"/>
              </w:rPr>
              <w:t>30</w:t>
            </w:r>
          </w:p>
        </w:tc>
        <w:tc>
          <w:tcPr>
            <w:tcW w:w="1701" w:type="dxa"/>
            <w:shd w:val="clear" w:color="auto" w:fill="1B556B" w:themeFill="text2"/>
            <w:hideMark/>
          </w:tcPr>
          <w:p w14:paraId="566470E0" w14:textId="20FE1C79" w:rsidR="0005423B" w:rsidRPr="00683FF0" w:rsidRDefault="0005423B" w:rsidP="00A04B27">
            <w:pPr>
              <w:pStyle w:val="TableTextbold"/>
              <w:jc w:val="center"/>
              <w:rPr>
                <w:color w:val="FFFFFF" w:themeColor="background1"/>
              </w:rPr>
            </w:pPr>
            <w:r w:rsidRPr="00683FF0">
              <w:rPr>
                <w:bCs/>
                <w:color w:val="FFFFFF" w:themeColor="background1"/>
              </w:rPr>
              <w:t xml:space="preserve">Emissions </w:t>
            </w:r>
            <w:r w:rsidR="00AF2CE5" w:rsidRPr="00683FF0">
              <w:rPr>
                <w:bCs/>
                <w:color w:val="FFFFFF" w:themeColor="background1"/>
              </w:rPr>
              <w:t>b</w:t>
            </w:r>
            <w:r w:rsidRPr="00683FF0">
              <w:rPr>
                <w:bCs/>
                <w:color w:val="FFFFFF" w:themeColor="background1"/>
              </w:rPr>
              <w:t>udget 3 2030</w:t>
            </w:r>
            <w:r w:rsidR="00E54485" w:rsidRPr="00683FF0">
              <w:rPr>
                <w:bCs/>
                <w:color w:val="FFFFFF" w:themeColor="background1"/>
              </w:rPr>
              <w:t>–</w:t>
            </w:r>
            <w:r w:rsidRPr="00683FF0">
              <w:rPr>
                <w:bCs/>
                <w:color w:val="FFFFFF" w:themeColor="background1"/>
              </w:rPr>
              <w:t>35</w:t>
            </w:r>
          </w:p>
        </w:tc>
      </w:tr>
      <w:tr w:rsidR="0005423B" w:rsidRPr="00683FF0" w14:paraId="3C742AC9" w14:textId="77777777" w:rsidTr="00A04B27">
        <w:tc>
          <w:tcPr>
            <w:tcW w:w="3076" w:type="dxa"/>
            <w:shd w:val="clear" w:color="auto" w:fill="auto"/>
            <w:hideMark/>
          </w:tcPr>
          <w:p w14:paraId="6E706FD5" w14:textId="18F28975" w:rsidR="0005423B" w:rsidRPr="00683FF0" w:rsidRDefault="0005423B" w:rsidP="00AE7AD6">
            <w:pPr>
              <w:pStyle w:val="TableText"/>
              <w:spacing w:after="0"/>
            </w:pPr>
            <w:r w:rsidRPr="00683FF0">
              <w:t>Total net emissions budget (Mt</w:t>
            </w:r>
            <w:r w:rsidR="00E54485" w:rsidRPr="00683FF0">
              <w:t xml:space="preserve"> </w:t>
            </w:r>
            <w:r w:rsidRPr="00683FF0">
              <w:t>CO</w:t>
            </w:r>
            <w:r w:rsidRPr="00683FF0">
              <w:rPr>
                <w:vertAlign w:val="subscript"/>
              </w:rPr>
              <w:t>2</w:t>
            </w:r>
            <w:r w:rsidRPr="00683FF0">
              <w:t>-e) </w:t>
            </w:r>
          </w:p>
          <w:p w14:paraId="6A7F427A" w14:textId="4D2112DF" w:rsidR="0005423B" w:rsidRPr="00683FF0" w:rsidRDefault="0005423B" w:rsidP="00A04B27">
            <w:pPr>
              <w:pStyle w:val="TableText"/>
            </w:pPr>
            <w:r w:rsidRPr="00683FF0">
              <w:t>Annual average (Mt</w:t>
            </w:r>
            <w:r w:rsidR="00E54485" w:rsidRPr="00683FF0">
              <w:t xml:space="preserve"> </w:t>
            </w:r>
            <w:r w:rsidRPr="00683FF0">
              <w:t>CO</w:t>
            </w:r>
            <w:r w:rsidRPr="00683FF0">
              <w:rPr>
                <w:vertAlign w:val="subscript"/>
              </w:rPr>
              <w:t>2</w:t>
            </w:r>
            <w:r w:rsidR="00E54485" w:rsidRPr="00683FF0">
              <w:t>-</w:t>
            </w:r>
            <w:r w:rsidRPr="00683FF0">
              <w:t>e/yr)</w:t>
            </w:r>
          </w:p>
        </w:tc>
        <w:tc>
          <w:tcPr>
            <w:tcW w:w="2027" w:type="dxa"/>
            <w:shd w:val="clear" w:color="auto" w:fill="auto"/>
            <w:hideMark/>
          </w:tcPr>
          <w:p w14:paraId="2F262527" w14:textId="77777777" w:rsidR="0005423B" w:rsidRPr="00683FF0" w:rsidRDefault="0005423B" w:rsidP="00AE7AD6">
            <w:pPr>
              <w:pStyle w:val="TableText"/>
              <w:spacing w:after="0"/>
              <w:jc w:val="center"/>
            </w:pPr>
            <w:r w:rsidRPr="00683FF0">
              <w:t>278</w:t>
            </w:r>
          </w:p>
          <w:p w14:paraId="656C130C" w14:textId="77777777" w:rsidR="0005423B" w:rsidRPr="00683FF0" w:rsidRDefault="0005423B" w:rsidP="00A04B27">
            <w:pPr>
              <w:pStyle w:val="TableText"/>
              <w:jc w:val="center"/>
            </w:pPr>
            <w:r w:rsidRPr="00683FF0">
              <w:t>69.5</w:t>
            </w:r>
          </w:p>
        </w:tc>
        <w:tc>
          <w:tcPr>
            <w:tcW w:w="1701" w:type="dxa"/>
            <w:shd w:val="clear" w:color="auto" w:fill="auto"/>
            <w:hideMark/>
          </w:tcPr>
          <w:p w14:paraId="7E2390F1" w14:textId="7FE3EC1A" w:rsidR="0005423B" w:rsidRPr="00683FF0" w:rsidRDefault="0005423B" w:rsidP="00AE7AD6">
            <w:pPr>
              <w:pStyle w:val="TableText"/>
              <w:spacing w:after="0"/>
              <w:jc w:val="center"/>
            </w:pPr>
            <w:r w:rsidRPr="00683FF0">
              <w:t>298</w:t>
            </w:r>
          </w:p>
          <w:p w14:paraId="357C68BC" w14:textId="65E5A923" w:rsidR="0005423B" w:rsidRPr="00683FF0" w:rsidRDefault="0005423B" w:rsidP="00A04B27">
            <w:pPr>
              <w:pStyle w:val="TableText"/>
              <w:jc w:val="center"/>
            </w:pPr>
            <w:r w:rsidRPr="00683FF0">
              <w:t>59.7</w:t>
            </w:r>
          </w:p>
        </w:tc>
        <w:tc>
          <w:tcPr>
            <w:tcW w:w="1701" w:type="dxa"/>
            <w:shd w:val="clear" w:color="auto" w:fill="auto"/>
            <w:hideMark/>
          </w:tcPr>
          <w:p w14:paraId="00CABF74" w14:textId="3696A21F" w:rsidR="0005423B" w:rsidRPr="00683FF0" w:rsidRDefault="0005423B" w:rsidP="00AE7AD6">
            <w:pPr>
              <w:pStyle w:val="TableText"/>
              <w:spacing w:after="0"/>
              <w:jc w:val="center"/>
            </w:pPr>
            <w:r w:rsidRPr="00683FF0">
              <w:t>240</w:t>
            </w:r>
          </w:p>
          <w:p w14:paraId="7D1F7FBB" w14:textId="4BD64325" w:rsidR="0005423B" w:rsidRPr="00683FF0" w:rsidRDefault="0005423B" w:rsidP="00A04B27">
            <w:pPr>
              <w:pStyle w:val="TableText"/>
              <w:jc w:val="center"/>
            </w:pPr>
            <w:r w:rsidRPr="00683FF0">
              <w:t>47.9</w:t>
            </w:r>
          </w:p>
        </w:tc>
      </w:tr>
      <w:tr w:rsidR="0005423B" w:rsidRPr="00683FF0" w14:paraId="0E30FB73" w14:textId="77777777" w:rsidTr="00A04B27">
        <w:tc>
          <w:tcPr>
            <w:tcW w:w="3076" w:type="dxa"/>
            <w:shd w:val="clear" w:color="auto" w:fill="auto"/>
            <w:hideMark/>
          </w:tcPr>
          <w:p w14:paraId="4F9A3E28" w14:textId="77777777" w:rsidR="0005423B" w:rsidRPr="00683FF0" w:rsidRDefault="0005423B" w:rsidP="00AE7AD6">
            <w:pPr>
              <w:pStyle w:val="TableTextbold"/>
              <w:spacing w:after="0"/>
            </w:pPr>
            <w:r w:rsidRPr="00683FF0">
              <w:t>Removals</w:t>
            </w:r>
          </w:p>
          <w:p w14:paraId="6B4F55E7" w14:textId="0DDCFC2A" w:rsidR="0005423B" w:rsidRPr="00683FF0" w:rsidRDefault="0005423B" w:rsidP="00AE7AD6">
            <w:pPr>
              <w:pStyle w:val="TableText"/>
              <w:spacing w:after="0"/>
            </w:pPr>
            <w:r w:rsidRPr="00683FF0">
              <w:t>Forestry carbon removals (Mt</w:t>
            </w:r>
            <w:r w:rsidR="00E54485" w:rsidRPr="00683FF0">
              <w:t xml:space="preserve"> </w:t>
            </w:r>
            <w:r w:rsidRPr="00683FF0">
              <w:t>CO</w:t>
            </w:r>
            <w:r w:rsidRPr="00683FF0">
              <w:rPr>
                <w:vertAlign w:val="subscript"/>
              </w:rPr>
              <w:t>2</w:t>
            </w:r>
            <w:r w:rsidR="00E54485" w:rsidRPr="00683FF0">
              <w:t>-</w:t>
            </w:r>
            <w:r w:rsidRPr="00683FF0">
              <w:t>e) </w:t>
            </w:r>
          </w:p>
          <w:p w14:paraId="5D9F62CC" w14:textId="71C28663" w:rsidR="0005423B" w:rsidRPr="00683FF0" w:rsidRDefault="0005423B" w:rsidP="00AE7AD6">
            <w:pPr>
              <w:pStyle w:val="TableText"/>
            </w:pPr>
            <w:r w:rsidRPr="00683FF0">
              <w:t>Annual average (Mt</w:t>
            </w:r>
            <w:r w:rsidR="00E54485" w:rsidRPr="00683FF0">
              <w:t xml:space="preserve"> </w:t>
            </w:r>
            <w:r w:rsidRPr="00683FF0">
              <w:t>CO</w:t>
            </w:r>
            <w:r w:rsidRPr="00683FF0">
              <w:rPr>
                <w:vertAlign w:val="subscript"/>
              </w:rPr>
              <w:t>2</w:t>
            </w:r>
            <w:r w:rsidR="00E54485" w:rsidRPr="00683FF0">
              <w:t>-</w:t>
            </w:r>
            <w:r w:rsidRPr="00683FF0">
              <w:t>e/yr)</w:t>
            </w:r>
          </w:p>
        </w:tc>
        <w:tc>
          <w:tcPr>
            <w:tcW w:w="2027" w:type="dxa"/>
            <w:shd w:val="clear" w:color="auto" w:fill="auto"/>
            <w:hideMark/>
          </w:tcPr>
          <w:p w14:paraId="469E0AE5" w14:textId="647CC164" w:rsidR="0005423B" w:rsidRPr="00683FF0" w:rsidRDefault="0005423B" w:rsidP="00AE7AD6">
            <w:pPr>
              <w:pStyle w:val="TableText"/>
              <w:spacing w:after="0"/>
              <w:jc w:val="center"/>
            </w:pPr>
          </w:p>
          <w:p w14:paraId="3814C46A" w14:textId="77777777" w:rsidR="0005423B" w:rsidRPr="00683FF0" w:rsidRDefault="0005423B" w:rsidP="00AE7AD6">
            <w:pPr>
              <w:pStyle w:val="TableText"/>
              <w:spacing w:after="0"/>
              <w:jc w:val="center"/>
            </w:pPr>
            <w:r w:rsidRPr="00683FF0">
              <w:t>26</w:t>
            </w:r>
          </w:p>
          <w:p w14:paraId="0FBFEC74" w14:textId="77777777" w:rsidR="0005423B" w:rsidRPr="00683FF0" w:rsidRDefault="0005423B" w:rsidP="00AE7AD6">
            <w:pPr>
              <w:pStyle w:val="TableText"/>
              <w:jc w:val="center"/>
            </w:pPr>
            <w:r w:rsidRPr="00683FF0">
              <w:t>6.6</w:t>
            </w:r>
          </w:p>
        </w:tc>
        <w:tc>
          <w:tcPr>
            <w:tcW w:w="1701" w:type="dxa"/>
            <w:shd w:val="clear" w:color="auto" w:fill="auto"/>
            <w:hideMark/>
          </w:tcPr>
          <w:p w14:paraId="50DEDEBA" w14:textId="2113F3B2" w:rsidR="0005423B" w:rsidRPr="00683FF0" w:rsidRDefault="0005423B" w:rsidP="00AE7AD6">
            <w:pPr>
              <w:pStyle w:val="TableText"/>
              <w:spacing w:after="0"/>
              <w:jc w:val="center"/>
            </w:pPr>
          </w:p>
          <w:p w14:paraId="11137571" w14:textId="77777777" w:rsidR="0005423B" w:rsidRPr="00683FF0" w:rsidRDefault="0005423B" w:rsidP="00AE7AD6">
            <w:pPr>
              <w:pStyle w:val="TableText"/>
              <w:spacing w:after="0"/>
              <w:jc w:val="center"/>
            </w:pPr>
            <w:r w:rsidRPr="00683FF0">
              <w:t>50</w:t>
            </w:r>
          </w:p>
          <w:p w14:paraId="328D2ACC" w14:textId="77777777" w:rsidR="0005423B" w:rsidRPr="00683FF0" w:rsidRDefault="0005423B" w:rsidP="00AE7AD6">
            <w:pPr>
              <w:pStyle w:val="TableText"/>
              <w:jc w:val="center"/>
            </w:pPr>
            <w:r w:rsidRPr="00683FF0">
              <w:t>10</w:t>
            </w:r>
          </w:p>
        </w:tc>
        <w:tc>
          <w:tcPr>
            <w:tcW w:w="1701" w:type="dxa"/>
            <w:shd w:val="clear" w:color="auto" w:fill="auto"/>
            <w:hideMark/>
          </w:tcPr>
          <w:p w14:paraId="6CAF972B" w14:textId="1578A964" w:rsidR="0005423B" w:rsidRPr="00683FF0" w:rsidRDefault="0005423B" w:rsidP="00AE7AD6">
            <w:pPr>
              <w:pStyle w:val="TableText"/>
              <w:spacing w:after="0"/>
              <w:jc w:val="center"/>
            </w:pPr>
          </w:p>
          <w:p w14:paraId="27473C44" w14:textId="77777777" w:rsidR="0005423B" w:rsidRPr="00683FF0" w:rsidRDefault="0005423B" w:rsidP="00AE7AD6">
            <w:pPr>
              <w:pStyle w:val="TableText"/>
              <w:spacing w:after="0"/>
              <w:jc w:val="center"/>
            </w:pPr>
            <w:r w:rsidRPr="00683FF0">
              <w:t>69</w:t>
            </w:r>
          </w:p>
          <w:p w14:paraId="72DFC90D" w14:textId="77777777" w:rsidR="0005423B" w:rsidRPr="00683FF0" w:rsidRDefault="0005423B" w:rsidP="00AE7AD6">
            <w:pPr>
              <w:pStyle w:val="TableText"/>
              <w:jc w:val="center"/>
            </w:pPr>
            <w:r w:rsidRPr="00683FF0">
              <w:t>13.8</w:t>
            </w:r>
          </w:p>
        </w:tc>
      </w:tr>
      <w:tr w:rsidR="0005423B" w:rsidRPr="00683FF0" w14:paraId="09EC1E24" w14:textId="77777777" w:rsidTr="00A04B27">
        <w:tc>
          <w:tcPr>
            <w:tcW w:w="3076" w:type="dxa"/>
            <w:shd w:val="clear" w:color="auto" w:fill="auto"/>
            <w:hideMark/>
          </w:tcPr>
          <w:p w14:paraId="082B2AD8" w14:textId="08DDC530" w:rsidR="0005423B" w:rsidRPr="00683FF0" w:rsidRDefault="0005423B" w:rsidP="00AE7AD6">
            <w:pPr>
              <w:pStyle w:val="TableTextbold"/>
              <w:spacing w:after="0"/>
            </w:pPr>
            <w:r w:rsidRPr="00683FF0">
              <w:t>Emissions – long</w:t>
            </w:r>
            <w:r w:rsidR="00EE6E36" w:rsidRPr="00683FF0">
              <w:t>-</w:t>
            </w:r>
            <w:r w:rsidRPr="00683FF0">
              <w:t>lived gases </w:t>
            </w:r>
          </w:p>
          <w:p w14:paraId="7B175F8E" w14:textId="2CFB0C4C" w:rsidR="0005423B" w:rsidRPr="00683FF0" w:rsidRDefault="0005423B" w:rsidP="00AE7AD6">
            <w:pPr>
              <w:pStyle w:val="TableText"/>
            </w:pPr>
            <w:r w:rsidRPr="00683FF0">
              <w:t>Gross long-lived gases (Mt</w:t>
            </w:r>
            <w:r w:rsidR="00E54485" w:rsidRPr="00683FF0">
              <w:t xml:space="preserve"> </w:t>
            </w:r>
            <w:r w:rsidRPr="00683FF0">
              <w:t>CO</w:t>
            </w:r>
            <w:r w:rsidRPr="00683FF0">
              <w:rPr>
                <w:vertAlign w:val="subscript"/>
              </w:rPr>
              <w:t>2</w:t>
            </w:r>
            <w:r w:rsidRPr="00683FF0">
              <w:t>-e) </w:t>
            </w:r>
          </w:p>
        </w:tc>
        <w:tc>
          <w:tcPr>
            <w:tcW w:w="2027" w:type="dxa"/>
            <w:shd w:val="clear" w:color="auto" w:fill="auto"/>
            <w:hideMark/>
          </w:tcPr>
          <w:p w14:paraId="4AB9C88A" w14:textId="240A12CB" w:rsidR="0005423B" w:rsidRPr="00683FF0" w:rsidRDefault="0005423B" w:rsidP="00AE7AD6">
            <w:pPr>
              <w:pStyle w:val="TableText"/>
              <w:spacing w:after="0"/>
              <w:jc w:val="center"/>
            </w:pPr>
          </w:p>
          <w:p w14:paraId="544F3D02" w14:textId="317FBAFB" w:rsidR="0005423B" w:rsidRPr="00683FF0" w:rsidRDefault="0005423B" w:rsidP="00AE7AD6">
            <w:pPr>
              <w:pStyle w:val="TableText"/>
              <w:jc w:val="center"/>
            </w:pPr>
            <w:r w:rsidRPr="00683FF0">
              <w:t>178</w:t>
            </w:r>
          </w:p>
        </w:tc>
        <w:tc>
          <w:tcPr>
            <w:tcW w:w="1701" w:type="dxa"/>
            <w:shd w:val="clear" w:color="auto" w:fill="auto"/>
            <w:hideMark/>
          </w:tcPr>
          <w:p w14:paraId="7EE45E9F" w14:textId="0C3502BB" w:rsidR="0005423B" w:rsidRPr="00683FF0" w:rsidRDefault="0005423B" w:rsidP="00AE7AD6">
            <w:pPr>
              <w:pStyle w:val="TableText"/>
              <w:spacing w:after="0"/>
              <w:jc w:val="center"/>
            </w:pPr>
          </w:p>
          <w:p w14:paraId="1A0F055B" w14:textId="68B687B6" w:rsidR="0005423B" w:rsidRPr="00683FF0" w:rsidRDefault="0005423B" w:rsidP="00AE7AD6">
            <w:pPr>
              <w:pStyle w:val="TableText"/>
              <w:jc w:val="center"/>
            </w:pPr>
            <w:r w:rsidRPr="00683FF0">
              <w:t>199</w:t>
            </w:r>
          </w:p>
        </w:tc>
        <w:tc>
          <w:tcPr>
            <w:tcW w:w="1701" w:type="dxa"/>
            <w:shd w:val="clear" w:color="auto" w:fill="auto"/>
            <w:hideMark/>
          </w:tcPr>
          <w:p w14:paraId="4D4D36D2" w14:textId="3D8151C5" w:rsidR="0005423B" w:rsidRPr="00683FF0" w:rsidRDefault="0005423B" w:rsidP="00AE7AD6">
            <w:pPr>
              <w:pStyle w:val="TableText"/>
              <w:spacing w:after="0"/>
              <w:jc w:val="center"/>
            </w:pPr>
          </w:p>
          <w:p w14:paraId="263CEA10" w14:textId="252AC7B0" w:rsidR="0005423B" w:rsidRPr="00683FF0" w:rsidRDefault="0005423B" w:rsidP="00AE7AD6">
            <w:pPr>
              <w:pStyle w:val="TableText"/>
              <w:jc w:val="center"/>
            </w:pPr>
            <w:r w:rsidRPr="00683FF0">
              <w:t>166</w:t>
            </w:r>
          </w:p>
        </w:tc>
      </w:tr>
      <w:tr w:rsidR="0005423B" w:rsidRPr="00683FF0" w14:paraId="1D0553D3" w14:textId="77777777" w:rsidTr="00A04B27">
        <w:tc>
          <w:tcPr>
            <w:tcW w:w="8505" w:type="dxa"/>
            <w:gridSpan w:val="4"/>
            <w:shd w:val="clear" w:color="auto" w:fill="auto"/>
          </w:tcPr>
          <w:p w14:paraId="424CF2A4" w14:textId="77777777" w:rsidR="0005423B" w:rsidRPr="00683FF0" w:rsidRDefault="0005423B" w:rsidP="00AE7AD6">
            <w:pPr>
              <w:pStyle w:val="TableText"/>
              <w:rPr>
                <w:rFonts w:eastAsia="Times New Roman" w:cs="Calibri"/>
                <w:i/>
                <w:iCs/>
              </w:rPr>
            </w:pPr>
            <w:r w:rsidRPr="00683FF0">
              <w:rPr>
                <w:i/>
                <w:iCs/>
              </w:rPr>
              <w:t>Broken down by:</w:t>
            </w:r>
          </w:p>
        </w:tc>
      </w:tr>
      <w:tr w:rsidR="0005423B" w:rsidRPr="00683FF0" w14:paraId="18545573" w14:textId="77777777" w:rsidTr="00A04B27">
        <w:tc>
          <w:tcPr>
            <w:tcW w:w="3076" w:type="dxa"/>
            <w:shd w:val="clear" w:color="auto" w:fill="auto"/>
            <w:hideMark/>
          </w:tcPr>
          <w:p w14:paraId="706D7BBF" w14:textId="4682C662" w:rsidR="0005423B" w:rsidRPr="00683FF0" w:rsidRDefault="00C1630D" w:rsidP="00D01C12">
            <w:pPr>
              <w:pStyle w:val="TableText"/>
            </w:pPr>
            <w:r w:rsidRPr="00683FF0">
              <w:t xml:space="preserve"> </w:t>
            </w:r>
            <w:r w:rsidR="0005423B" w:rsidRPr="00683FF0">
              <w:rPr>
                <w:i/>
                <w:iCs/>
              </w:rPr>
              <w:t>Carbon dioxide</w:t>
            </w:r>
            <w:r w:rsidR="0005423B" w:rsidRPr="00683FF0">
              <w:t> (Mt</w:t>
            </w:r>
            <w:r w:rsidR="00E54485" w:rsidRPr="00683FF0">
              <w:t xml:space="preserve"> </w:t>
            </w:r>
            <w:r w:rsidR="0005423B" w:rsidRPr="00683FF0">
              <w:t>CO</w:t>
            </w:r>
            <w:r w:rsidR="0005423B" w:rsidRPr="00683FF0">
              <w:rPr>
                <w:vertAlign w:val="subscript"/>
              </w:rPr>
              <w:t>2</w:t>
            </w:r>
            <w:r w:rsidR="0005423B" w:rsidRPr="00683FF0">
              <w:t>-e) </w:t>
            </w:r>
          </w:p>
        </w:tc>
        <w:tc>
          <w:tcPr>
            <w:tcW w:w="2027" w:type="dxa"/>
            <w:shd w:val="clear" w:color="auto" w:fill="auto"/>
            <w:hideMark/>
          </w:tcPr>
          <w:p w14:paraId="33315423" w14:textId="225DD6BA" w:rsidR="0005423B" w:rsidRPr="00683FF0" w:rsidRDefault="0005423B" w:rsidP="00D01C12">
            <w:pPr>
              <w:pStyle w:val="TableText"/>
              <w:jc w:val="center"/>
            </w:pPr>
            <w:r w:rsidRPr="00683FF0">
              <w:t>136</w:t>
            </w:r>
          </w:p>
        </w:tc>
        <w:tc>
          <w:tcPr>
            <w:tcW w:w="1701" w:type="dxa"/>
            <w:shd w:val="clear" w:color="auto" w:fill="auto"/>
            <w:hideMark/>
          </w:tcPr>
          <w:p w14:paraId="06757F09" w14:textId="05036821" w:rsidR="0005423B" w:rsidRPr="00683FF0" w:rsidRDefault="0005423B" w:rsidP="00D01C12">
            <w:pPr>
              <w:pStyle w:val="TableText"/>
              <w:jc w:val="center"/>
            </w:pPr>
            <w:r w:rsidRPr="00683FF0">
              <w:t>149</w:t>
            </w:r>
          </w:p>
        </w:tc>
        <w:tc>
          <w:tcPr>
            <w:tcW w:w="1701" w:type="dxa"/>
            <w:shd w:val="clear" w:color="auto" w:fill="auto"/>
            <w:hideMark/>
          </w:tcPr>
          <w:p w14:paraId="64973836" w14:textId="6EBE6332" w:rsidR="0005423B" w:rsidRPr="00683FF0" w:rsidRDefault="0005423B" w:rsidP="00D01C12">
            <w:pPr>
              <w:pStyle w:val="TableText"/>
              <w:jc w:val="center"/>
            </w:pPr>
            <w:r w:rsidRPr="00683FF0">
              <w:t>121</w:t>
            </w:r>
          </w:p>
        </w:tc>
      </w:tr>
      <w:tr w:rsidR="0005423B" w:rsidRPr="00683FF0" w14:paraId="1A0C1D3F" w14:textId="77777777" w:rsidTr="00A04B27">
        <w:tc>
          <w:tcPr>
            <w:tcW w:w="3076" w:type="dxa"/>
            <w:shd w:val="clear" w:color="auto" w:fill="auto"/>
            <w:hideMark/>
          </w:tcPr>
          <w:p w14:paraId="765ECA7B" w14:textId="3015FBC8" w:rsidR="0005423B" w:rsidRPr="00683FF0" w:rsidRDefault="00C1630D" w:rsidP="00D01C12">
            <w:pPr>
              <w:pStyle w:val="TableText"/>
            </w:pPr>
            <w:r w:rsidRPr="00683FF0">
              <w:t xml:space="preserve"> </w:t>
            </w:r>
            <w:r w:rsidR="0005423B" w:rsidRPr="00683FF0">
              <w:t>Nitrous oxide (Mt</w:t>
            </w:r>
            <w:r w:rsidR="00E54485" w:rsidRPr="00683FF0">
              <w:t xml:space="preserve"> </w:t>
            </w:r>
            <w:r w:rsidR="0005423B" w:rsidRPr="00683FF0">
              <w:t>CO</w:t>
            </w:r>
            <w:r w:rsidR="0005423B" w:rsidRPr="00683FF0">
              <w:rPr>
                <w:vertAlign w:val="subscript"/>
              </w:rPr>
              <w:t>2</w:t>
            </w:r>
            <w:r w:rsidR="0005423B" w:rsidRPr="00683FF0">
              <w:t>-e) </w:t>
            </w:r>
          </w:p>
        </w:tc>
        <w:tc>
          <w:tcPr>
            <w:tcW w:w="2027" w:type="dxa"/>
            <w:shd w:val="clear" w:color="auto" w:fill="auto"/>
            <w:hideMark/>
          </w:tcPr>
          <w:p w14:paraId="2D8AC93F" w14:textId="685D89A7" w:rsidR="0005423B" w:rsidRPr="00683FF0" w:rsidRDefault="0005423B" w:rsidP="00D01C12">
            <w:pPr>
              <w:pStyle w:val="TableText"/>
              <w:jc w:val="center"/>
            </w:pPr>
            <w:r w:rsidRPr="00683FF0">
              <w:t>32</w:t>
            </w:r>
          </w:p>
        </w:tc>
        <w:tc>
          <w:tcPr>
            <w:tcW w:w="1701" w:type="dxa"/>
            <w:shd w:val="clear" w:color="auto" w:fill="auto"/>
            <w:hideMark/>
          </w:tcPr>
          <w:p w14:paraId="40573367" w14:textId="6776C0EE" w:rsidR="0005423B" w:rsidRPr="00683FF0" w:rsidRDefault="0005423B" w:rsidP="00D01C12">
            <w:pPr>
              <w:pStyle w:val="TableText"/>
              <w:jc w:val="center"/>
            </w:pPr>
            <w:r w:rsidRPr="00683FF0">
              <w:t>38</w:t>
            </w:r>
          </w:p>
        </w:tc>
        <w:tc>
          <w:tcPr>
            <w:tcW w:w="1701" w:type="dxa"/>
            <w:shd w:val="clear" w:color="auto" w:fill="auto"/>
            <w:hideMark/>
          </w:tcPr>
          <w:p w14:paraId="6C5BD520" w14:textId="51D44E90" w:rsidR="0005423B" w:rsidRPr="00683FF0" w:rsidRDefault="0005423B" w:rsidP="00D01C12">
            <w:pPr>
              <w:pStyle w:val="TableText"/>
              <w:jc w:val="center"/>
            </w:pPr>
            <w:r w:rsidRPr="00683FF0">
              <w:t>36</w:t>
            </w:r>
          </w:p>
        </w:tc>
      </w:tr>
      <w:tr w:rsidR="0005423B" w:rsidRPr="00683FF0" w14:paraId="6B2FA019" w14:textId="77777777" w:rsidTr="00A04B27">
        <w:tc>
          <w:tcPr>
            <w:tcW w:w="3076" w:type="dxa"/>
            <w:shd w:val="clear" w:color="auto" w:fill="auto"/>
            <w:hideMark/>
          </w:tcPr>
          <w:p w14:paraId="5DCAADA9" w14:textId="12493AE5" w:rsidR="0005423B" w:rsidRPr="00683FF0" w:rsidRDefault="00C1630D" w:rsidP="00D01C12">
            <w:pPr>
              <w:pStyle w:val="TableText"/>
            </w:pPr>
            <w:r w:rsidRPr="00683FF0">
              <w:rPr>
                <w:i/>
                <w:iCs/>
              </w:rPr>
              <w:t xml:space="preserve"> </w:t>
            </w:r>
            <w:r w:rsidR="0005423B" w:rsidRPr="00683FF0">
              <w:rPr>
                <w:i/>
                <w:iCs/>
              </w:rPr>
              <w:t>F-gases</w:t>
            </w:r>
            <w:r w:rsidR="0005423B" w:rsidRPr="00683FF0">
              <w:t> (Mt</w:t>
            </w:r>
            <w:r w:rsidR="00E54485" w:rsidRPr="00683FF0">
              <w:t xml:space="preserve"> </w:t>
            </w:r>
            <w:r w:rsidR="0005423B" w:rsidRPr="00683FF0">
              <w:t>CO</w:t>
            </w:r>
            <w:r w:rsidR="0005423B" w:rsidRPr="00683FF0">
              <w:rPr>
                <w:vertAlign w:val="subscript"/>
              </w:rPr>
              <w:t>2</w:t>
            </w:r>
            <w:r w:rsidR="0005423B" w:rsidRPr="00683FF0">
              <w:t>-e) </w:t>
            </w:r>
          </w:p>
        </w:tc>
        <w:tc>
          <w:tcPr>
            <w:tcW w:w="2027" w:type="dxa"/>
            <w:shd w:val="clear" w:color="auto" w:fill="auto"/>
            <w:hideMark/>
          </w:tcPr>
          <w:p w14:paraId="437519F1" w14:textId="58D6DDED" w:rsidR="0005423B" w:rsidRPr="00683FF0" w:rsidRDefault="0005423B" w:rsidP="00D01C12">
            <w:pPr>
              <w:pStyle w:val="TableText"/>
              <w:jc w:val="center"/>
            </w:pPr>
            <w:r w:rsidRPr="00683FF0">
              <w:t>7</w:t>
            </w:r>
          </w:p>
        </w:tc>
        <w:tc>
          <w:tcPr>
            <w:tcW w:w="1701" w:type="dxa"/>
            <w:shd w:val="clear" w:color="auto" w:fill="auto"/>
            <w:hideMark/>
          </w:tcPr>
          <w:p w14:paraId="7E70FB74" w14:textId="460CB15A" w:rsidR="0005423B" w:rsidRPr="00683FF0" w:rsidRDefault="0005423B" w:rsidP="00D01C12">
            <w:pPr>
              <w:pStyle w:val="TableText"/>
              <w:jc w:val="center"/>
            </w:pPr>
            <w:r w:rsidRPr="00683FF0">
              <w:t>8</w:t>
            </w:r>
          </w:p>
        </w:tc>
        <w:tc>
          <w:tcPr>
            <w:tcW w:w="1701" w:type="dxa"/>
            <w:shd w:val="clear" w:color="auto" w:fill="auto"/>
            <w:hideMark/>
          </w:tcPr>
          <w:p w14:paraId="4F6B873A" w14:textId="6FFCA4E1" w:rsidR="0005423B" w:rsidRPr="00683FF0" w:rsidRDefault="0005423B" w:rsidP="00D01C12">
            <w:pPr>
              <w:pStyle w:val="TableText"/>
              <w:jc w:val="center"/>
            </w:pPr>
            <w:r w:rsidRPr="00683FF0">
              <w:t>6</w:t>
            </w:r>
          </w:p>
        </w:tc>
      </w:tr>
      <w:tr w:rsidR="0005423B" w:rsidRPr="00683FF0" w14:paraId="14CB0565" w14:textId="77777777" w:rsidTr="00A04B27">
        <w:tc>
          <w:tcPr>
            <w:tcW w:w="3076" w:type="dxa"/>
            <w:shd w:val="clear" w:color="auto" w:fill="auto"/>
            <w:hideMark/>
          </w:tcPr>
          <w:p w14:paraId="1D1DCBBB" w14:textId="26E71283" w:rsidR="0005423B" w:rsidRPr="00683FF0" w:rsidRDefault="00C1630D" w:rsidP="00D01C12">
            <w:pPr>
              <w:pStyle w:val="TableText"/>
            </w:pPr>
            <w:r w:rsidRPr="00683FF0">
              <w:t xml:space="preserve"> </w:t>
            </w:r>
            <w:r w:rsidR="0005423B" w:rsidRPr="00683FF0">
              <w:rPr>
                <w:i/>
                <w:iCs/>
              </w:rPr>
              <w:t>Non-biogenic methane</w:t>
            </w:r>
            <w:r w:rsidR="0005423B" w:rsidRPr="00683FF0">
              <w:t> (Mt</w:t>
            </w:r>
            <w:r w:rsidR="00E54485" w:rsidRPr="00683FF0">
              <w:t xml:space="preserve"> </w:t>
            </w:r>
            <w:r w:rsidR="0005423B" w:rsidRPr="00683FF0">
              <w:t>CO</w:t>
            </w:r>
            <w:r w:rsidR="0005423B" w:rsidRPr="00683FF0">
              <w:rPr>
                <w:vertAlign w:val="subscript"/>
              </w:rPr>
              <w:t>2</w:t>
            </w:r>
            <w:bookmarkStart w:id="65" w:name="_Hlk102388919"/>
            <w:r w:rsidR="0005423B" w:rsidRPr="00683FF0">
              <w:t>-</w:t>
            </w:r>
            <w:bookmarkEnd w:id="65"/>
            <w:r w:rsidR="0005423B" w:rsidRPr="00683FF0">
              <w:t>e) </w:t>
            </w:r>
          </w:p>
        </w:tc>
        <w:tc>
          <w:tcPr>
            <w:tcW w:w="2027" w:type="dxa"/>
            <w:shd w:val="clear" w:color="auto" w:fill="auto"/>
            <w:hideMark/>
          </w:tcPr>
          <w:p w14:paraId="1B1D8719" w14:textId="4A4E4E1D" w:rsidR="0005423B" w:rsidRPr="00683FF0" w:rsidRDefault="0005423B" w:rsidP="00D01C12">
            <w:pPr>
              <w:pStyle w:val="TableText"/>
              <w:jc w:val="center"/>
            </w:pPr>
            <w:r w:rsidRPr="00683FF0">
              <w:t>3</w:t>
            </w:r>
          </w:p>
        </w:tc>
        <w:tc>
          <w:tcPr>
            <w:tcW w:w="1701" w:type="dxa"/>
            <w:shd w:val="clear" w:color="auto" w:fill="auto"/>
            <w:hideMark/>
          </w:tcPr>
          <w:p w14:paraId="56D48C78" w14:textId="39178A79" w:rsidR="0005423B" w:rsidRPr="00683FF0" w:rsidRDefault="0005423B" w:rsidP="00D01C12">
            <w:pPr>
              <w:pStyle w:val="TableText"/>
              <w:jc w:val="center"/>
            </w:pPr>
            <w:r w:rsidRPr="00683FF0">
              <w:t>4</w:t>
            </w:r>
          </w:p>
        </w:tc>
        <w:tc>
          <w:tcPr>
            <w:tcW w:w="1701" w:type="dxa"/>
            <w:shd w:val="clear" w:color="auto" w:fill="auto"/>
            <w:hideMark/>
          </w:tcPr>
          <w:p w14:paraId="331DAEE3" w14:textId="38511530" w:rsidR="0005423B" w:rsidRPr="00683FF0" w:rsidRDefault="0005423B" w:rsidP="00D01C12">
            <w:pPr>
              <w:pStyle w:val="TableText"/>
              <w:jc w:val="center"/>
            </w:pPr>
            <w:r w:rsidRPr="00683FF0">
              <w:t>3</w:t>
            </w:r>
          </w:p>
        </w:tc>
      </w:tr>
      <w:tr w:rsidR="0005423B" w:rsidRPr="00683FF0" w14:paraId="01539C29" w14:textId="77777777" w:rsidTr="00A04B27">
        <w:tc>
          <w:tcPr>
            <w:tcW w:w="3076" w:type="dxa"/>
            <w:shd w:val="clear" w:color="auto" w:fill="auto"/>
            <w:hideMark/>
          </w:tcPr>
          <w:p w14:paraId="4B9ABFBE" w14:textId="77777777" w:rsidR="0005423B" w:rsidRPr="00683FF0" w:rsidRDefault="0005423B" w:rsidP="00D01C12">
            <w:pPr>
              <w:pStyle w:val="TableTextbold"/>
              <w:spacing w:after="0"/>
            </w:pPr>
            <w:r w:rsidRPr="00683FF0">
              <w:t>Emissions – biogenic methane </w:t>
            </w:r>
          </w:p>
          <w:p w14:paraId="0ABAC3E1" w14:textId="5A7C86CC" w:rsidR="0005423B" w:rsidRPr="00683FF0" w:rsidRDefault="0005423B" w:rsidP="00D01C12">
            <w:pPr>
              <w:pStyle w:val="TableText"/>
              <w:spacing w:before="0"/>
            </w:pPr>
            <w:r w:rsidRPr="00683FF0">
              <w:t>Gross biogenic methane* (Mt CH</w:t>
            </w:r>
            <w:r w:rsidRPr="00683FF0">
              <w:rPr>
                <w:vertAlign w:val="subscript"/>
              </w:rPr>
              <w:t>4</w:t>
            </w:r>
            <w:r w:rsidRPr="00683FF0">
              <w:t>)</w:t>
            </w:r>
          </w:p>
        </w:tc>
        <w:tc>
          <w:tcPr>
            <w:tcW w:w="2027" w:type="dxa"/>
            <w:shd w:val="clear" w:color="auto" w:fill="auto"/>
            <w:hideMark/>
          </w:tcPr>
          <w:p w14:paraId="39F938C6" w14:textId="19A6AB28" w:rsidR="0005423B" w:rsidRPr="00683FF0" w:rsidRDefault="0005423B" w:rsidP="005D38BB">
            <w:pPr>
              <w:pStyle w:val="TableText"/>
              <w:spacing w:before="0"/>
              <w:jc w:val="center"/>
            </w:pPr>
          </w:p>
          <w:p w14:paraId="2903D9F3" w14:textId="2A00D368" w:rsidR="0005423B" w:rsidRPr="00683FF0" w:rsidRDefault="0005423B" w:rsidP="005D38BB">
            <w:pPr>
              <w:pStyle w:val="TableText"/>
              <w:spacing w:before="0"/>
              <w:jc w:val="center"/>
            </w:pPr>
            <w:r w:rsidRPr="00683FF0">
              <w:t>5.04</w:t>
            </w:r>
          </w:p>
        </w:tc>
        <w:tc>
          <w:tcPr>
            <w:tcW w:w="1701" w:type="dxa"/>
            <w:shd w:val="clear" w:color="auto" w:fill="auto"/>
            <w:hideMark/>
          </w:tcPr>
          <w:p w14:paraId="13CD06D6" w14:textId="7CBB0742" w:rsidR="0005423B" w:rsidRPr="00683FF0" w:rsidRDefault="0005423B" w:rsidP="005D38BB">
            <w:pPr>
              <w:pStyle w:val="TableText"/>
              <w:spacing w:before="0"/>
              <w:jc w:val="center"/>
            </w:pPr>
          </w:p>
          <w:p w14:paraId="3B8C0520" w14:textId="77777777" w:rsidR="0005423B" w:rsidRPr="00683FF0" w:rsidRDefault="0005423B" w:rsidP="005D38BB">
            <w:pPr>
              <w:pStyle w:val="TableText"/>
              <w:spacing w:before="0"/>
              <w:jc w:val="center"/>
            </w:pPr>
            <w:r w:rsidRPr="00683FF0">
              <w:t>5.99</w:t>
            </w:r>
          </w:p>
        </w:tc>
        <w:tc>
          <w:tcPr>
            <w:tcW w:w="1701" w:type="dxa"/>
            <w:shd w:val="clear" w:color="auto" w:fill="auto"/>
            <w:hideMark/>
          </w:tcPr>
          <w:p w14:paraId="05AD7E1C" w14:textId="2E125DF2" w:rsidR="0005423B" w:rsidRPr="00683FF0" w:rsidRDefault="0005423B" w:rsidP="005D38BB">
            <w:pPr>
              <w:pStyle w:val="TableText"/>
              <w:spacing w:before="0"/>
              <w:jc w:val="center"/>
            </w:pPr>
          </w:p>
          <w:p w14:paraId="6BCBB7B5" w14:textId="77777777" w:rsidR="0005423B" w:rsidRPr="00683FF0" w:rsidRDefault="0005423B" w:rsidP="005D38BB">
            <w:pPr>
              <w:pStyle w:val="TableText"/>
              <w:spacing w:before="0"/>
              <w:jc w:val="center"/>
            </w:pPr>
            <w:r w:rsidRPr="00683FF0">
              <w:t>5.70</w:t>
            </w:r>
          </w:p>
        </w:tc>
      </w:tr>
    </w:tbl>
    <w:p w14:paraId="0293523E" w14:textId="4FA739DD" w:rsidR="00B04BDE" w:rsidRPr="00683FF0" w:rsidRDefault="00B04BDE" w:rsidP="00D01C12">
      <w:pPr>
        <w:pStyle w:val="Note"/>
        <w:spacing w:after="0"/>
      </w:pPr>
      <w:r w:rsidRPr="00683FF0">
        <w:t>* Note that biogenic methane amounts are provided in megatonnes of methane (Mt</w:t>
      </w:r>
      <w:r w:rsidR="009217FA" w:rsidRPr="00683FF0">
        <w:t xml:space="preserve"> </w:t>
      </w:r>
      <w:r w:rsidRPr="00683FF0">
        <w:t>CH</w:t>
      </w:r>
      <w:r w:rsidRPr="00683FF0">
        <w:rPr>
          <w:vertAlign w:val="subscript"/>
        </w:rPr>
        <w:t>4</w:t>
      </w:r>
      <w:r w:rsidRPr="00683FF0">
        <w:t xml:space="preserve">). </w:t>
      </w:r>
    </w:p>
    <w:p w14:paraId="7F9A78AE" w14:textId="7CD75E12" w:rsidR="0005423B" w:rsidRPr="00683FF0" w:rsidRDefault="00B04BDE" w:rsidP="00D01C12">
      <w:pPr>
        <w:pStyle w:val="Note"/>
        <w:spacing w:before="60"/>
      </w:pPr>
      <w:r w:rsidRPr="00683FF0">
        <w:t>Megatonnes of methane do not equate one-for-one to megatonnes of carbon dioxide equivalent (Mt</w:t>
      </w:r>
      <w:r w:rsidR="00E54485" w:rsidRPr="00683FF0">
        <w:t xml:space="preserve"> </w:t>
      </w:r>
      <w:r w:rsidRPr="00683FF0">
        <w:t>CO</w:t>
      </w:r>
      <w:r w:rsidRPr="00683FF0">
        <w:rPr>
          <w:vertAlign w:val="subscript"/>
        </w:rPr>
        <w:t>2</w:t>
      </w:r>
      <w:r w:rsidR="00E54485" w:rsidRPr="00683FF0">
        <w:t>-</w:t>
      </w:r>
      <w:r w:rsidRPr="00683FF0">
        <w:t>e). As a result, the amounts in this table cannot be summed to give the total net emissions budget. However, the methane volume can be converted into a CO</w:t>
      </w:r>
      <w:r w:rsidRPr="00683FF0">
        <w:rPr>
          <w:vertAlign w:val="subscript"/>
        </w:rPr>
        <w:t>2</w:t>
      </w:r>
      <w:r w:rsidR="00E54485" w:rsidRPr="00683FF0">
        <w:t>-</w:t>
      </w:r>
      <w:r w:rsidRPr="00683FF0">
        <w:t>e amount by multiplying by 25,</w:t>
      </w:r>
      <w:r w:rsidRPr="00683FF0">
        <w:rPr>
          <w:sz w:val="16"/>
          <w:szCs w:val="16"/>
        </w:rPr>
        <w:t xml:space="preserve"> </w:t>
      </w:r>
      <w:r w:rsidRPr="00683FF0">
        <w:t>the IPCC AR4 GWP100 value for methane</w:t>
      </w:r>
      <w:r w:rsidR="00E54485" w:rsidRPr="00683FF0">
        <w:t>.</w:t>
      </w:r>
    </w:p>
    <w:p w14:paraId="645248A4" w14:textId="77777777" w:rsidR="006C15FA" w:rsidRDefault="006C15FA" w:rsidP="00D01C12">
      <w:pPr>
        <w:pStyle w:val="Tableheading"/>
      </w:pPr>
      <w:bookmarkStart w:id="66" w:name="Table4"/>
    </w:p>
    <w:p w14:paraId="12F887FC" w14:textId="77777777" w:rsidR="006C15FA" w:rsidRDefault="006C15FA" w:rsidP="00D01C12">
      <w:pPr>
        <w:pStyle w:val="Tableheading"/>
      </w:pPr>
    </w:p>
    <w:p w14:paraId="6414965C" w14:textId="2CBE1356" w:rsidR="0005423B" w:rsidRPr="00683FF0" w:rsidRDefault="0005423B" w:rsidP="00D01C12">
      <w:pPr>
        <w:pStyle w:val="Tableheading"/>
        <w:rPr>
          <w:bCs/>
        </w:rPr>
      </w:pPr>
      <w:r w:rsidRPr="00683FF0">
        <w:t xml:space="preserve">Climate Change </w:t>
      </w:r>
      <w:r w:rsidR="001176AC" w:rsidRPr="00683FF0">
        <w:t>C</w:t>
      </w:r>
      <w:r w:rsidRPr="00683FF0">
        <w:t>ommission emissions budgets 3</w:t>
      </w:r>
    </w:p>
    <w:bookmarkEnd w:id="66"/>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left w:w="85" w:type="dxa"/>
          <w:right w:w="85" w:type="dxa"/>
        </w:tblCellMar>
        <w:tblLook w:val="04A0" w:firstRow="1" w:lastRow="0" w:firstColumn="1" w:lastColumn="0" w:noHBand="0" w:noVBand="1"/>
      </w:tblPr>
      <w:tblGrid>
        <w:gridCol w:w="2846"/>
        <w:gridCol w:w="661"/>
        <w:gridCol w:w="1666"/>
        <w:gridCol w:w="1666"/>
        <w:gridCol w:w="1666"/>
      </w:tblGrid>
      <w:tr w:rsidR="00DF76C7" w:rsidRPr="00683FF0" w14:paraId="36ED39DD" w14:textId="77777777" w:rsidTr="00FD2FB2">
        <w:trPr>
          <w:tblHeader/>
        </w:trPr>
        <w:tc>
          <w:tcPr>
            <w:tcW w:w="3114" w:type="dxa"/>
            <w:shd w:val="clear" w:color="auto" w:fill="1B556B" w:themeFill="text2"/>
            <w:vAlign w:val="bottom"/>
          </w:tcPr>
          <w:p w14:paraId="04D92310" w14:textId="77777777" w:rsidR="0005423B" w:rsidRPr="00683FF0" w:rsidRDefault="0005423B" w:rsidP="00DF76C7">
            <w:pPr>
              <w:pStyle w:val="TableTextbold"/>
              <w:jc w:val="center"/>
              <w:rPr>
                <w:color w:val="FFFFFF" w:themeColor="background1"/>
              </w:rPr>
            </w:pPr>
          </w:p>
        </w:tc>
        <w:tc>
          <w:tcPr>
            <w:tcW w:w="709" w:type="dxa"/>
            <w:shd w:val="clear" w:color="auto" w:fill="1B556B" w:themeFill="text2"/>
            <w:vAlign w:val="bottom"/>
          </w:tcPr>
          <w:p w14:paraId="1922D5E9" w14:textId="77777777" w:rsidR="0005423B" w:rsidRPr="00683FF0" w:rsidRDefault="0005423B" w:rsidP="00DF76C7">
            <w:pPr>
              <w:pStyle w:val="TableTextbold"/>
              <w:jc w:val="center"/>
              <w:rPr>
                <w:color w:val="FFFFFF" w:themeColor="background1"/>
              </w:rPr>
            </w:pPr>
            <w:r w:rsidRPr="00683FF0">
              <w:rPr>
                <w:color w:val="FFFFFF" w:themeColor="background1"/>
              </w:rPr>
              <w:t>2019</w:t>
            </w:r>
          </w:p>
        </w:tc>
        <w:tc>
          <w:tcPr>
            <w:tcW w:w="1814" w:type="dxa"/>
            <w:shd w:val="clear" w:color="auto" w:fill="1B556B" w:themeFill="text2"/>
            <w:vAlign w:val="bottom"/>
          </w:tcPr>
          <w:p w14:paraId="68750EDA" w14:textId="58880E20" w:rsidR="0005423B" w:rsidRPr="00683FF0" w:rsidRDefault="0005423B" w:rsidP="00DF76C7">
            <w:pPr>
              <w:pStyle w:val="TableTextbold"/>
              <w:jc w:val="center"/>
              <w:rPr>
                <w:color w:val="FFFFFF" w:themeColor="background1"/>
              </w:rPr>
            </w:pPr>
            <w:r w:rsidRPr="00683FF0">
              <w:rPr>
                <w:color w:val="FFFFFF" w:themeColor="background1"/>
              </w:rPr>
              <w:t xml:space="preserve">Emissions </w:t>
            </w:r>
            <w:r w:rsidR="00AF2CE5" w:rsidRPr="00683FF0">
              <w:rPr>
                <w:color w:val="FFFFFF" w:themeColor="background1"/>
              </w:rPr>
              <w:t>b</w:t>
            </w:r>
            <w:r w:rsidRPr="00683FF0">
              <w:rPr>
                <w:color w:val="FFFFFF" w:themeColor="background1"/>
              </w:rPr>
              <w:t xml:space="preserve">udget 1 </w:t>
            </w:r>
            <w:r w:rsidR="00B82A85" w:rsidRPr="00683FF0">
              <w:rPr>
                <w:color w:val="FFFFFF" w:themeColor="background1"/>
              </w:rPr>
              <w:br/>
            </w:r>
            <w:r w:rsidRPr="00683FF0">
              <w:rPr>
                <w:color w:val="FFFFFF" w:themeColor="background1"/>
              </w:rPr>
              <w:t>2022</w:t>
            </w:r>
            <w:r w:rsidR="00733354" w:rsidRPr="00683FF0">
              <w:rPr>
                <w:color w:val="FFFFFF" w:themeColor="background1"/>
              </w:rPr>
              <w:t>–</w:t>
            </w:r>
            <w:r w:rsidRPr="00683FF0">
              <w:rPr>
                <w:color w:val="FFFFFF" w:themeColor="background1"/>
              </w:rPr>
              <w:t>25</w:t>
            </w:r>
          </w:p>
        </w:tc>
        <w:tc>
          <w:tcPr>
            <w:tcW w:w="1814" w:type="dxa"/>
            <w:shd w:val="clear" w:color="auto" w:fill="1B556B" w:themeFill="text2"/>
            <w:vAlign w:val="bottom"/>
          </w:tcPr>
          <w:p w14:paraId="6DC7BEC6" w14:textId="7692D563" w:rsidR="0005423B" w:rsidRPr="00683FF0" w:rsidRDefault="0005423B" w:rsidP="00DF76C7">
            <w:pPr>
              <w:pStyle w:val="TableTextbold"/>
              <w:jc w:val="center"/>
              <w:rPr>
                <w:color w:val="FFFFFF" w:themeColor="background1"/>
              </w:rPr>
            </w:pPr>
            <w:r w:rsidRPr="00683FF0">
              <w:rPr>
                <w:color w:val="FFFFFF" w:themeColor="background1"/>
              </w:rPr>
              <w:t xml:space="preserve">Emissions </w:t>
            </w:r>
            <w:r w:rsidR="00AF2CE5" w:rsidRPr="00683FF0">
              <w:rPr>
                <w:color w:val="FFFFFF" w:themeColor="background1"/>
              </w:rPr>
              <w:t>b</w:t>
            </w:r>
            <w:r w:rsidRPr="00683FF0">
              <w:rPr>
                <w:color w:val="FFFFFF" w:themeColor="background1"/>
              </w:rPr>
              <w:t xml:space="preserve">udget 2 </w:t>
            </w:r>
            <w:r w:rsidR="00B82A85" w:rsidRPr="00683FF0">
              <w:rPr>
                <w:color w:val="FFFFFF" w:themeColor="background1"/>
              </w:rPr>
              <w:br/>
            </w:r>
            <w:r w:rsidRPr="00683FF0">
              <w:rPr>
                <w:color w:val="FFFFFF" w:themeColor="background1"/>
              </w:rPr>
              <w:t>2026</w:t>
            </w:r>
            <w:r w:rsidR="00733354" w:rsidRPr="00683FF0">
              <w:rPr>
                <w:color w:val="FFFFFF" w:themeColor="background1"/>
              </w:rPr>
              <w:t>–</w:t>
            </w:r>
            <w:r w:rsidRPr="00683FF0">
              <w:rPr>
                <w:color w:val="FFFFFF" w:themeColor="background1"/>
              </w:rPr>
              <w:t>30</w:t>
            </w:r>
          </w:p>
        </w:tc>
        <w:tc>
          <w:tcPr>
            <w:tcW w:w="1814" w:type="dxa"/>
            <w:shd w:val="clear" w:color="auto" w:fill="1B556B" w:themeFill="text2"/>
            <w:vAlign w:val="bottom"/>
          </w:tcPr>
          <w:p w14:paraId="22EE9C41" w14:textId="7A112927" w:rsidR="0005423B" w:rsidRPr="00683FF0" w:rsidRDefault="0005423B" w:rsidP="00DF76C7">
            <w:pPr>
              <w:pStyle w:val="TableTextbold"/>
              <w:jc w:val="center"/>
              <w:rPr>
                <w:color w:val="FFFFFF" w:themeColor="background1"/>
              </w:rPr>
            </w:pPr>
            <w:r w:rsidRPr="00683FF0">
              <w:rPr>
                <w:color w:val="FFFFFF" w:themeColor="background1"/>
              </w:rPr>
              <w:t xml:space="preserve">Emissions </w:t>
            </w:r>
            <w:r w:rsidR="00AF2CE5" w:rsidRPr="00683FF0">
              <w:rPr>
                <w:color w:val="FFFFFF" w:themeColor="background1"/>
              </w:rPr>
              <w:t>b</w:t>
            </w:r>
            <w:r w:rsidRPr="00683FF0">
              <w:rPr>
                <w:color w:val="FFFFFF" w:themeColor="background1"/>
              </w:rPr>
              <w:t xml:space="preserve">udget 3 </w:t>
            </w:r>
            <w:r w:rsidR="00B82A85" w:rsidRPr="00683FF0">
              <w:rPr>
                <w:color w:val="FFFFFF" w:themeColor="background1"/>
              </w:rPr>
              <w:br/>
            </w:r>
            <w:r w:rsidRPr="00683FF0">
              <w:rPr>
                <w:color w:val="FFFFFF" w:themeColor="background1"/>
              </w:rPr>
              <w:t>2030</w:t>
            </w:r>
            <w:r w:rsidR="00733354" w:rsidRPr="00683FF0">
              <w:rPr>
                <w:color w:val="FFFFFF" w:themeColor="background1"/>
              </w:rPr>
              <w:t>–</w:t>
            </w:r>
            <w:r w:rsidRPr="00683FF0">
              <w:rPr>
                <w:color w:val="FFFFFF" w:themeColor="background1"/>
              </w:rPr>
              <w:t>35</w:t>
            </w:r>
          </w:p>
        </w:tc>
      </w:tr>
      <w:tr w:rsidR="0005423B" w:rsidRPr="00683FF0" w14:paraId="72F207AC" w14:textId="77777777" w:rsidTr="00FD2FB2">
        <w:tc>
          <w:tcPr>
            <w:tcW w:w="3114" w:type="dxa"/>
          </w:tcPr>
          <w:p w14:paraId="45D19B5E" w14:textId="4C36AE3A" w:rsidR="0005423B" w:rsidRPr="00683FF0" w:rsidRDefault="0005423B" w:rsidP="00FC55E3">
            <w:pPr>
              <w:pStyle w:val="TableTextbold"/>
              <w:spacing w:after="0"/>
            </w:pPr>
            <w:r w:rsidRPr="00683FF0">
              <w:t>Total net emissions (Mt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154234F3" w14:textId="34D8EE9A" w:rsidR="0005423B" w:rsidRPr="00683FF0" w:rsidRDefault="0005423B" w:rsidP="006C5770">
            <w:pPr>
              <w:pStyle w:val="TableText"/>
              <w:spacing w:after="0"/>
              <w:ind w:left="170"/>
            </w:pPr>
            <w:r w:rsidRPr="00683FF0">
              <w:t>Annual average</w:t>
            </w:r>
          </w:p>
          <w:p w14:paraId="27F612EA" w14:textId="2F4CEAD0" w:rsidR="0005423B" w:rsidRPr="00683FF0" w:rsidRDefault="0005423B" w:rsidP="00FC55E3">
            <w:pPr>
              <w:pStyle w:val="TableText"/>
              <w:ind w:left="170"/>
            </w:pPr>
            <w:r w:rsidRPr="00683FF0">
              <w:t>Reduction from 2019</w:t>
            </w:r>
          </w:p>
        </w:tc>
        <w:tc>
          <w:tcPr>
            <w:tcW w:w="709" w:type="dxa"/>
          </w:tcPr>
          <w:p w14:paraId="26405D2C" w14:textId="77777777" w:rsidR="0005423B" w:rsidRPr="00683FF0" w:rsidRDefault="0005423B" w:rsidP="00FC55E3">
            <w:pPr>
              <w:pStyle w:val="TableText"/>
              <w:spacing w:after="0"/>
              <w:jc w:val="center"/>
            </w:pPr>
          </w:p>
          <w:p w14:paraId="0E432360" w14:textId="77777777" w:rsidR="0005423B" w:rsidRPr="00683FF0" w:rsidRDefault="0005423B" w:rsidP="00FC55E3">
            <w:pPr>
              <w:pStyle w:val="TableText"/>
              <w:jc w:val="center"/>
            </w:pPr>
            <w:r w:rsidRPr="00683FF0">
              <w:t>74.9</w:t>
            </w:r>
          </w:p>
        </w:tc>
        <w:tc>
          <w:tcPr>
            <w:tcW w:w="1814" w:type="dxa"/>
          </w:tcPr>
          <w:p w14:paraId="40B0CACE" w14:textId="77777777" w:rsidR="0005423B" w:rsidRPr="00683FF0" w:rsidRDefault="0005423B" w:rsidP="00FC55E3">
            <w:pPr>
              <w:pStyle w:val="TableText"/>
              <w:spacing w:after="0"/>
              <w:jc w:val="center"/>
            </w:pPr>
          </w:p>
          <w:p w14:paraId="59610BC3" w14:textId="77777777" w:rsidR="0005423B" w:rsidRPr="00683FF0" w:rsidRDefault="0005423B" w:rsidP="006C5770">
            <w:pPr>
              <w:pStyle w:val="TableText"/>
              <w:spacing w:after="0"/>
              <w:jc w:val="center"/>
            </w:pPr>
            <w:r w:rsidRPr="00683FF0">
              <w:t>69.5</w:t>
            </w:r>
          </w:p>
          <w:p w14:paraId="7B0D2A41" w14:textId="77777777" w:rsidR="0005423B" w:rsidRPr="00683FF0" w:rsidRDefault="0005423B" w:rsidP="00FC55E3">
            <w:pPr>
              <w:pStyle w:val="TableText"/>
              <w:jc w:val="center"/>
            </w:pPr>
            <w:r w:rsidRPr="00683FF0">
              <w:t>5.4</w:t>
            </w:r>
          </w:p>
        </w:tc>
        <w:tc>
          <w:tcPr>
            <w:tcW w:w="1814" w:type="dxa"/>
          </w:tcPr>
          <w:p w14:paraId="431AE777" w14:textId="77777777" w:rsidR="0005423B" w:rsidRPr="00683FF0" w:rsidRDefault="0005423B" w:rsidP="00FC55E3">
            <w:pPr>
              <w:pStyle w:val="TableText"/>
              <w:spacing w:after="0"/>
              <w:jc w:val="center"/>
            </w:pPr>
          </w:p>
          <w:p w14:paraId="7A2E90C6" w14:textId="77777777" w:rsidR="0005423B" w:rsidRPr="00683FF0" w:rsidRDefault="0005423B" w:rsidP="006C5770">
            <w:pPr>
              <w:pStyle w:val="TableText"/>
              <w:spacing w:after="0"/>
              <w:jc w:val="center"/>
            </w:pPr>
            <w:r w:rsidRPr="00683FF0">
              <w:t>59.7</w:t>
            </w:r>
          </w:p>
          <w:p w14:paraId="6775063F" w14:textId="77777777" w:rsidR="0005423B" w:rsidRPr="00683FF0" w:rsidRDefault="0005423B" w:rsidP="00FC55E3">
            <w:pPr>
              <w:pStyle w:val="TableText"/>
              <w:jc w:val="center"/>
            </w:pPr>
            <w:r w:rsidRPr="00683FF0">
              <w:t>15.3</w:t>
            </w:r>
          </w:p>
        </w:tc>
        <w:tc>
          <w:tcPr>
            <w:tcW w:w="1814" w:type="dxa"/>
          </w:tcPr>
          <w:p w14:paraId="0F7D84B8" w14:textId="77777777" w:rsidR="0005423B" w:rsidRPr="00683FF0" w:rsidRDefault="0005423B" w:rsidP="00FC55E3">
            <w:pPr>
              <w:pStyle w:val="TableText"/>
              <w:spacing w:after="0"/>
              <w:jc w:val="center"/>
            </w:pPr>
          </w:p>
          <w:p w14:paraId="5D59348C" w14:textId="77777777" w:rsidR="0005423B" w:rsidRPr="00683FF0" w:rsidRDefault="0005423B" w:rsidP="006C5770">
            <w:pPr>
              <w:pStyle w:val="TableText"/>
              <w:spacing w:after="0"/>
              <w:jc w:val="center"/>
            </w:pPr>
            <w:r w:rsidRPr="00683FF0">
              <w:t>47.9</w:t>
            </w:r>
          </w:p>
          <w:p w14:paraId="4241D76B" w14:textId="77777777" w:rsidR="0005423B" w:rsidRPr="00683FF0" w:rsidRDefault="0005423B" w:rsidP="00FC55E3">
            <w:pPr>
              <w:pStyle w:val="TableText"/>
              <w:jc w:val="center"/>
            </w:pPr>
            <w:r w:rsidRPr="00683FF0">
              <w:t>27.0</w:t>
            </w:r>
          </w:p>
        </w:tc>
      </w:tr>
      <w:tr w:rsidR="0005423B" w:rsidRPr="00683FF0" w14:paraId="547A98F2" w14:textId="77777777" w:rsidTr="00FD2FB2">
        <w:tc>
          <w:tcPr>
            <w:tcW w:w="3114" w:type="dxa"/>
          </w:tcPr>
          <w:p w14:paraId="4A1D4F97" w14:textId="68C6D61D" w:rsidR="0005423B" w:rsidRPr="00683FF0" w:rsidRDefault="0005423B" w:rsidP="00FD2FB2">
            <w:pPr>
              <w:pStyle w:val="TableTextbold"/>
              <w:spacing w:after="0"/>
            </w:pPr>
            <w:r w:rsidRPr="00683FF0">
              <w:t>Total gross emissions (Mt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6183224E" w14:textId="4071B438" w:rsidR="0005423B" w:rsidRPr="00683FF0" w:rsidRDefault="0005423B" w:rsidP="00FD2FB2">
            <w:pPr>
              <w:pStyle w:val="TableText"/>
              <w:spacing w:after="0"/>
              <w:ind w:left="170"/>
            </w:pPr>
            <w:r w:rsidRPr="00683FF0">
              <w:t>Annual average</w:t>
            </w:r>
          </w:p>
          <w:p w14:paraId="7EC7EAFD" w14:textId="3F6DE80B" w:rsidR="0005423B" w:rsidRPr="00683FF0" w:rsidRDefault="0005423B" w:rsidP="00FD2FB2">
            <w:pPr>
              <w:pStyle w:val="TableText"/>
              <w:ind w:left="170"/>
            </w:pPr>
            <w:r w:rsidRPr="00683FF0">
              <w:t>Reduction from 2019</w:t>
            </w:r>
          </w:p>
        </w:tc>
        <w:tc>
          <w:tcPr>
            <w:tcW w:w="709" w:type="dxa"/>
          </w:tcPr>
          <w:p w14:paraId="568EF840" w14:textId="77777777" w:rsidR="0005423B" w:rsidRPr="00683FF0" w:rsidRDefault="0005423B" w:rsidP="00FD2FB2">
            <w:pPr>
              <w:pStyle w:val="TableText"/>
              <w:spacing w:after="0"/>
              <w:jc w:val="center"/>
            </w:pPr>
          </w:p>
          <w:p w14:paraId="45D69155" w14:textId="77777777" w:rsidR="0005423B" w:rsidRPr="00683FF0" w:rsidRDefault="0005423B" w:rsidP="00FD2FB2">
            <w:pPr>
              <w:pStyle w:val="TableText"/>
              <w:spacing w:after="0"/>
              <w:jc w:val="center"/>
            </w:pPr>
            <w:r w:rsidRPr="00683FF0">
              <w:t>82.3</w:t>
            </w:r>
          </w:p>
        </w:tc>
        <w:tc>
          <w:tcPr>
            <w:tcW w:w="1814" w:type="dxa"/>
          </w:tcPr>
          <w:p w14:paraId="53923ACD" w14:textId="77777777" w:rsidR="0005423B" w:rsidRPr="00683FF0" w:rsidRDefault="0005423B" w:rsidP="00FD2FB2">
            <w:pPr>
              <w:pStyle w:val="TableText"/>
              <w:spacing w:after="0"/>
              <w:jc w:val="center"/>
            </w:pPr>
          </w:p>
          <w:p w14:paraId="2BE6AAE8" w14:textId="77777777" w:rsidR="0005423B" w:rsidRPr="00683FF0" w:rsidRDefault="0005423B" w:rsidP="00FD2FB2">
            <w:pPr>
              <w:pStyle w:val="TableText"/>
              <w:spacing w:after="0"/>
              <w:jc w:val="center"/>
            </w:pPr>
            <w:r w:rsidRPr="00683FF0">
              <w:t>76.1</w:t>
            </w:r>
          </w:p>
          <w:p w14:paraId="4B37575A" w14:textId="77777777" w:rsidR="0005423B" w:rsidRPr="00683FF0" w:rsidRDefault="0005423B" w:rsidP="00FC55E3">
            <w:pPr>
              <w:pStyle w:val="TableText"/>
              <w:jc w:val="center"/>
            </w:pPr>
            <w:r w:rsidRPr="00683FF0">
              <w:t>6.2</w:t>
            </w:r>
          </w:p>
        </w:tc>
        <w:tc>
          <w:tcPr>
            <w:tcW w:w="1814" w:type="dxa"/>
          </w:tcPr>
          <w:p w14:paraId="251F0611" w14:textId="77777777" w:rsidR="0005423B" w:rsidRPr="00683FF0" w:rsidRDefault="0005423B" w:rsidP="00FD2FB2">
            <w:pPr>
              <w:pStyle w:val="TableText"/>
              <w:spacing w:after="0"/>
              <w:jc w:val="center"/>
            </w:pPr>
          </w:p>
          <w:p w14:paraId="32388302" w14:textId="77777777" w:rsidR="0005423B" w:rsidRPr="00683FF0" w:rsidRDefault="0005423B" w:rsidP="00FD2FB2">
            <w:pPr>
              <w:pStyle w:val="TableText"/>
              <w:spacing w:after="0"/>
              <w:jc w:val="center"/>
            </w:pPr>
            <w:r w:rsidRPr="00683FF0">
              <w:t>69.7</w:t>
            </w:r>
          </w:p>
          <w:p w14:paraId="3D06AC7C" w14:textId="77777777" w:rsidR="0005423B" w:rsidRPr="00683FF0" w:rsidRDefault="0005423B" w:rsidP="00FC55E3">
            <w:pPr>
              <w:pStyle w:val="TableText"/>
              <w:jc w:val="center"/>
            </w:pPr>
            <w:r w:rsidRPr="00683FF0">
              <w:t>12.6</w:t>
            </w:r>
          </w:p>
        </w:tc>
        <w:tc>
          <w:tcPr>
            <w:tcW w:w="1814" w:type="dxa"/>
          </w:tcPr>
          <w:p w14:paraId="4413D2D6" w14:textId="77777777" w:rsidR="0005423B" w:rsidRPr="00683FF0" w:rsidRDefault="0005423B" w:rsidP="00FD2FB2">
            <w:pPr>
              <w:pStyle w:val="TableText"/>
              <w:spacing w:after="0"/>
              <w:jc w:val="center"/>
            </w:pPr>
          </w:p>
          <w:p w14:paraId="478C21A6" w14:textId="77777777" w:rsidR="0005423B" w:rsidRPr="00683FF0" w:rsidRDefault="0005423B" w:rsidP="00FD2FB2">
            <w:pPr>
              <w:pStyle w:val="TableText"/>
              <w:spacing w:after="0"/>
              <w:jc w:val="center"/>
            </w:pPr>
            <w:r w:rsidRPr="00683FF0">
              <w:t>47.9</w:t>
            </w:r>
          </w:p>
          <w:p w14:paraId="65F3C933" w14:textId="77777777" w:rsidR="0005423B" w:rsidRPr="00683FF0" w:rsidRDefault="0005423B" w:rsidP="00FC55E3">
            <w:pPr>
              <w:pStyle w:val="TableText"/>
              <w:jc w:val="center"/>
            </w:pPr>
            <w:r w:rsidRPr="00683FF0">
              <w:t>27.0</w:t>
            </w:r>
          </w:p>
        </w:tc>
      </w:tr>
      <w:tr w:rsidR="0005423B" w:rsidRPr="00683FF0" w14:paraId="055B3832" w14:textId="77777777" w:rsidTr="00FD2FB2">
        <w:tc>
          <w:tcPr>
            <w:tcW w:w="9265" w:type="dxa"/>
            <w:gridSpan w:val="5"/>
          </w:tcPr>
          <w:p w14:paraId="7E4A5992" w14:textId="77777777" w:rsidR="0005423B" w:rsidRPr="00683FF0" w:rsidRDefault="0005423B" w:rsidP="00FD2FB2">
            <w:pPr>
              <w:pStyle w:val="TableText"/>
              <w:rPr>
                <w:i/>
                <w:iCs/>
              </w:rPr>
            </w:pPr>
            <w:r w:rsidRPr="00683FF0">
              <w:rPr>
                <w:i/>
                <w:iCs/>
              </w:rPr>
              <w:t>Broken down by:</w:t>
            </w:r>
          </w:p>
        </w:tc>
      </w:tr>
      <w:tr w:rsidR="0005423B" w:rsidRPr="00683FF0" w14:paraId="435F9826" w14:textId="77777777" w:rsidTr="00FD2FB2">
        <w:tc>
          <w:tcPr>
            <w:tcW w:w="3114" w:type="dxa"/>
          </w:tcPr>
          <w:p w14:paraId="178776E9" w14:textId="6E60FA23" w:rsidR="0005423B" w:rsidRPr="00683FF0" w:rsidRDefault="0005423B" w:rsidP="00703AB6">
            <w:pPr>
              <w:pStyle w:val="TableText"/>
              <w:spacing w:after="0"/>
              <w:rPr>
                <w:b/>
                <w:bCs/>
              </w:rPr>
            </w:pPr>
            <w:r w:rsidRPr="00683FF0">
              <w:rPr>
                <w:b/>
                <w:bCs/>
              </w:rPr>
              <w:t>Carbon dioxide (gross)</w:t>
            </w:r>
            <w:r w:rsidRPr="00683FF0">
              <w:t>(Mt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42E98A95" w14:textId="749E365A" w:rsidR="0005423B" w:rsidRPr="00683FF0" w:rsidRDefault="0005423B" w:rsidP="00703AB6">
            <w:pPr>
              <w:pStyle w:val="TableText"/>
              <w:spacing w:after="0"/>
              <w:ind w:left="170"/>
            </w:pPr>
            <w:r w:rsidRPr="00683FF0">
              <w:t>Annual average</w:t>
            </w:r>
          </w:p>
          <w:p w14:paraId="147649FA" w14:textId="749819B2" w:rsidR="0005423B" w:rsidRPr="00683FF0" w:rsidRDefault="0005423B" w:rsidP="00703AB6">
            <w:pPr>
              <w:pStyle w:val="TableText"/>
              <w:ind w:left="170"/>
            </w:pPr>
            <w:r w:rsidRPr="00683FF0">
              <w:t>Reduction from 2019</w:t>
            </w:r>
          </w:p>
        </w:tc>
        <w:tc>
          <w:tcPr>
            <w:tcW w:w="709" w:type="dxa"/>
          </w:tcPr>
          <w:p w14:paraId="1900B91D" w14:textId="77777777" w:rsidR="0005423B" w:rsidRPr="00683FF0" w:rsidRDefault="0005423B" w:rsidP="00FD7878">
            <w:pPr>
              <w:pStyle w:val="TableText"/>
              <w:spacing w:after="0"/>
              <w:jc w:val="center"/>
            </w:pPr>
          </w:p>
          <w:p w14:paraId="4BCA5757" w14:textId="77777777" w:rsidR="0005423B" w:rsidRPr="00683FF0" w:rsidRDefault="0005423B" w:rsidP="00FD7878">
            <w:pPr>
              <w:pStyle w:val="TableText"/>
              <w:jc w:val="center"/>
            </w:pPr>
            <w:r w:rsidRPr="00683FF0">
              <w:t>37.5</w:t>
            </w:r>
          </w:p>
        </w:tc>
        <w:tc>
          <w:tcPr>
            <w:tcW w:w="1814" w:type="dxa"/>
          </w:tcPr>
          <w:p w14:paraId="2C857B39" w14:textId="77777777" w:rsidR="0005423B" w:rsidRPr="00683FF0" w:rsidRDefault="0005423B" w:rsidP="00FD7878">
            <w:pPr>
              <w:pStyle w:val="TableText"/>
              <w:spacing w:after="0"/>
              <w:jc w:val="center"/>
            </w:pPr>
          </w:p>
          <w:p w14:paraId="17D512A6" w14:textId="77777777" w:rsidR="0005423B" w:rsidRPr="00683FF0" w:rsidRDefault="0005423B" w:rsidP="00FD7878">
            <w:pPr>
              <w:pStyle w:val="TableText"/>
              <w:spacing w:after="0"/>
              <w:jc w:val="center"/>
            </w:pPr>
            <w:r w:rsidRPr="00683FF0">
              <w:t>34.0</w:t>
            </w:r>
          </w:p>
          <w:p w14:paraId="64393515" w14:textId="77777777" w:rsidR="0005423B" w:rsidRPr="00683FF0" w:rsidRDefault="0005423B" w:rsidP="00FD7878">
            <w:pPr>
              <w:pStyle w:val="TableText"/>
              <w:jc w:val="center"/>
            </w:pPr>
            <w:r w:rsidRPr="00683FF0">
              <w:t>3.5</w:t>
            </w:r>
          </w:p>
        </w:tc>
        <w:tc>
          <w:tcPr>
            <w:tcW w:w="1814" w:type="dxa"/>
          </w:tcPr>
          <w:p w14:paraId="01B64B1D" w14:textId="77777777" w:rsidR="0005423B" w:rsidRPr="00683FF0" w:rsidRDefault="0005423B" w:rsidP="00FD7878">
            <w:pPr>
              <w:pStyle w:val="TableText"/>
              <w:spacing w:after="0"/>
              <w:jc w:val="center"/>
            </w:pPr>
          </w:p>
          <w:p w14:paraId="496C3AE7" w14:textId="77777777" w:rsidR="0005423B" w:rsidRPr="00683FF0" w:rsidRDefault="0005423B" w:rsidP="00FD7878">
            <w:pPr>
              <w:pStyle w:val="TableText"/>
              <w:spacing w:after="0"/>
              <w:jc w:val="center"/>
            </w:pPr>
            <w:r w:rsidRPr="00683FF0">
              <w:t>29.8</w:t>
            </w:r>
          </w:p>
          <w:p w14:paraId="581C7F91" w14:textId="77777777" w:rsidR="0005423B" w:rsidRPr="00683FF0" w:rsidRDefault="0005423B" w:rsidP="00FD7878">
            <w:pPr>
              <w:pStyle w:val="TableText"/>
              <w:jc w:val="center"/>
            </w:pPr>
            <w:r w:rsidRPr="00683FF0">
              <w:t>7.7</w:t>
            </w:r>
          </w:p>
        </w:tc>
        <w:tc>
          <w:tcPr>
            <w:tcW w:w="1814" w:type="dxa"/>
          </w:tcPr>
          <w:p w14:paraId="5856D1BD" w14:textId="77777777" w:rsidR="0005423B" w:rsidRPr="00683FF0" w:rsidRDefault="0005423B" w:rsidP="00FD7878">
            <w:pPr>
              <w:pStyle w:val="TableText"/>
              <w:spacing w:after="0"/>
              <w:jc w:val="center"/>
            </w:pPr>
          </w:p>
          <w:p w14:paraId="15B9275D" w14:textId="77777777" w:rsidR="0005423B" w:rsidRPr="00683FF0" w:rsidRDefault="0005423B" w:rsidP="00FD7878">
            <w:pPr>
              <w:pStyle w:val="TableText"/>
              <w:spacing w:after="0"/>
              <w:jc w:val="center"/>
            </w:pPr>
            <w:r w:rsidRPr="00683FF0">
              <w:t>24.1</w:t>
            </w:r>
          </w:p>
          <w:p w14:paraId="7B27DD3E" w14:textId="77777777" w:rsidR="0005423B" w:rsidRPr="00683FF0" w:rsidRDefault="0005423B" w:rsidP="00FD7878">
            <w:pPr>
              <w:pStyle w:val="TableText"/>
              <w:jc w:val="center"/>
            </w:pPr>
            <w:r w:rsidRPr="00683FF0">
              <w:t>13.4</w:t>
            </w:r>
          </w:p>
        </w:tc>
      </w:tr>
      <w:tr w:rsidR="0005423B" w:rsidRPr="00683FF0" w14:paraId="70F3731C" w14:textId="77777777" w:rsidTr="00FD2FB2">
        <w:tc>
          <w:tcPr>
            <w:tcW w:w="3114" w:type="dxa"/>
          </w:tcPr>
          <w:p w14:paraId="455CB0C3" w14:textId="6F505264" w:rsidR="0005423B" w:rsidRPr="00683FF0" w:rsidRDefault="0005423B" w:rsidP="00703AB6">
            <w:pPr>
              <w:pStyle w:val="TableText"/>
              <w:spacing w:after="0"/>
              <w:rPr>
                <w:b/>
                <w:bCs/>
              </w:rPr>
            </w:pPr>
            <w:r w:rsidRPr="00683FF0">
              <w:rPr>
                <w:b/>
                <w:bCs/>
              </w:rPr>
              <w:t>Nitrous oxide</w:t>
            </w:r>
            <w:r w:rsidRPr="00683FF0">
              <w:t xml:space="preserve"> (Mt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0FF60335" w14:textId="72037211" w:rsidR="0005423B" w:rsidRPr="00683FF0" w:rsidRDefault="0005423B" w:rsidP="00703AB6">
            <w:pPr>
              <w:pStyle w:val="TableText"/>
              <w:spacing w:after="0"/>
              <w:ind w:left="170"/>
            </w:pPr>
            <w:r w:rsidRPr="00683FF0">
              <w:t>Annual average</w:t>
            </w:r>
          </w:p>
          <w:p w14:paraId="6BE5BDFA" w14:textId="093BF0D6" w:rsidR="0005423B" w:rsidRPr="00683FF0" w:rsidRDefault="0005423B" w:rsidP="00703AB6">
            <w:pPr>
              <w:pStyle w:val="TableText"/>
              <w:ind w:left="170"/>
            </w:pPr>
            <w:r w:rsidRPr="00683FF0">
              <w:t>Reduction from 2019</w:t>
            </w:r>
          </w:p>
        </w:tc>
        <w:tc>
          <w:tcPr>
            <w:tcW w:w="709" w:type="dxa"/>
          </w:tcPr>
          <w:p w14:paraId="67B602B9" w14:textId="77777777" w:rsidR="0005423B" w:rsidRPr="00683FF0" w:rsidRDefault="0005423B" w:rsidP="00FD7878">
            <w:pPr>
              <w:pStyle w:val="TableText"/>
              <w:spacing w:after="0"/>
              <w:jc w:val="center"/>
            </w:pPr>
          </w:p>
          <w:p w14:paraId="4C936A6B" w14:textId="77777777" w:rsidR="0005423B" w:rsidRPr="00683FF0" w:rsidRDefault="0005423B" w:rsidP="00FD7878">
            <w:pPr>
              <w:pStyle w:val="TableText"/>
              <w:spacing w:after="0"/>
              <w:jc w:val="center"/>
            </w:pPr>
            <w:r w:rsidRPr="00683FF0">
              <w:t>8.4</w:t>
            </w:r>
          </w:p>
        </w:tc>
        <w:tc>
          <w:tcPr>
            <w:tcW w:w="1814" w:type="dxa"/>
          </w:tcPr>
          <w:p w14:paraId="4E666456" w14:textId="77777777" w:rsidR="0005423B" w:rsidRPr="00683FF0" w:rsidRDefault="0005423B" w:rsidP="00FD7878">
            <w:pPr>
              <w:pStyle w:val="TableText"/>
              <w:spacing w:after="0"/>
              <w:jc w:val="center"/>
            </w:pPr>
          </w:p>
          <w:p w14:paraId="49240C6F" w14:textId="77777777" w:rsidR="0005423B" w:rsidRPr="00683FF0" w:rsidRDefault="0005423B" w:rsidP="00FD7878">
            <w:pPr>
              <w:pStyle w:val="TableText"/>
              <w:spacing w:after="0"/>
              <w:jc w:val="center"/>
            </w:pPr>
            <w:r w:rsidRPr="00683FF0">
              <w:t>7.9</w:t>
            </w:r>
          </w:p>
          <w:p w14:paraId="06FDEC53" w14:textId="77777777" w:rsidR="0005423B" w:rsidRPr="00683FF0" w:rsidRDefault="0005423B" w:rsidP="00FD7878">
            <w:pPr>
              <w:pStyle w:val="TableText"/>
              <w:jc w:val="center"/>
            </w:pPr>
            <w:r w:rsidRPr="00683FF0">
              <w:t>0.4</w:t>
            </w:r>
          </w:p>
        </w:tc>
        <w:tc>
          <w:tcPr>
            <w:tcW w:w="1814" w:type="dxa"/>
          </w:tcPr>
          <w:p w14:paraId="565FD224" w14:textId="77777777" w:rsidR="0005423B" w:rsidRPr="00683FF0" w:rsidRDefault="0005423B" w:rsidP="00FD7878">
            <w:pPr>
              <w:pStyle w:val="TableText"/>
              <w:spacing w:after="0"/>
              <w:jc w:val="center"/>
            </w:pPr>
          </w:p>
          <w:p w14:paraId="350D8C71" w14:textId="77777777" w:rsidR="0005423B" w:rsidRPr="00683FF0" w:rsidRDefault="0005423B" w:rsidP="00FD7878">
            <w:pPr>
              <w:pStyle w:val="TableText"/>
              <w:spacing w:after="0"/>
              <w:jc w:val="center"/>
            </w:pPr>
            <w:r w:rsidRPr="00683FF0">
              <w:t>7.6</w:t>
            </w:r>
          </w:p>
          <w:p w14:paraId="63D18AF6" w14:textId="77777777" w:rsidR="0005423B" w:rsidRPr="00683FF0" w:rsidRDefault="0005423B" w:rsidP="00FD7878">
            <w:pPr>
              <w:pStyle w:val="TableText"/>
              <w:jc w:val="center"/>
            </w:pPr>
            <w:r w:rsidRPr="00683FF0">
              <w:t>0.8</w:t>
            </w:r>
          </w:p>
        </w:tc>
        <w:tc>
          <w:tcPr>
            <w:tcW w:w="1814" w:type="dxa"/>
          </w:tcPr>
          <w:p w14:paraId="78CCFD3E" w14:textId="77777777" w:rsidR="0005423B" w:rsidRPr="00683FF0" w:rsidRDefault="0005423B" w:rsidP="00FD7878">
            <w:pPr>
              <w:pStyle w:val="TableText"/>
              <w:spacing w:after="0"/>
              <w:jc w:val="center"/>
            </w:pPr>
          </w:p>
          <w:p w14:paraId="6B1C39B8" w14:textId="77777777" w:rsidR="0005423B" w:rsidRPr="00683FF0" w:rsidRDefault="0005423B" w:rsidP="00FD7878">
            <w:pPr>
              <w:pStyle w:val="TableText"/>
              <w:spacing w:after="0"/>
              <w:jc w:val="center"/>
            </w:pPr>
            <w:r w:rsidRPr="00683FF0">
              <w:t>7.2</w:t>
            </w:r>
          </w:p>
          <w:p w14:paraId="34DF2DF9" w14:textId="77777777" w:rsidR="0005423B" w:rsidRPr="00683FF0" w:rsidRDefault="0005423B" w:rsidP="00FD7878">
            <w:pPr>
              <w:pStyle w:val="TableText"/>
              <w:jc w:val="center"/>
            </w:pPr>
            <w:r w:rsidRPr="00683FF0">
              <w:t>1.2</w:t>
            </w:r>
          </w:p>
        </w:tc>
      </w:tr>
      <w:tr w:rsidR="0005423B" w:rsidRPr="00683FF0" w14:paraId="5C460B7D" w14:textId="77777777" w:rsidTr="00FD2FB2">
        <w:tc>
          <w:tcPr>
            <w:tcW w:w="3114" w:type="dxa"/>
          </w:tcPr>
          <w:p w14:paraId="4693E837" w14:textId="79E9DCC5" w:rsidR="0005423B" w:rsidRPr="00683FF0" w:rsidRDefault="0005423B" w:rsidP="00703AB6">
            <w:pPr>
              <w:pStyle w:val="TableText"/>
              <w:spacing w:after="0"/>
              <w:rPr>
                <w:b/>
                <w:bCs/>
              </w:rPr>
            </w:pPr>
            <w:r w:rsidRPr="00683FF0">
              <w:rPr>
                <w:b/>
                <w:bCs/>
              </w:rPr>
              <w:t xml:space="preserve">F-gases </w:t>
            </w:r>
            <w:r w:rsidRPr="00683FF0">
              <w:t>(Mt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33406750" w14:textId="1BDD2F63" w:rsidR="0005423B" w:rsidRPr="00683FF0" w:rsidRDefault="0005423B" w:rsidP="00FD7878">
            <w:pPr>
              <w:pStyle w:val="TableText"/>
              <w:spacing w:after="0"/>
              <w:ind w:left="170"/>
            </w:pPr>
            <w:r w:rsidRPr="00683FF0">
              <w:t>Annual average</w:t>
            </w:r>
          </w:p>
          <w:p w14:paraId="48C84007" w14:textId="0F6F9CD2" w:rsidR="0005423B" w:rsidRPr="00683FF0" w:rsidRDefault="0005423B" w:rsidP="00703AB6">
            <w:pPr>
              <w:pStyle w:val="TableText"/>
              <w:ind w:left="170"/>
            </w:pPr>
            <w:r w:rsidRPr="00683FF0">
              <w:t>Reduction from 2019</w:t>
            </w:r>
          </w:p>
        </w:tc>
        <w:tc>
          <w:tcPr>
            <w:tcW w:w="709" w:type="dxa"/>
          </w:tcPr>
          <w:p w14:paraId="454D2FD3" w14:textId="77777777" w:rsidR="0005423B" w:rsidRPr="00683FF0" w:rsidRDefault="0005423B" w:rsidP="00FD7878">
            <w:pPr>
              <w:pStyle w:val="TableText"/>
              <w:spacing w:after="0"/>
              <w:jc w:val="center"/>
            </w:pPr>
          </w:p>
          <w:p w14:paraId="3D307EFB" w14:textId="77777777" w:rsidR="0005423B" w:rsidRPr="00683FF0" w:rsidRDefault="0005423B" w:rsidP="00FD7878">
            <w:pPr>
              <w:pStyle w:val="TableText"/>
              <w:spacing w:after="0"/>
              <w:jc w:val="center"/>
            </w:pPr>
            <w:r w:rsidRPr="00683FF0">
              <w:t>1.8</w:t>
            </w:r>
          </w:p>
        </w:tc>
        <w:tc>
          <w:tcPr>
            <w:tcW w:w="1814" w:type="dxa"/>
          </w:tcPr>
          <w:p w14:paraId="0884280C" w14:textId="77777777" w:rsidR="0005423B" w:rsidRPr="00683FF0" w:rsidRDefault="0005423B" w:rsidP="00FD7878">
            <w:pPr>
              <w:pStyle w:val="TableText"/>
              <w:spacing w:after="0"/>
              <w:jc w:val="center"/>
            </w:pPr>
          </w:p>
          <w:p w14:paraId="51010510" w14:textId="77777777" w:rsidR="0005423B" w:rsidRPr="00683FF0" w:rsidRDefault="0005423B" w:rsidP="00FD7878">
            <w:pPr>
              <w:pStyle w:val="TableText"/>
              <w:spacing w:after="0"/>
              <w:jc w:val="center"/>
            </w:pPr>
            <w:r w:rsidRPr="00683FF0">
              <w:t>1.8</w:t>
            </w:r>
          </w:p>
          <w:p w14:paraId="2F2C1333" w14:textId="77777777" w:rsidR="0005423B" w:rsidRPr="00683FF0" w:rsidRDefault="0005423B" w:rsidP="00FD7878">
            <w:pPr>
              <w:pStyle w:val="TableText"/>
              <w:jc w:val="center"/>
            </w:pPr>
            <w:r w:rsidRPr="00683FF0">
              <w:t>0.0</w:t>
            </w:r>
          </w:p>
        </w:tc>
        <w:tc>
          <w:tcPr>
            <w:tcW w:w="1814" w:type="dxa"/>
          </w:tcPr>
          <w:p w14:paraId="48E963F1" w14:textId="77777777" w:rsidR="0005423B" w:rsidRPr="00683FF0" w:rsidRDefault="0005423B" w:rsidP="00FD7878">
            <w:pPr>
              <w:pStyle w:val="TableText"/>
              <w:spacing w:after="0"/>
              <w:jc w:val="center"/>
            </w:pPr>
          </w:p>
          <w:p w14:paraId="3CABFB47" w14:textId="77777777" w:rsidR="0005423B" w:rsidRPr="00683FF0" w:rsidRDefault="0005423B" w:rsidP="00FD7878">
            <w:pPr>
              <w:pStyle w:val="TableText"/>
              <w:spacing w:after="0"/>
              <w:jc w:val="center"/>
            </w:pPr>
            <w:r w:rsidRPr="00683FF0">
              <w:t>1.6</w:t>
            </w:r>
          </w:p>
          <w:p w14:paraId="2CD3ADC2" w14:textId="77777777" w:rsidR="0005423B" w:rsidRPr="00683FF0" w:rsidRDefault="0005423B" w:rsidP="00FD7878">
            <w:pPr>
              <w:pStyle w:val="TableText"/>
              <w:jc w:val="center"/>
            </w:pPr>
            <w:r w:rsidRPr="00683FF0">
              <w:t>0.2</w:t>
            </w:r>
          </w:p>
        </w:tc>
        <w:tc>
          <w:tcPr>
            <w:tcW w:w="1814" w:type="dxa"/>
          </w:tcPr>
          <w:p w14:paraId="4FBDB295" w14:textId="77777777" w:rsidR="0005423B" w:rsidRPr="00683FF0" w:rsidRDefault="0005423B" w:rsidP="00FD7878">
            <w:pPr>
              <w:pStyle w:val="TableText"/>
              <w:spacing w:after="0"/>
              <w:jc w:val="center"/>
            </w:pPr>
          </w:p>
          <w:p w14:paraId="3B78E66E" w14:textId="77777777" w:rsidR="0005423B" w:rsidRPr="00683FF0" w:rsidRDefault="0005423B" w:rsidP="00FD7878">
            <w:pPr>
              <w:pStyle w:val="TableText"/>
              <w:spacing w:after="0"/>
              <w:jc w:val="center"/>
            </w:pPr>
            <w:r w:rsidRPr="00683FF0">
              <w:t>1.3</w:t>
            </w:r>
          </w:p>
          <w:p w14:paraId="282CDDCF" w14:textId="77777777" w:rsidR="0005423B" w:rsidRPr="00683FF0" w:rsidRDefault="0005423B" w:rsidP="00FD7878">
            <w:pPr>
              <w:pStyle w:val="TableText"/>
              <w:jc w:val="center"/>
            </w:pPr>
            <w:r w:rsidRPr="00683FF0">
              <w:t>0.6</w:t>
            </w:r>
          </w:p>
        </w:tc>
      </w:tr>
      <w:tr w:rsidR="0005423B" w:rsidRPr="00683FF0" w14:paraId="2A61FB1E" w14:textId="77777777" w:rsidTr="00FD2FB2">
        <w:tc>
          <w:tcPr>
            <w:tcW w:w="3114" w:type="dxa"/>
          </w:tcPr>
          <w:p w14:paraId="0633AA95" w14:textId="57F8E88D" w:rsidR="0005423B" w:rsidRPr="00683FF0" w:rsidRDefault="0005423B" w:rsidP="00FD7878">
            <w:pPr>
              <w:pStyle w:val="TableText"/>
              <w:spacing w:after="0"/>
              <w:rPr>
                <w:b/>
                <w:bCs/>
              </w:rPr>
            </w:pPr>
            <w:r w:rsidRPr="00683FF0">
              <w:rPr>
                <w:b/>
                <w:bCs/>
              </w:rPr>
              <w:t xml:space="preserve">Non-biogenic methane </w:t>
            </w:r>
            <w:r w:rsidR="00FD7878" w:rsidRPr="00683FF0">
              <w:rPr>
                <w:b/>
                <w:bCs/>
              </w:rPr>
              <w:br/>
            </w:r>
            <w:r w:rsidRPr="00683FF0">
              <w:t>(Mt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0723C663" w14:textId="42A7499C" w:rsidR="0005423B" w:rsidRPr="00683FF0" w:rsidRDefault="0005423B" w:rsidP="00FD7878">
            <w:pPr>
              <w:pStyle w:val="TableText"/>
              <w:spacing w:after="0"/>
              <w:ind w:left="170"/>
            </w:pPr>
            <w:r w:rsidRPr="00683FF0">
              <w:t>Annual average</w:t>
            </w:r>
          </w:p>
          <w:p w14:paraId="027E768C" w14:textId="26BFC655" w:rsidR="0005423B" w:rsidRPr="00683FF0" w:rsidRDefault="0005423B" w:rsidP="00FD7878">
            <w:pPr>
              <w:pStyle w:val="TableText"/>
              <w:ind w:left="170"/>
            </w:pPr>
            <w:r w:rsidRPr="00683FF0">
              <w:t>Reduction from 2019</w:t>
            </w:r>
          </w:p>
        </w:tc>
        <w:tc>
          <w:tcPr>
            <w:tcW w:w="709" w:type="dxa"/>
          </w:tcPr>
          <w:p w14:paraId="48967D46" w14:textId="0EA3D39D" w:rsidR="0005423B" w:rsidRPr="00683FF0" w:rsidRDefault="00FD7878" w:rsidP="00FD7878">
            <w:pPr>
              <w:pStyle w:val="TableText"/>
              <w:spacing w:after="0"/>
              <w:jc w:val="center"/>
            </w:pPr>
            <w:r w:rsidRPr="00683FF0">
              <w:br/>
            </w:r>
          </w:p>
          <w:p w14:paraId="5050CAE9" w14:textId="77777777" w:rsidR="0005423B" w:rsidRPr="00683FF0" w:rsidRDefault="0005423B" w:rsidP="00FD7878">
            <w:pPr>
              <w:pStyle w:val="TableText"/>
              <w:spacing w:after="0"/>
              <w:jc w:val="center"/>
            </w:pPr>
            <w:r w:rsidRPr="00683FF0">
              <w:t>0.9</w:t>
            </w:r>
          </w:p>
        </w:tc>
        <w:tc>
          <w:tcPr>
            <w:tcW w:w="1814" w:type="dxa"/>
          </w:tcPr>
          <w:p w14:paraId="46852D60" w14:textId="3DF9EC4D" w:rsidR="0005423B" w:rsidRPr="00683FF0" w:rsidRDefault="00FD7878" w:rsidP="00FD7878">
            <w:pPr>
              <w:pStyle w:val="TableText"/>
              <w:spacing w:after="0"/>
              <w:jc w:val="center"/>
            </w:pPr>
            <w:r w:rsidRPr="00683FF0">
              <w:br/>
            </w:r>
          </w:p>
          <w:p w14:paraId="7E2AA8D1" w14:textId="77777777" w:rsidR="0005423B" w:rsidRPr="00683FF0" w:rsidRDefault="0005423B" w:rsidP="00FD7878">
            <w:pPr>
              <w:pStyle w:val="TableText"/>
              <w:spacing w:after="0"/>
              <w:jc w:val="center"/>
            </w:pPr>
            <w:r w:rsidRPr="00683FF0">
              <w:t>0.8</w:t>
            </w:r>
          </w:p>
          <w:p w14:paraId="459B5E2D" w14:textId="77777777" w:rsidR="0005423B" w:rsidRPr="00683FF0" w:rsidRDefault="0005423B" w:rsidP="00FD7878">
            <w:pPr>
              <w:pStyle w:val="TableText"/>
              <w:jc w:val="center"/>
            </w:pPr>
            <w:r w:rsidRPr="00683FF0">
              <w:t>0.1</w:t>
            </w:r>
          </w:p>
        </w:tc>
        <w:tc>
          <w:tcPr>
            <w:tcW w:w="1814" w:type="dxa"/>
          </w:tcPr>
          <w:p w14:paraId="7478AEC0" w14:textId="37EB1DA4" w:rsidR="0005423B" w:rsidRPr="00683FF0" w:rsidRDefault="00FD7878" w:rsidP="00FD7878">
            <w:pPr>
              <w:pStyle w:val="TableText"/>
              <w:spacing w:after="0"/>
              <w:jc w:val="center"/>
            </w:pPr>
            <w:r w:rsidRPr="00683FF0">
              <w:br/>
            </w:r>
          </w:p>
          <w:p w14:paraId="54D4E3C0" w14:textId="77777777" w:rsidR="0005423B" w:rsidRPr="00683FF0" w:rsidRDefault="0005423B" w:rsidP="00FD7878">
            <w:pPr>
              <w:pStyle w:val="TableText"/>
              <w:spacing w:after="0"/>
              <w:jc w:val="center"/>
            </w:pPr>
            <w:r w:rsidRPr="00683FF0">
              <w:t>0.7</w:t>
            </w:r>
          </w:p>
          <w:p w14:paraId="06321B17" w14:textId="77777777" w:rsidR="0005423B" w:rsidRPr="00683FF0" w:rsidRDefault="0005423B" w:rsidP="00FD7878">
            <w:pPr>
              <w:pStyle w:val="TableText"/>
              <w:jc w:val="center"/>
            </w:pPr>
            <w:r w:rsidRPr="00683FF0">
              <w:t>0.2</w:t>
            </w:r>
          </w:p>
        </w:tc>
        <w:tc>
          <w:tcPr>
            <w:tcW w:w="1814" w:type="dxa"/>
          </w:tcPr>
          <w:p w14:paraId="4B45E8C4" w14:textId="51DCE3FC" w:rsidR="0005423B" w:rsidRPr="00683FF0" w:rsidRDefault="00FD7878" w:rsidP="00FD7878">
            <w:pPr>
              <w:pStyle w:val="TableText"/>
              <w:spacing w:after="0"/>
              <w:jc w:val="center"/>
            </w:pPr>
            <w:r w:rsidRPr="00683FF0">
              <w:br/>
            </w:r>
          </w:p>
          <w:p w14:paraId="53FF95DF" w14:textId="77777777" w:rsidR="0005423B" w:rsidRPr="00683FF0" w:rsidRDefault="0005423B" w:rsidP="00FD7878">
            <w:pPr>
              <w:pStyle w:val="TableText"/>
              <w:spacing w:after="0"/>
              <w:jc w:val="center"/>
            </w:pPr>
            <w:r w:rsidRPr="00683FF0">
              <w:t>0.7</w:t>
            </w:r>
          </w:p>
          <w:p w14:paraId="0F2570B8" w14:textId="77777777" w:rsidR="0005423B" w:rsidRPr="00683FF0" w:rsidRDefault="0005423B" w:rsidP="00FD7878">
            <w:pPr>
              <w:pStyle w:val="TableText"/>
              <w:jc w:val="center"/>
            </w:pPr>
            <w:r w:rsidRPr="00683FF0">
              <w:t>0.3</w:t>
            </w:r>
          </w:p>
        </w:tc>
      </w:tr>
      <w:tr w:rsidR="0005423B" w:rsidRPr="00683FF0" w14:paraId="6727FC00" w14:textId="77777777" w:rsidTr="00FD2FB2">
        <w:tc>
          <w:tcPr>
            <w:tcW w:w="3114" w:type="dxa"/>
          </w:tcPr>
          <w:p w14:paraId="0BEB7130" w14:textId="2D5F5EAC" w:rsidR="0005423B" w:rsidRPr="00683FF0" w:rsidRDefault="0005423B" w:rsidP="00FD7878">
            <w:pPr>
              <w:pStyle w:val="TableText"/>
              <w:spacing w:after="0"/>
              <w:rPr>
                <w:b/>
                <w:bCs/>
              </w:rPr>
            </w:pPr>
            <w:r w:rsidRPr="00683FF0">
              <w:rPr>
                <w:b/>
                <w:bCs/>
              </w:rPr>
              <w:t xml:space="preserve">Biogenic methane </w:t>
            </w:r>
            <w:r w:rsidRPr="00683FF0">
              <w:t>(Mt</w:t>
            </w:r>
            <w:r w:rsidR="00733354" w:rsidRPr="00683FF0">
              <w:t xml:space="preserve"> </w:t>
            </w:r>
            <w:r w:rsidRPr="00683FF0">
              <w:t>CO</w:t>
            </w:r>
            <w:r w:rsidRPr="00683FF0">
              <w:rPr>
                <w:vertAlign w:val="subscript"/>
              </w:rPr>
              <w:t>2</w:t>
            </w:r>
            <w:r w:rsidR="00733354" w:rsidRPr="00683FF0">
              <w:rPr>
                <w:rFonts w:eastAsia="Times New Roman" w:cs="Calibri"/>
              </w:rPr>
              <w:t>-</w:t>
            </w:r>
            <w:r w:rsidRPr="00683FF0">
              <w:t>e/yr)</w:t>
            </w:r>
          </w:p>
          <w:p w14:paraId="6261F642" w14:textId="4772C343" w:rsidR="0005423B" w:rsidRPr="00683FF0" w:rsidRDefault="0005423B" w:rsidP="00FD7878">
            <w:pPr>
              <w:pStyle w:val="TableText"/>
              <w:spacing w:after="0"/>
              <w:ind w:left="170"/>
            </w:pPr>
            <w:r w:rsidRPr="00683FF0">
              <w:t>Annual average</w:t>
            </w:r>
          </w:p>
          <w:p w14:paraId="6331282D" w14:textId="18B9B556" w:rsidR="0005423B" w:rsidRPr="00683FF0" w:rsidRDefault="0005423B" w:rsidP="00FD7878">
            <w:pPr>
              <w:pStyle w:val="TableText"/>
              <w:ind w:left="170"/>
            </w:pPr>
            <w:r w:rsidRPr="00683FF0">
              <w:t>Reduction from 2019*</w:t>
            </w:r>
          </w:p>
        </w:tc>
        <w:tc>
          <w:tcPr>
            <w:tcW w:w="709" w:type="dxa"/>
          </w:tcPr>
          <w:p w14:paraId="6FDF3D42" w14:textId="77777777" w:rsidR="0005423B" w:rsidRPr="00683FF0" w:rsidRDefault="0005423B" w:rsidP="00FD7878">
            <w:pPr>
              <w:pStyle w:val="TableText"/>
              <w:spacing w:after="0"/>
              <w:jc w:val="center"/>
            </w:pPr>
          </w:p>
          <w:p w14:paraId="623DF0EE" w14:textId="77777777" w:rsidR="0005423B" w:rsidRPr="00683FF0" w:rsidRDefault="0005423B" w:rsidP="00FD7878">
            <w:pPr>
              <w:pStyle w:val="TableText"/>
              <w:spacing w:after="0"/>
              <w:jc w:val="center"/>
            </w:pPr>
            <w:r w:rsidRPr="00683FF0">
              <w:t>1.35</w:t>
            </w:r>
          </w:p>
        </w:tc>
        <w:tc>
          <w:tcPr>
            <w:tcW w:w="1814" w:type="dxa"/>
          </w:tcPr>
          <w:p w14:paraId="7D50C049" w14:textId="77777777" w:rsidR="0005423B" w:rsidRPr="00683FF0" w:rsidRDefault="0005423B" w:rsidP="00FD7878">
            <w:pPr>
              <w:pStyle w:val="TableText"/>
              <w:spacing w:after="0"/>
              <w:jc w:val="center"/>
            </w:pPr>
          </w:p>
          <w:p w14:paraId="1DEDAAF4" w14:textId="77777777" w:rsidR="0005423B" w:rsidRPr="00683FF0" w:rsidRDefault="0005423B" w:rsidP="00FD7878">
            <w:pPr>
              <w:pStyle w:val="TableText"/>
              <w:spacing w:after="0"/>
              <w:jc w:val="center"/>
            </w:pPr>
            <w:r w:rsidRPr="00683FF0">
              <w:t>1.26</w:t>
            </w:r>
          </w:p>
          <w:p w14:paraId="41C424FD" w14:textId="77777777" w:rsidR="0005423B" w:rsidRPr="00683FF0" w:rsidRDefault="0005423B" w:rsidP="00FD7878">
            <w:pPr>
              <w:pStyle w:val="TableText"/>
              <w:jc w:val="center"/>
            </w:pPr>
            <w:r w:rsidRPr="00683FF0">
              <w:t>0.09</w:t>
            </w:r>
          </w:p>
        </w:tc>
        <w:tc>
          <w:tcPr>
            <w:tcW w:w="1814" w:type="dxa"/>
          </w:tcPr>
          <w:p w14:paraId="1CCBC94A" w14:textId="77777777" w:rsidR="0005423B" w:rsidRPr="00683FF0" w:rsidRDefault="0005423B" w:rsidP="00FD7878">
            <w:pPr>
              <w:pStyle w:val="TableText"/>
              <w:spacing w:after="0"/>
              <w:jc w:val="center"/>
            </w:pPr>
          </w:p>
          <w:p w14:paraId="50F5EB62" w14:textId="77777777" w:rsidR="0005423B" w:rsidRPr="00683FF0" w:rsidRDefault="0005423B" w:rsidP="00FD7878">
            <w:pPr>
              <w:pStyle w:val="TableText"/>
              <w:spacing w:after="0"/>
              <w:jc w:val="center"/>
            </w:pPr>
            <w:r w:rsidRPr="00683FF0">
              <w:t>1.2</w:t>
            </w:r>
          </w:p>
          <w:p w14:paraId="0553DDBB" w14:textId="77777777" w:rsidR="0005423B" w:rsidRPr="00683FF0" w:rsidRDefault="0005423B" w:rsidP="00FD7878">
            <w:pPr>
              <w:pStyle w:val="TableText"/>
              <w:jc w:val="center"/>
            </w:pPr>
            <w:r w:rsidRPr="00683FF0">
              <w:t>0.15</w:t>
            </w:r>
          </w:p>
        </w:tc>
        <w:tc>
          <w:tcPr>
            <w:tcW w:w="1814" w:type="dxa"/>
          </w:tcPr>
          <w:p w14:paraId="7D6DFB36" w14:textId="77777777" w:rsidR="0005423B" w:rsidRPr="00683FF0" w:rsidRDefault="0005423B" w:rsidP="00FD7878">
            <w:pPr>
              <w:pStyle w:val="TableText"/>
              <w:spacing w:after="0"/>
              <w:jc w:val="center"/>
            </w:pPr>
          </w:p>
          <w:p w14:paraId="7F4B543A" w14:textId="77777777" w:rsidR="0005423B" w:rsidRPr="00683FF0" w:rsidRDefault="0005423B" w:rsidP="00FD7878">
            <w:pPr>
              <w:pStyle w:val="TableText"/>
              <w:spacing w:after="0"/>
              <w:jc w:val="center"/>
            </w:pPr>
            <w:r w:rsidRPr="00683FF0">
              <w:t>1.14</w:t>
            </w:r>
          </w:p>
          <w:p w14:paraId="07EB40F7" w14:textId="77777777" w:rsidR="0005423B" w:rsidRPr="00683FF0" w:rsidRDefault="0005423B" w:rsidP="00FD7878">
            <w:pPr>
              <w:pStyle w:val="TableText"/>
              <w:jc w:val="center"/>
            </w:pPr>
            <w:r w:rsidRPr="00683FF0">
              <w:t>0.21</w:t>
            </w:r>
          </w:p>
        </w:tc>
      </w:tr>
    </w:tbl>
    <w:p w14:paraId="19565CC1" w14:textId="77777777" w:rsidR="0005423B" w:rsidRPr="00683FF0" w:rsidRDefault="0005423B" w:rsidP="00FD7878">
      <w:pPr>
        <w:pStyle w:val="BodyText"/>
      </w:pPr>
    </w:p>
    <w:p w14:paraId="745C7195" w14:textId="77777777" w:rsidR="008636EF" w:rsidRPr="00683FF0" w:rsidRDefault="008636EF" w:rsidP="00FD7878">
      <w:pPr>
        <w:pStyle w:val="BodyText"/>
      </w:pPr>
    </w:p>
    <w:sectPr w:rsidR="008636EF" w:rsidRPr="00683FF0" w:rsidSect="00BD1854">
      <w:footerReference w:type="default" r:id="rId28"/>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98BE" w14:textId="77777777" w:rsidR="009F332D" w:rsidRDefault="009F332D" w:rsidP="00F74DBB">
      <w:pPr>
        <w:spacing w:after="0" w:line="240" w:lineRule="auto"/>
      </w:pPr>
      <w:r>
        <w:separator/>
      </w:r>
    </w:p>
  </w:endnote>
  <w:endnote w:type="continuationSeparator" w:id="0">
    <w:p w14:paraId="03E31E6F" w14:textId="77777777" w:rsidR="009F332D" w:rsidRDefault="009F332D" w:rsidP="00F74DBB">
      <w:pPr>
        <w:spacing w:after="0" w:line="240" w:lineRule="auto"/>
      </w:pPr>
      <w:r>
        <w:continuationSeparator/>
      </w:r>
    </w:p>
  </w:endnote>
  <w:endnote w:type="continuationNotice" w:id="1">
    <w:p w14:paraId="6A93E888" w14:textId="77777777" w:rsidR="009F332D" w:rsidRDefault="009F3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AD69" w14:textId="20DD7336" w:rsidR="005F103F" w:rsidRDefault="005F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4D0E" w14:textId="6A999D2E" w:rsidR="00D26B6C" w:rsidRDefault="00D26B6C" w:rsidP="009732D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F99" w14:textId="77777777" w:rsidR="00B2764C" w:rsidRDefault="00B276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F898" w14:textId="503A8E32" w:rsidR="005433B4" w:rsidRDefault="00975650" w:rsidP="00975650">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F05A81" w:rsidRPr="00F05A81">
      <w:rPr>
        <w:noProof/>
      </w:rPr>
      <w:t>The Government’s response to He Pou a Rangi – Climate Change Commission’s recommendations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0CD3" w14:textId="716DEB01" w:rsidR="00EF34D9" w:rsidRPr="00E978EA" w:rsidRDefault="00975650" w:rsidP="00975650">
    <w:pPr>
      <w:pStyle w:val="Footerodd"/>
    </w:pPr>
    <w:r>
      <w:tab/>
    </w:r>
    <w:r w:rsidR="00C76E65" w:rsidRPr="00C76E65">
      <w:t>The Government’s response to He Pou a Rangi – Climate Change Commission’s recommendations</w:t>
    </w: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595A" w14:textId="45760FF3" w:rsidR="005433B4" w:rsidRDefault="005433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233A" w14:textId="387AC3DF" w:rsidR="00BD1854" w:rsidRDefault="00BD1854" w:rsidP="00975650">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AF0AF4" w:rsidRPr="00AF0AF4">
      <w:rPr>
        <w:noProof/>
      </w:rPr>
      <w:t>The Government’s response to He Pou a Rangi – Climate Change Commission’s recommendations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2350" w14:textId="58B91A80" w:rsidR="00BD1854" w:rsidRPr="00E978EA" w:rsidRDefault="00BD1854" w:rsidP="00BD1854">
    <w:pPr>
      <w:pStyle w:val="Footerodd"/>
      <w:tabs>
        <w:tab w:val="clear" w:pos="7938"/>
        <w:tab w:val="clear" w:pos="8505"/>
        <w:tab w:val="right" w:pos="14005"/>
        <w:tab w:val="right" w:pos="14570"/>
      </w:tabs>
    </w:pPr>
    <w:r>
      <w:tab/>
    </w:r>
    <w:r w:rsidR="00AF0AF4" w:rsidRPr="00AF0AF4">
      <w:t>The Government’s response to He Pou a Rangi – Climate Change Commission’s recommendations</w:t>
    </w:r>
    <w:r>
      <w:tab/>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B038" w14:textId="376FC6CD" w:rsidR="00BD1854" w:rsidRPr="00E978EA" w:rsidRDefault="00BD1854" w:rsidP="00975650">
    <w:pPr>
      <w:pStyle w:val="Footerodd"/>
    </w:pPr>
    <w:r>
      <w:tab/>
    </w:r>
    <w:r w:rsidR="003C4FB2" w:rsidRPr="003C4FB2">
      <w:t>The Government’s response to He Pou a Rangi – Climate Change Commission’s recommendations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311C" w14:textId="77777777" w:rsidR="009F332D" w:rsidRDefault="009F332D" w:rsidP="00F74DBB">
      <w:pPr>
        <w:spacing w:after="0" w:line="240" w:lineRule="auto"/>
      </w:pPr>
      <w:r>
        <w:separator/>
      </w:r>
    </w:p>
  </w:footnote>
  <w:footnote w:type="continuationSeparator" w:id="0">
    <w:p w14:paraId="251FD463" w14:textId="77777777" w:rsidR="009F332D" w:rsidRDefault="009F332D" w:rsidP="00F74DBB">
      <w:pPr>
        <w:spacing w:after="0" w:line="240" w:lineRule="auto"/>
      </w:pPr>
      <w:r>
        <w:continuationSeparator/>
      </w:r>
    </w:p>
  </w:footnote>
  <w:footnote w:type="continuationNotice" w:id="1">
    <w:p w14:paraId="61625B42" w14:textId="77777777" w:rsidR="009F332D" w:rsidRDefault="009F332D">
      <w:pPr>
        <w:spacing w:after="0" w:line="240" w:lineRule="auto"/>
      </w:pPr>
    </w:p>
  </w:footnote>
  <w:footnote w:id="2">
    <w:p w14:paraId="5B2A301E" w14:textId="4E95B310" w:rsidR="000810D2" w:rsidRDefault="000810D2" w:rsidP="00975650">
      <w:pPr>
        <w:pStyle w:val="FootnoteText"/>
      </w:pPr>
      <w:r>
        <w:rPr>
          <w:rStyle w:val="FootnoteReference"/>
        </w:rPr>
        <w:footnoteRef/>
      </w:r>
      <w:r>
        <w:t xml:space="preserve"> </w:t>
      </w:r>
      <w:r w:rsidR="00975650">
        <w:tab/>
      </w:r>
      <w:r>
        <w:t>U</w:t>
      </w:r>
      <w:r w:rsidRPr="008B779F">
        <w:t xml:space="preserve">nder </w:t>
      </w:r>
      <w:r w:rsidR="00515AB6" w:rsidRPr="008B779F">
        <w:t>s</w:t>
      </w:r>
      <w:r w:rsidR="008F5AC5">
        <w:t>ections</w:t>
      </w:r>
      <w:r w:rsidR="00426B83">
        <w:t xml:space="preserve"> </w:t>
      </w:r>
      <w:r w:rsidR="00515AB6" w:rsidRPr="008B779F">
        <w:t xml:space="preserve">5ZA and 5ZB </w:t>
      </w:r>
      <w:r w:rsidR="00515AB6">
        <w:t xml:space="preserve">of </w:t>
      </w:r>
      <w:r w:rsidRPr="008B779F">
        <w:t xml:space="preserve">the </w:t>
      </w:r>
      <w:r w:rsidR="00426B83" w:rsidRPr="00BD19DE">
        <w:t>C</w:t>
      </w:r>
      <w:r w:rsidR="00426B83">
        <w:t>limate Change Response Act</w:t>
      </w:r>
      <w:r w:rsidR="00426B83" w:rsidRPr="008B779F">
        <w:t xml:space="preserve"> </w:t>
      </w:r>
      <w:r w:rsidR="00426B83" w:rsidRPr="00975650">
        <w:t>2002</w:t>
      </w:r>
      <w:r w:rsidR="00426B83">
        <w:t xml:space="preserve"> (</w:t>
      </w:r>
      <w:r w:rsidRPr="008B779F">
        <w:t>CCRA</w:t>
      </w:r>
      <w:r w:rsidR="00426B83">
        <w:t>),</w:t>
      </w:r>
      <w:r w:rsidR="00152580">
        <w:t xml:space="preserve"> </w:t>
      </w:r>
      <w:r w:rsidRPr="008B779F">
        <w:t xml:space="preserve">the Minister of Climate Change must </w:t>
      </w:r>
      <w:r w:rsidR="00152580">
        <w:t xml:space="preserve">also </w:t>
      </w:r>
      <w:r w:rsidR="00404570">
        <w:t xml:space="preserve">separately </w:t>
      </w:r>
      <w:r w:rsidR="00432D32">
        <w:t xml:space="preserve">publish a formal response </w:t>
      </w:r>
      <w:r w:rsidRPr="008B779F">
        <w:t xml:space="preserve">to </w:t>
      </w:r>
      <w:r w:rsidR="00515AB6">
        <w:t xml:space="preserve">some aspects of </w:t>
      </w:r>
      <w:r w:rsidRPr="008B779F">
        <w:t>the advice received from the</w:t>
      </w:r>
      <w:r w:rsidR="00975650">
        <w:t> </w:t>
      </w:r>
      <w:r w:rsidRPr="008B779F">
        <w:t xml:space="preserve">Commission. </w:t>
      </w:r>
    </w:p>
  </w:footnote>
  <w:footnote w:id="3">
    <w:p w14:paraId="40741FAD" w14:textId="37BE47E3" w:rsidR="00C91608" w:rsidRDefault="00C91608" w:rsidP="00A139B0">
      <w:pPr>
        <w:pStyle w:val="FootnoteText"/>
      </w:pPr>
      <w:r>
        <w:rPr>
          <w:rStyle w:val="FootnoteReference"/>
        </w:rPr>
        <w:footnoteRef/>
      </w:r>
      <w:r>
        <w:t xml:space="preserve"> </w:t>
      </w:r>
      <w:r w:rsidR="00A139B0">
        <w:tab/>
      </w:r>
      <w:r w:rsidRPr="00BD19DE">
        <w:t xml:space="preserve">The </w:t>
      </w:r>
      <w:r w:rsidR="00163F45">
        <w:t>legal</w:t>
      </w:r>
      <w:r w:rsidRPr="00BD19DE">
        <w:t xml:space="preserve"> responsibility for deciding </w:t>
      </w:r>
      <w:r w:rsidRPr="00A139B0">
        <w:t>and</w:t>
      </w:r>
      <w:r w:rsidRPr="00BD19DE">
        <w:t xml:space="preserve"> setting emissions budgets rests with the Minister of Climate Change under the CCRA.</w:t>
      </w:r>
    </w:p>
  </w:footnote>
  <w:footnote w:id="4">
    <w:p w14:paraId="4F4C82D1" w14:textId="206E0848" w:rsidR="00F57157" w:rsidRDefault="00F57157" w:rsidP="007B037B">
      <w:pPr>
        <w:pStyle w:val="FootnoteText"/>
        <w:spacing w:after="0" w:line="240" w:lineRule="auto"/>
      </w:pPr>
      <w:r>
        <w:rPr>
          <w:rStyle w:val="FootnoteReference"/>
        </w:rPr>
        <w:footnoteRef/>
      </w:r>
      <w:r>
        <w:t xml:space="preserve"> </w:t>
      </w:r>
      <w:r w:rsidR="007A46BB">
        <w:tab/>
      </w:r>
      <w:r>
        <w:t xml:space="preserve">The </w:t>
      </w:r>
      <w:r w:rsidRPr="007A46BB">
        <w:t>Commission’s</w:t>
      </w:r>
      <w:r>
        <w:t xml:space="preserve"> table for this recommendation uses </w:t>
      </w:r>
      <w:r w:rsidRPr="00FF43B4">
        <w:t>100-year time horizon global warming potential (GWP</w:t>
      </w:r>
      <w:r w:rsidRPr="007B4D2B">
        <w:rPr>
          <w:vertAlign w:val="subscript"/>
        </w:rPr>
        <w:t>100</w:t>
      </w:r>
      <w:r w:rsidRPr="00FF43B4">
        <w:t xml:space="preserve">) values from the </w:t>
      </w:r>
      <w:r w:rsidR="00801BA8">
        <w:t>Intergovernmental Panel on Climate Change (</w:t>
      </w:r>
      <w:r w:rsidRPr="00FF43B4">
        <w:t>IPCC</w:t>
      </w:r>
      <w:r w:rsidR="00801BA8">
        <w:t>)</w:t>
      </w:r>
      <w:r w:rsidRPr="00FF43B4">
        <w:t xml:space="preserve"> </w:t>
      </w:r>
      <w:r w:rsidRPr="002F4146">
        <w:rPr>
          <w:i/>
          <w:iCs/>
        </w:rPr>
        <w:t>Fourth Assessment Report</w:t>
      </w:r>
      <w:r w:rsidRPr="00FF43B4">
        <w:t xml:space="preserve"> (AR4)</w:t>
      </w:r>
      <w:r>
        <w:t>.</w:t>
      </w:r>
      <w:r w:rsidR="00C1630D">
        <w:t xml:space="preserve"> </w:t>
      </w:r>
    </w:p>
  </w:footnote>
  <w:footnote w:id="5">
    <w:p w14:paraId="7E649592" w14:textId="77777777" w:rsidR="00276F45" w:rsidRDefault="00276F45" w:rsidP="00980400">
      <w:pPr>
        <w:pStyle w:val="FootnoteText"/>
      </w:pPr>
      <w:r>
        <w:rPr>
          <w:rStyle w:val="FootnoteReference"/>
        </w:rPr>
        <w:footnoteRef/>
      </w:r>
      <w:r>
        <w:t xml:space="preserve"> </w:t>
      </w:r>
      <w:r>
        <w:tab/>
        <w:t xml:space="preserve">The </w:t>
      </w:r>
      <w:r w:rsidRPr="007A46BB">
        <w:t>Commission’s</w:t>
      </w:r>
      <w:r>
        <w:t xml:space="preserve"> table for this recommendation uses AR4 GWP</w:t>
      </w:r>
      <w:r w:rsidRPr="00317DE9">
        <w:rPr>
          <w:vertAlign w:val="subscript"/>
        </w:rPr>
        <w:t>100</w:t>
      </w:r>
      <w:r>
        <w:t xml:space="preserve"> values.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1E2A" w14:textId="57363414" w:rsidR="005F103F" w:rsidRDefault="005F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77D8" w14:textId="5578BEE7" w:rsidR="005F103F" w:rsidRDefault="005F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E374" w14:textId="77777777" w:rsidR="00B2764C" w:rsidRDefault="00B276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8A2" w14:textId="222FE141" w:rsidR="005433B4" w:rsidRDefault="005433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61C3" w14:textId="21E1318A" w:rsidR="005433B4" w:rsidRDefault="005433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40F" w14:textId="7271E515" w:rsidR="005433B4" w:rsidRDefault="0054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D90"/>
    <w:multiLevelType w:val="multilevel"/>
    <w:tmpl w:val="47E0AC9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972782"/>
    <w:multiLevelType w:val="multilevel"/>
    <w:tmpl w:val="47E0AC9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9C0A54"/>
    <w:multiLevelType w:val="hybridMultilevel"/>
    <w:tmpl w:val="83B8C1C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06C10"/>
    <w:multiLevelType w:val="hybridMultilevel"/>
    <w:tmpl w:val="BD18EC9A"/>
    <w:lvl w:ilvl="0" w:tplc="E72E7526">
      <w:start w:val="1"/>
      <w:numFmt w:val="lowerLetter"/>
      <w:lvlText w:val="%1."/>
      <w:lvlJc w:val="left"/>
      <w:pPr>
        <w:ind w:left="720" w:hanging="360"/>
      </w:pPr>
      <w:rPr>
        <w:rFonts w:ascii="Calibri" w:hAnsi="Calibri"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E5A8B1"/>
    <w:multiLevelType w:val="hybridMultilevel"/>
    <w:tmpl w:val="FFFFFFFF"/>
    <w:lvl w:ilvl="0" w:tplc="8F4E4902">
      <w:start w:val="1"/>
      <w:numFmt w:val="bullet"/>
      <w:lvlText w:val=""/>
      <w:lvlJc w:val="left"/>
      <w:pPr>
        <w:ind w:left="720" w:hanging="360"/>
      </w:pPr>
      <w:rPr>
        <w:rFonts w:ascii="Symbol" w:hAnsi="Symbol" w:hint="default"/>
      </w:rPr>
    </w:lvl>
    <w:lvl w:ilvl="1" w:tplc="21228D00">
      <w:start w:val="1"/>
      <w:numFmt w:val="bullet"/>
      <w:lvlText w:val="o"/>
      <w:lvlJc w:val="left"/>
      <w:pPr>
        <w:ind w:left="1440" w:hanging="360"/>
      </w:pPr>
      <w:rPr>
        <w:rFonts w:ascii="Courier New" w:hAnsi="Courier New" w:hint="default"/>
      </w:rPr>
    </w:lvl>
    <w:lvl w:ilvl="2" w:tplc="BCEC409C">
      <w:start w:val="1"/>
      <w:numFmt w:val="bullet"/>
      <w:lvlText w:val=""/>
      <w:lvlJc w:val="left"/>
      <w:pPr>
        <w:ind w:left="2160" w:hanging="360"/>
      </w:pPr>
      <w:rPr>
        <w:rFonts w:ascii="Wingdings" w:hAnsi="Wingdings" w:hint="default"/>
      </w:rPr>
    </w:lvl>
    <w:lvl w:ilvl="3" w:tplc="1D78D6F6">
      <w:start w:val="1"/>
      <w:numFmt w:val="bullet"/>
      <w:lvlText w:val=""/>
      <w:lvlJc w:val="left"/>
      <w:pPr>
        <w:ind w:left="2880" w:hanging="360"/>
      </w:pPr>
      <w:rPr>
        <w:rFonts w:ascii="Symbol" w:hAnsi="Symbol" w:hint="default"/>
      </w:rPr>
    </w:lvl>
    <w:lvl w:ilvl="4" w:tplc="36C21AFE">
      <w:start w:val="1"/>
      <w:numFmt w:val="bullet"/>
      <w:lvlText w:val="o"/>
      <w:lvlJc w:val="left"/>
      <w:pPr>
        <w:ind w:left="3600" w:hanging="360"/>
      </w:pPr>
      <w:rPr>
        <w:rFonts w:ascii="Courier New" w:hAnsi="Courier New" w:hint="default"/>
      </w:rPr>
    </w:lvl>
    <w:lvl w:ilvl="5" w:tplc="E10898BE">
      <w:start w:val="1"/>
      <w:numFmt w:val="bullet"/>
      <w:lvlText w:val=""/>
      <w:lvlJc w:val="left"/>
      <w:pPr>
        <w:ind w:left="4320" w:hanging="360"/>
      </w:pPr>
      <w:rPr>
        <w:rFonts w:ascii="Wingdings" w:hAnsi="Wingdings" w:hint="default"/>
      </w:rPr>
    </w:lvl>
    <w:lvl w:ilvl="6" w:tplc="39C24D22">
      <w:start w:val="1"/>
      <w:numFmt w:val="bullet"/>
      <w:lvlText w:val=""/>
      <w:lvlJc w:val="left"/>
      <w:pPr>
        <w:ind w:left="5040" w:hanging="360"/>
      </w:pPr>
      <w:rPr>
        <w:rFonts w:ascii="Symbol" w:hAnsi="Symbol" w:hint="default"/>
      </w:rPr>
    </w:lvl>
    <w:lvl w:ilvl="7" w:tplc="7EBEBCC0">
      <w:start w:val="1"/>
      <w:numFmt w:val="bullet"/>
      <w:lvlText w:val="o"/>
      <w:lvlJc w:val="left"/>
      <w:pPr>
        <w:ind w:left="5760" w:hanging="360"/>
      </w:pPr>
      <w:rPr>
        <w:rFonts w:ascii="Courier New" w:hAnsi="Courier New" w:hint="default"/>
      </w:rPr>
    </w:lvl>
    <w:lvl w:ilvl="8" w:tplc="C51AF8E4">
      <w:start w:val="1"/>
      <w:numFmt w:val="bullet"/>
      <w:lvlText w:val=""/>
      <w:lvlJc w:val="left"/>
      <w:pPr>
        <w:ind w:left="6480" w:hanging="360"/>
      </w:pPr>
      <w:rPr>
        <w:rFonts w:ascii="Wingdings" w:hAnsi="Wingdings" w:hint="default"/>
      </w:rPr>
    </w:lvl>
  </w:abstractNum>
  <w:abstractNum w:abstractNumId="5" w15:restartNumberingAfterBreak="0">
    <w:nsid w:val="0F3A5597"/>
    <w:multiLevelType w:val="hybridMultilevel"/>
    <w:tmpl w:val="83B8C1C4"/>
    <w:lvl w:ilvl="0" w:tplc="F11C521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B4021F"/>
    <w:multiLevelType w:val="hybridMultilevel"/>
    <w:tmpl w:val="144E6648"/>
    <w:lvl w:ilvl="0" w:tplc="E72E7526">
      <w:start w:val="1"/>
      <w:numFmt w:val="lowerLetter"/>
      <w:lvlText w:val="%1."/>
      <w:lvlJc w:val="left"/>
      <w:pPr>
        <w:ind w:left="720" w:hanging="360"/>
      </w:pPr>
      <w:rPr>
        <w:rFonts w:ascii="Calibri" w:hAnsi="Calibri"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7A7A1C"/>
    <w:multiLevelType w:val="hybridMultilevel"/>
    <w:tmpl w:val="41C8E988"/>
    <w:lvl w:ilvl="0" w:tplc="14090001">
      <w:start w:val="1"/>
      <w:numFmt w:val="bullet"/>
      <w:lvlText w:val=""/>
      <w:lvlJc w:val="left"/>
      <w:pPr>
        <w:ind w:left="742" w:hanging="360"/>
      </w:pPr>
      <w:rPr>
        <w:rFonts w:ascii="Symbol" w:hAnsi="Symbol" w:hint="default"/>
      </w:rPr>
    </w:lvl>
    <w:lvl w:ilvl="1" w:tplc="FFFFFFFF" w:tentative="1">
      <w:start w:val="1"/>
      <w:numFmt w:val="bullet"/>
      <w:lvlText w:val="o"/>
      <w:lvlJc w:val="left"/>
      <w:pPr>
        <w:ind w:left="1462" w:hanging="360"/>
      </w:pPr>
      <w:rPr>
        <w:rFonts w:ascii="Courier New" w:hAnsi="Courier New" w:cs="Courier New" w:hint="default"/>
      </w:rPr>
    </w:lvl>
    <w:lvl w:ilvl="2" w:tplc="FFFFFFFF" w:tentative="1">
      <w:start w:val="1"/>
      <w:numFmt w:val="bullet"/>
      <w:lvlText w:val=""/>
      <w:lvlJc w:val="left"/>
      <w:pPr>
        <w:ind w:left="2182" w:hanging="360"/>
      </w:pPr>
      <w:rPr>
        <w:rFonts w:ascii="Wingdings" w:hAnsi="Wingdings" w:hint="default"/>
      </w:rPr>
    </w:lvl>
    <w:lvl w:ilvl="3" w:tplc="FFFFFFFF" w:tentative="1">
      <w:start w:val="1"/>
      <w:numFmt w:val="bullet"/>
      <w:lvlText w:val=""/>
      <w:lvlJc w:val="left"/>
      <w:pPr>
        <w:ind w:left="2902" w:hanging="360"/>
      </w:pPr>
      <w:rPr>
        <w:rFonts w:ascii="Symbol" w:hAnsi="Symbol" w:hint="default"/>
      </w:rPr>
    </w:lvl>
    <w:lvl w:ilvl="4" w:tplc="FFFFFFFF" w:tentative="1">
      <w:start w:val="1"/>
      <w:numFmt w:val="bullet"/>
      <w:lvlText w:val="o"/>
      <w:lvlJc w:val="left"/>
      <w:pPr>
        <w:ind w:left="3622" w:hanging="360"/>
      </w:pPr>
      <w:rPr>
        <w:rFonts w:ascii="Courier New" w:hAnsi="Courier New" w:cs="Courier New" w:hint="default"/>
      </w:rPr>
    </w:lvl>
    <w:lvl w:ilvl="5" w:tplc="FFFFFFFF" w:tentative="1">
      <w:start w:val="1"/>
      <w:numFmt w:val="bullet"/>
      <w:lvlText w:val=""/>
      <w:lvlJc w:val="left"/>
      <w:pPr>
        <w:ind w:left="4342" w:hanging="360"/>
      </w:pPr>
      <w:rPr>
        <w:rFonts w:ascii="Wingdings" w:hAnsi="Wingdings" w:hint="default"/>
      </w:rPr>
    </w:lvl>
    <w:lvl w:ilvl="6" w:tplc="FFFFFFFF" w:tentative="1">
      <w:start w:val="1"/>
      <w:numFmt w:val="bullet"/>
      <w:lvlText w:val=""/>
      <w:lvlJc w:val="left"/>
      <w:pPr>
        <w:ind w:left="5062" w:hanging="360"/>
      </w:pPr>
      <w:rPr>
        <w:rFonts w:ascii="Symbol" w:hAnsi="Symbol" w:hint="default"/>
      </w:rPr>
    </w:lvl>
    <w:lvl w:ilvl="7" w:tplc="FFFFFFFF" w:tentative="1">
      <w:start w:val="1"/>
      <w:numFmt w:val="bullet"/>
      <w:lvlText w:val="o"/>
      <w:lvlJc w:val="left"/>
      <w:pPr>
        <w:ind w:left="5782" w:hanging="360"/>
      </w:pPr>
      <w:rPr>
        <w:rFonts w:ascii="Courier New" w:hAnsi="Courier New" w:cs="Courier New" w:hint="default"/>
      </w:rPr>
    </w:lvl>
    <w:lvl w:ilvl="8" w:tplc="FFFFFFFF" w:tentative="1">
      <w:start w:val="1"/>
      <w:numFmt w:val="bullet"/>
      <w:lvlText w:val=""/>
      <w:lvlJc w:val="left"/>
      <w:pPr>
        <w:ind w:left="6502" w:hanging="360"/>
      </w:pPr>
      <w:rPr>
        <w:rFonts w:ascii="Wingdings" w:hAnsi="Wingdings" w:hint="default"/>
      </w:rPr>
    </w:lvl>
  </w:abstractNum>
  <w:abstractNum w:abstractNumId="8" w15:restartNumberingAfterBreak="0">
    <w:nsid w:val="1C9959E2"/>
    <w:multiLevelType w:val="hybridMultilevel"/>
    <w:tmpl w:val="ED7E9FBC"/>
    <w:lvl w:ilvl="0" w:tplc="F11C521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F14282"/>
    <w:multiLevelType w:val="hybridMultilevel"/>
    <w:tmpl w:val="B5E25402"/>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CD2B2E"/>
    <w:multiLevelType w:val="multilevel"/>
    <w:tmpl w:val="F39AEE2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3" w15:restartNumberingAfterBreak="0">
    <w:nsid w:val="213B7AC9"/>
    <w:multiLevelType w:val="hybridMultilevel"/>
    <w:tmpl w:val="82B01F8E"/>
    <w:lvl w:ilvl="0" w:tplc="E72E7526">
      <w:start w:val="1"/>
      <w:numFmt w:val="lowerLetter"/>
      <w:lvlText w:val="%1."/>
      <w:lvlJc w:val="left"/>
      <w:pPr>
        <w:ind w:left="720" w:hanging="360"/>
      </w:pPr>
      <w:rPr>
        <w:rFonts w:ascii="Calibri" w:hAnsi="Calibri"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22F18"/>
    <w:multiLevelType w:val="hybridMultilevel"/>
    <w:tmpl w:val="D800085E"/>
    <w:lvl w:ilvl="0" w:tplc="F11C521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B05206B"/>
    <w:multiLevelType w:val="multilevel"/>
    <w:tmpl w:val="F39AEE2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713F69"/>
    <w:multiLevelType w:val="hybridMultilevel"/>
    <w:tmpl w:val="BBEE36B0"/>
    <w:lvl w:ilvl="0" w:tplc="F11C521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8" w15:restartNumberingAfterBreak="0">
    <w:nsid w:val="32651324"/>
    <w:multiLevelType w:val="hybridMultilevel"/>
    <w:tmpl w:val="BD18EC9A"/>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lvlText w:val="%1.%2.%3.%4.%5.%6.%7"/>
      <w:lvlJc w:val="left"/>
      <w:pPr>
        <w:tabs>
          <w:tab w:val="num" w:pos="3566"/>
        </w:tabs>
        <w:ind w:left="3566" w:hanging="1298"/>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0"/>
        </w:tabs>
        <w:ind w:left="3850" w:hanging="1582"/>
      </w:pPr>
      <w:rPr>
        <w:rFonts w:hint="default"/>
      </w:rPr>
    </w:lvl>
  </w:abstractNum>
  <w:abstractNum w:abstractNumId="20" w15:restartNumberingAfterBreak="0">
    <w:nsid w:val="33CD7091"/>
    <w:multiLevelType w:val="hybridMultilevel"/>
    <w:tmpl w:val="B5E25402"/>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921178"/>
    <w:multiLevelType w:val="multilevel"/>
    <w:tmpl w:val="87BA6208"/>
    <w:lvl w:ilvl="0">
      <w:start w:val="1"/>
      <w:numFmt w:val="lowerRoman"/>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4350C6"/>
    <w:multiLevelType w:val="hybridMultilevel"/>
    <w:tmpl w:val="B5E25402"/>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0A0A93"/>
    <w:multiLevelType w:val="hybridMultilevel"/>
    <w:tmpl w:val="90823716"/>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465A16"/>
    <w:multiLevelType w:val="multilevel"/>
    <w:tmpl w:val="1BA4B9D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665EFA"/>
    <w:multiLevelType w:val="multilevel"/>
    <w:tmpl w:val="47E0AC9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9" w15:restartNumberingAfterBreak="0">
    <w:nsid w:val="468821D7"/>
    <w:multiLevelType w:val="hybridMultilevel"/>
    <w:tmpl w:val="50CE45EC"/>
    <w:lvl w:ilvl="0" w:tplc="FFFFFFFF">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E7192D"/>
    <w:multiLevelType w:val="hybridMultilevel"/>
    <w:tmpl w:val="BD18EC9A"/>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81781A"/>
    <w:multiLevelType w:val="hybridMultilevel"/>
    <w:tmpl w:val="B5E25402"/>
    <w:lvl w:ilvl="0" w:tplc="E72E7526">
      <w:start w:val="1"/>
      <w:numFmt w:val="lowerLetter"/>
      <w:lvlText w:val="%1."/>
      <w:lvlJc w:val="left"/>
      <w:pPr>
        <w:ind w:left="720" w:hanging="360"/>
      </w:pPr>
      <w:rPr>
        <w:rFonts w:ascii="Calibri" w:hAnsi="Calibri"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3" w15:restartNumberingAfterBreak="0">
    <w:nsid w:val="5549222E"/>
    <w:multiLevelType w:val="hybridMultilevel"/>
    <w:tmpl w:val="76228BAC"/>
    <w:lvl w:ilvl="0" w:tplc="CBC86AA2">
      <w:start w:val="1"/>
      <w:numFmt w:val="decimal"/>
      <w:lvlText w:val="%1"/>
      <w:lvlJc w:val="left"/>
      <w:pPr>
        <w:ind w:left="720" w:hanging="360"/>
      </w:pPr>
      <w:rPr>
        <w:rFonts w:ascii="Calibri" w:hAnsi="Calibri" w:hint="default"/>
        <w:b w:val="0"/>
        <w:i w:val="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5635EC7"/>
    <w:multiLevelType w:val="multilevel"/>
    <w:tmpl w:val="47E0AC9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7E1CFD"/>
    <w:multiLevelType w:val="multilevel"/>
    <w:tmpl w:val="E3A49226"/>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EE7789"/>
    <w:multiLevelType w:val="hybridMultilevel"/>
    <w:tmpl w:val="21727F4A"/>
    <w:lvl w:ilvl="0" w:tplc="F11C521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1F80357"/>
    <w:multiLevelType w:val="hybridMultilevel"/>
    <w:tmpl w:val="B5E25402"/>
    <w:lvl w:ilvl="0" w:tplc="FFFFFFFF">
      <w:start w:val="1"/>
      <w:numFmt w:val="lowerLetter"/>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317E15"/>
    <w:multiLevelType w:val="multilevel"/>
    <w:tmpl w:val="47E0AC9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8D4EC3"/>
    <w:multiLevelType w:val="hybridMultilevel"/>
    <w:tmpl w:val="90823716"/>
    <w:lvl w:ilvl="0" w:tplc="E72E7526">
      <w:start w:val="1"/>
      <w:numFmt w:val="lowerLetter"/>
      <w:lvlText w:val="%1."/>
      <w:lvlJc w:val="left"/>
      <w:pPr>
        <w:ind w:left="720" w:hanging="360"/>
      </w:pPr>
      <w:rPr>
        <w:rFonts w:ascii="Calibri" w:hAnsi="Calibri"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F9D74CD"/>
    <w:multiLevelType w:val="multilevel"/>
    <w:tmpl w:val="F39AEE24"/>
    <w:lvl w:ilvl="0">
      <w:start w:val="1"/>
      <w:numFmt w:val="lowerLetter"/>
      <w:lvlText w:val="%1."/>
      <w:lvlJc w:val="left"/>
      <w:pPr>
        <w:ind w:left="284" w:hanging="284"/>
      </w:pPr>
      <w:rPr>
        <w:rFonts w:ascii="Calibri" w:hAnsi="Calibri"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74542">
    <w:abstractNumId w:val="29"/>
  </w:num>
  <w:num w:numId="2" w16cid:durableId="513303748">
    <w:abstractNumId w:val="7"/>
  </w:num>
  <w:num w:numId="3" w16cid:durableId="255476752">
    <w:abstractNumId w:val="4"/>
  </w:num>
  <w:num w:numId="4" w16cid:durableId="462961086">
    <w:abstractNumId w:val="24"/>
  </w:num>
  <w:num w:numId="5" w16cid:durableId="782922076">
    <w:abstractNumId w:val="32"/>
  </w:num>
  <w:num w:numId="6" w16cid:durableId="507259403">
    <w:abstractNumId w:val="11"/>
  </w:num>
  <w:num w:numId="7" w16cid:durableId="1472554744">
    <w:abstractNumId w:val="19"/>
  </w:num>
  <w:num w:numId="8" w16cid:durableId="2106146222">
    <w:abstractNumId w:val="17"/>
  </w:num>
  <w:num w:numId="9" w16cid:durableId="2093696073">
    <w:abstractNumId w:val="25"/>
  </w:num>
  <w:num w:numId="10" w16cid:durableId="1632902391">
    <w:abstractNumId w:val="12"/>
  </w:num>
  <w:num w:numId="11" w16cid:durableId="1720393416">
    <w:abstractNumId w:val="28"/>
  </w:num>
  <w:num w:numId="12" w16cid:durableId="2128809398">
    <w:abstractNumId w:val="27"/>
  </w:num>
  <w:num w:numId="13" w16cid:durableId="1027952404">
    <w:abstractNumId w:val="38"/>
  </w:num>
  <w:num w:numId="14" w16cid:durableId="911083015">
    <w:abstractNumId w:val="36"/>
  </w:num>
  <w:num w:numId="15" w16cid:durableId="1588031887">
    <w:abstractNumId w:val="21"/>
  </w:num>
  <w:num w:numId="16" w16cid:durableId="1150556079">
    <w:abstractNumId w:val="33"/>
  </w:num>
  <w:num w:numId="17" w16cid:durableId="974603454">
    <w:abstractNumId w:val="35"/>
  </w:num>
  <w:num w:numId="18" w16cid:durableId="1793786470">
    <w:abstractNumId w:val="26"/>
  </w:num>
  <w:num w:numId="19" w16cid:durableId="865752087">
    <w:abstractNumId w:val="39"/>
  </w:num>
  <w:num w:numId="20" w16cid:durableId="1263033681">
    <w:abstractNumId w:val="34"/>
  </w:num>
  <w:num w:numId="21" w16cid:durableId="1441952361">
    <w:abstractNumId w:val="1"/>
  </w:num>
  <w:num w:numId="22" w16cid:durableId="887300788">
    <w:abstractNumId w:val="0"/>
  </w:num>
  <w:num w:numId="23" w16cid:durableId="886456087">
    <w:abstractNumId w:val="13"/>
  </w:num>
  <w:num w:numId="24" w16cid:durableId="1450011352">
    <w:abstractNumId w:val="14"/>
  </w:num>
  <w:num w:numId="25" w16cid:durableId="741219697">
    <w:abstractNumId w:val="15"/>
  </w:num>
  <w:num w:numId="26" w16cid:durableId="934634229">
    <w:abstractNumId w:val="10"/>
  </w:num>
  <w:num w:numId="27" w16cid:durableId="544103675">
    <w:abstractNumId w:val="41"/>
  </w:num>
  <w:num w:numId="28" w16cid:durableId="726075942">
    <w:abstractNumId w:val="3"/>
  </w:num>
  <w:num w:numId="29" w16cid:durableId="1356268387">
    <w:abstractNumId w:val="16"/>
  </w:num>
  <w:num w:numId="30" w16cid:durableId="2054114115">
    <w:abstractNumId w:val="18"/>
  </w:num>
  <w:num w:numId="31" w16cid:durableId="472871354">
    <w:abstractNumId w:val="30"/>
  </w:num>
  <w:num w:numId="32" w16cid:durableId="1080442257">
    <w:abstractNumId w:val="6"/>
  </w:num>
  <w:num w:numId="33" w16cid:durableId="1118528094">
    <w:abstractNumId w:val="40"/>
  </w:num>
  <w:num w:numId="34" w16cid:durableId="704597193">
    <w:abstractNumId w:val="5"/>
  </w:num>
  <w:num w:numId="35" w16cid:durableId="1630866418">
    <w:abstractNumId w:val="2"/>
  </w:num>
  <w:num w:numId="36" w16cid:durableId="1605991332">
    <w:abstractNumId w:val="23"/>
  </w:num>
  <w:num w:numId="37" w16cid:durableId="1240871287">
    <w:abstractNumId w:val="31"/>
  </w:num>
  <w:num w:numId="38" w16cid:durableId="1196381326">
    <w:abstractNumId w:val="20"/>
  </w:num>
  <w:num w:numId="39" w16cid:durableId="1439333134">
    <w:abstractNumId w:val="37"/>
  </w:num>
  <w:num w:numId="40" w16cid:durableId="916020454">
    <w:abstractNumId w:val="9"/>
  </w:num>
  <w:num w:numId="41" w16cid:durableId="1880774168">
    <w:abstractNumId w:val="22"/>
  </w:num>
  <w:num w:numId="42" w16cid:durableId="1564101847">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0F"/>
    <w:rsid w:val="00000785"/>
    <w:rsid w:val="00001473"/>
    <w:rsid w:val="00001A00"/>
    <w:rsid w:val="00001E9E"/>
    <w:rsid w:val="000024F8"/>
    <w:rsid w:val="000032BB"/>
    <w:rsid w:val="000033BF"/>
    <w:rsid w:val="00003D96"/>
    <w:rsid w:val="00003E4E"/>
    <w:rsid w:val="000044BC"/>
    <w:rsid w:val="00004DA7"/>
    <w:rsid w:val="00005159"/>
    <w:rsid w:val="000059E1"/>
    <w:rsid w:val="000065A0"/>
    <w:rsid w:val="00006F85"/>
    <w:rsid w:val="000074F9"/>
    <w:rsid w:val="0000785A"/>
    <w:rsid w:val="00007D37"/>
    <w:rsid w:val="000108CB"/>
    <w:rsid w:val="00010F0A"/>
    <w:rsid w:val="000110E3"/>
    <w:rsid w:val="0001131C"/>
    <w:rsid w:val="00011569"/>
    <w:rsid w:val="00011673"/>
    <w:rsid w:val="00011791"/>
    <w:rsid w:val="00011B43"/>
    <w:rsid w:val="00013D7A"/>
    <w:rsid w:val="00013E09"/>
    <w:rsid w:val="00013FDB"/>
    <w:rsid w:val="00014B95"/>
    <w:rsid w:val="00014BA7"/>
    <w:rsid w:val="00015301"/>
    <w:rsid w:val="00015A3B"/>
    <w:rsid w:val="00016494"/>
    <w:rsid w:val="00017DC0"/>
    <w:rsid w:val="00017DDD"/>
    <w:rsid w:val="00020F7F"/>
    <w:rsid w:val="00020FF3"/>
    <w:rsid w:val="00021855"/>
    <w:rsid w:val="000219AB"/>
    <w:rsid w:val="00021A1F"/>
    <w:rsid w:val="00021C3C"/>
    <w:rsid w:val="00021D93"/>
    <w:rsid w:val="0002212B"/>
    <w:rsid w:val="000223F5"/>
    <w:rsid w:val="00023BD7"/>
    <w:rsid w:val="000241A1"/>
    <w:rsid w:val="00024B0A"/>
    <w:rsid w:val="00024CFB"/>
    <w:rsid w:val="00024E19"/>
    <w:rsid w:val="0002527B"/>
    <w:rsid w:val="0002542A"/>
    <w:rsid w:val="0002605F"/>
    <w:rsid w:val="00026C25"/>
    <w:rsid w:val="000275A2"/>
    <w:rsid w:val="000311C3"/>
    <w:rsid w:val="0003181C"/>
    <w:rsid w:val="00031854"/>
    <w:rsid w:val="00031B23"/>
    <w:rsid w:val="00031DC1"/>
    <w:rsid w:val="00032151"/>
    <w:rsid w:val="00032584"/>
    <w:rsid w:val="00032B20"/>
    <w:rsid w:val="00032D17"/>
    <w:rsid w:val="000333FF"/>
    <w:rsid w:val="000335F3"/>
    <w:rsid w:val="00033E04"/>
    <w:rsid w:val="000348A8"/>
    <w:rsid w:val="00034C45"/>
    <w:rsid w:val="0003508D"/>
    <w:rsid w:val="000353F9"/>
    <w:rsid w:val="000354F5"/>
    <w:rsid w:val="00035502"/>
    <w:rsid w:val="00036151"/>
    <w:rsid w:val="00036216"/>
    <w:rsid w:val="00036CF4"/>
    <w:rsid w:val="00037F12"/>
    <w:rsid w:val="00040502"/>
    <w:rsid w:val="0004055A"/>
    <w:rsid w:val="00040BE4"/>
    <w:rsid w:val="000417E4"/>
    <w:rsid w:val="00041C72"/>
    <w:rsid w:val="0004229B"/>
    <w:rsid w:val="00042523"/>
    <w:rsid w:val="000436DA"/>
    <w:rsid w:val="0004492D"/>
    <w:rsid w:val="00044D06"/>
    <w:rsid w:val="00044F78"/>
    <w:rsid w:val="00045686"/>
    <w:rsid w:val="00047F92"/>
    <w:rsid w:val="000500DA"/>
    <w:rsid w:val="00050651"/>
    <w:rsid w:val="0005140A"/>
    <w:rsid w:val="00052A06"/>
    <w:rsid w:val="00052A9E"/>
    <w:rsid w:val="0005340E"/>
    <w:rsid w:val="000534C5"/>
    <w:rsid w:val="00053E00"/>
    <w:rsid w:val="00053E98"/>
    <w:rsid w:val="000540FD"/>
    <w:rsid w:val="00054101"/>
    <w:rsid w:val="0005423B"/>
    <w:rsid w:val="0005441F"/>
    <w:rsid w:val="000549AF"/>
    <w:rsid w:val="00055848"/>
    <w:rsid w:val="00055D86"/>
    <w:rsid w:val="0005630F"/>
    <w:rsid w:val="00056357"/>
    <w:rsid w:val="000566E4"/>
    <w:rsid w:val="00056ABF"/>
    <w:rsid w:val="00056C3A"/>
    <w:rsid w:val="000579C3"/>
    <w:rsid w:val="0006086C"/>
    <w:rsid w:val="00060A79"/>
    <w:rsid w:val="00061EB8"/>
    <w:rsid w:val="000625F9"/>
    <w:rsid w:val="00062E03"/>
    <w:rsid w:val="00063914"/>
    <w:rsid w:val="0006405B"/>
    <w:rsid w:val="000641EB"/>
    <w:rsid w:val="000644D9"/>
    <w:rsid w:val="000649F3"/>
    <w:rsid w:val="00065232"/>
    <w:rsid w:val="000652DB"/>
    <w:rsid w:val="00065625"/>
    <w:rsid w:val="00065D5A"/>
    <w:rsid w:val="0006655D"/>
    <w:rsid w:val="00066659"/>
    <w:rsid w:val="00067103"/>
    <w:rsid w:val="000671C6"/>
    <w:rsid w:val="00067428"/>
    <w:rsid w:val="00067BC0"/>
    <w:rsid w:val="000705FD"/>
    <w:rsid w:val="000706B8"/>
    <w:rsid w:val="00070B17"/>
    <w:rsid w:val="00070D3D"/>
    <w:rsid w:val="00071723"/>
    <w:rsid w:val="00071841"/>
    <w:rsid w:val="00071906"/>
    <w:rsid w:val="00071B85"/>
    <w:rsid w:val="00071D81"/>
    <w:rsid w:val="00071EC5"/>
    <w:rsid w:val="0007222B"/>
    <w:rsid w:val="0007254E"/>
    <w:rsid w:val="00072A94"/>
    <w:rsid w:val="00073268"/>
    <w:rsid w:val="00073DFF"/>
    <w:rsid w:val="00074205"/>
    <w:rsid w:val="00074667"/>
    <w:rsid w:val="00074C2E"/>
    <w:rsid w:val="00074D7D"/>
    <w:rsid w:val="00075B4C"/>
    <w:rsid w:val="00075BD6"/>
    <w:rsid w:val="0007605F"/>
    <w:rsid w:val="00076081"/>
    <w:rsid w:val="0007676C"/>
    <w:rsid w:val="000768F5"/>
    <w:rsid w:val="00077857"/>
    <w:rsid w:val="00077FC6"/>
    <w:rsid w:val="000809E0"/>
    <w:rsid w:val="000810D2"/>
    <w:rsid w:val="000818AE"/>
    <w:rsid w:val="00082FDA"/>
    <w:rsid w:val="00083B7A"/>
    <w:rsid w:val="00083DAA"/>
    <w:rsid w:val="00084174"/>
    <w:rsid w:val="00084306"/>
    <w:rsid w:val="00084AC1"/>
    <w:rsid w:val="000859E8"/>
    <w:rsid w:val="00085A81"/>
    <w:rsid w:val="000867B6"/>
    <w:rsid w:val="00086A01"/>
    <w:rsid w:val="00086A65"/>
    <w:rsid w:val="00086F1F"/>
    <w:rsid w:val="000874C1"/>
    <w:rsid w:val="00087B4F"/>
    <w:rsid w:val="00087B52"/>
    <w:rsid w:val="00087EE9"/>
    <w:rsid w:val="00090435"/>
    <w:rsid w:val="00091055"/>
    <w:rsid w:val="000927B3"/>
    <w:rsid w:val="00092877"/>
    <w:rsid w:val="00092AB2"/>
    <w:rsid w:val="0009317F"/>
    <w:rsid w:val="000942E5"/>
    <w:rsid w:val="00094321"/>
    <w:rsid w:val="00094A43"/>
    <w:rsid w:val="00094CAF"/>
    <w:rsid w:val="000952FB"/>
    <w:rsid w:val="00095B13"/>
    <w:rsid w:val="00096970"/>
    <w:rsid w:val="000970E4"/>
    <w:rsid w:val="0009777D"/>
    <w:rsid w:val="00097DBB"/>
    <w:rsid w:val="00097F5B"/>
    <w:rsid w:val="000A0E91"/>
    <w:rsid w:val="000A118B"/>
    <w:rsid w:val="000A12B0"/>
    <w:rsid w:val="000A18B5"/>
    <w:rsid w:val="000A1E67"/>
    <w:rsid w:val="000A22CA"/>
    <w:rsid w:val="000A3829"/>
    <w:rsid w:val="000A4A70"/>
    <w:rsid w:val="000A558B"/>
    <w:rsid w:val="000A56F6"/>
    <w:rsid w:val="000A5E94"/>
    <w:rsid w:val="000A6344"/>
    <w:rsid w:val="000A68DB"/>
    <w:rsid w:val="000A69BB"/>
    <w:rsid w:val="000A6EC3"/>
    <w:rsid w:val="000A7866"/>
    <w:rsid w:val="000B01EE"/>
    <w:rsid w:val="000B0B74"/>
    <w:rsid w:val="000B0CA7"/>
    <w:rsid w:val="000B19FB"/>
    <w:rsid w:val="000B21C0"/>
    <w:rsid w:val="000B368E"/>
    <w:rsid w:val="000B3853"/>
    <w:rsid w:val="000B3CE6"/>
    <w:rsid w:val="000B550E"/>
    <w:rsid w:val="000B58C1"/>
    <w:rsid w:val="000B5DFD"/>
    <w:rsid w:val="000B6805"/>
    <w:rsid w:val="000B6C1B"/>
    <w:rsid w:val="000B7269"/>
    <w:rsid w:val="000B73A6"/>
    <w:rsid w:val="000B7AC6"/>
    <w:rsid w:val="000C00DE"/>
    <w:rsid w:val="000C1887"/>
    <w:rsid w:val="000C1C6F"/>
    <w:rsid w:val="000C202C"/>
    <w:rsid w:val="000C2531"/>
    <w:rsid w:val="000C2EA1"/>
    <w:rsid w:val="000C2EB1"/>
    <w:rsid w:val="000C2F5D"/>
    <w:rsid w:val="000C33BF"/>
    <w:rsid w:val="000C33D1"/>
    <w:rsid w:val="000C4361"/>
    <w:rsid w:val="000C4CFD"/>
    <w:rsid w:val="000C4DBA"/>
    <w:rsid w:val="000C4E12"/>
    <w:rsid w:val="000C5545"/>
    <w:rsid w:val="000C58EC"/>
    <w:rsid w:val="000C5D2C"/>
    <w:rsid w:val="000C62D1"/>
    <w:rsid w:val="000C6378"/>
    <w:rsid w:val="000C64B5"/>
    <w:rsid w:val="000C64D4"/>
    <w:rsid w:val="000C7CF6"/>
    <w:rsid w:val="000C7D77"/>
    <w:rsid w:val="000C7FBC"/>
    <w:rsid w:val="000D0A95"/>
    <w:rsid w:val="000D1386"/>
    <w:rsid w:val="000D13D9"/>
    <w:rsid w:val="000D2E09"/>
    <w:rsid w:val="000D33A7"/>
    <w:rsid w:val="000D3F46"/>
    <w:rsid w:val="000D3F69"/>
    <w:rsid w:val="000D44BB"/>
    <w:rsid w:val="000D4AAB"/>
    <w:rsid w:val="000D4B2D"/>
    <w:rsid w:val="000D5259"/>
    <w:rsid w:val="000D5EF5"/>
    <w:rsid w:val="000D7F17"/>
    <w:rsid w:val="000D7F3C"/>
    <w:rsid w:val="000E0347"/>
    <w:rsid w:val="000E0992"/>
    <w:rsid w:val="000E0AA0"/>
    <w:rsid w:val="000E0FA4"/>
    <w:rsid w:val="000E19CA"/>
    <w:rsid w:val="000E1A25"/>
    <w:rsid w:val="000E1D1B"/>
    <w:rsid w:val="000E242F"/>
    <w:rsid w:val="000E297E"/>
    <w:rsid w:val="000E35FC"/>
    <w:rsid w:val="000E3690"/>
    <w:rsid w:val="000E3C45"/>
    <w:rsid w:val="000E3D29"/>
    <w:rsid w:val="000E3D76"/>
    <w:rsid w:val="000E41D4"/>
    <w:rsid w:val="000E4406"/>
    <w:rsid w:val="000E45D6"/>
    <w:rsid w:val="000E4709"/>
    <w:rsid w:val="000E54BF"/>
    <w:rsid w:val="000E5836"/>
    <w:rsid w:val="000E5CA3"/>
    <w:rsid w:val="000E614E"/>
    <w:rsid w:val="000E6BF4"/>
    <w:rsid w:val="000E6DB6"/>
    <w:rsid w:val="000E7033"/>
    <w:rsid w:val="000E7902"/>
    <w:rsid w:val="000F0196"/>
    <w:rsid w:val="000F051D"/>
    <w:rsid w:val="000F0694"/>
    <w:rsid w:val="000F0989"/>
    <w:rsid w:val="000F0ABE"/>
    <w:rsid w:val="000F1BC3"/>
    <w:rsid w:val="000F2220"/>
    <w:rsid w:val="000F2706"/>
    <w:rsid w:val="000F2987"/>
    <w:rsid w:val="000F368E"/>
    <w:rsid w:val="000F3915"/>
    <w:rsid w:val="000F3A32"/>
    <w:rsid w:val="000F3F23"/>
    <w:rsid w:val="000F43FF"/>
    <w:rsid w:val="000F4DAD"/>
    <w:rsid w:val="000F551F"/>
    <w:rsid w:val="000F592A"/>
    <w:rsid w:val="000F6298"/>
    <w:rsid w:val="000F6C50"/>
    <w:rsid w:val="000F79F5"/>
    <w:rsid w:val="000F7F83"/>
    <w:rsid w:val="00101F84"/>
    <w:rsid w:val="001023D7"/>
    <w:rsid w:val="00102713"/>
    <w:rsid w:val="00103333"/>
    <w:rsid w:val="00103E13"/>
    <w:rsid w:val="00104165"/>
    <w:rsid w:val="00104A35"/>
    <w:rsid w:val="00105AD0"/>
    <w:rsid w:val="0010610B"/>
    <w:rsid w:val="001061F8"/>
    <w:rsid w:val="00106390"/>
    <w:rsid w:val="001071EC"/>
    <w:rsid w:val="0010755D"/>
    <w:rsid w:val="00107C17"/>
    <w:rsid w:val="00110030"/>
    <w:rsid w:val="0011004F"/>
    <w:rsid w:val="0011054E"/>
    <w:rsid w:val="00110639"/>
    <w:rsid w:val="00110D06"/>
    <w:rsid w:val="001111D0"/>
    <w:rsid w:val="00111D2F"/>
    <w:rsid w:val="00111E4E"/>
    <w:rsid w:val="00112371"/>
    <w:rsid w:val="0011239B"/>
    <w:rsid w:val="001124CF"/>
    <w:rsid w:val="00112AAC"/>
    <w:rsid w:val="001139BA"/>
    <w:rsid w:val="00113EF1"/>
    <w:rsid w:val="00114267"/>
    <w:rsid w:val="001143B8"/>
    <w:rsid w:val="00114D56"/>
    <w:rsid w:val="00114EB5"/>
    <w:rsid w:val="00114EC7"/>
    <w:rsid w:val="0011545C"/>
    <w:rsid w:val="00115731"/>
    <w:rsid w:val="00115CAA"/>
    <w:rsid w:val="00116194"/>
    <w:rsid w:val="001175E4"/>
    <w:rsid w:val="001176AC"/>
    <w:rsid w:val="00120054"/>
    <w:rsid w:val="001201DC"/>
    <w:rsid w:val="00120217"/>
    <w:rsid w:val="00120330"/>
    <w:rsid w:val="00120537"/>
    <w:rsid w:val="00120741"/>
    <w:rsid w:val="001221BD"/>
    <w:rsid w:val="00122A3F"/>
    <w:rsid w:val="001232C3"/>
    <w:rsid w:val="001238CF"/>
    <w:rsid w:val="00123F59"/>
    <w:rsid w:val="0012460D"/>
    <w:rsid w:val="00124629"/>
    <w:rsid w:val="00125AC0"/>
    <w:rsid w:val="00126B52"/>
    <w:rsid w:val="00127824"/>
    <w:rsid w:val="00127AB6"/>
    <w:rsid w:val="00127EE5"/>
    <w:rsid w:val="00130605"/>
    <w:rsid w:val="00130EA3"/>
    <w:rsid w:val="0013102B"/>
    <w:rsid w:val="001312B6"/>
    <w:rsid w:val="00132419"/>
    <w:rsid w:val="00132564"/>
    <w:rsid w:val="00133304"/>
    <w:rsid w:val="00133493"/>
    <w:rsid w:val="0013363E"/>
    <w:rsid w:val="00133A12"/>
    <w:rsid w:val="00133EE0"/>
    <w:rsid w:val="00135C77"/>
    <w:rsid w:val="00135CF4"/>
    <w:rsid w:val="00135D83"/>
    <w:rsid w:val="00135EFA"/>
    <w:rsid w:val="001363C9"/>
    <w:rsid w:val="001363D3"/>
    <w:rsid w:val="00137205"/>
    <w:rsid w:val="001373F7"/>
    <w:rsid w:val="00137493"/>
    <w:rsid w:val="00137A40"/>
    <w:rsid w:val="00140F4B"/>
    <w:rsid w:val="00140F63"/>
    <w:rsid w:val="001410D7"/>
    <w:rsid w:val="00141958"/>
    <w:rsid w:val="00141DEF"/>
    <w:rsid w:val="00141E45"/>
    <w:rsid w:val="001421CD"/>
    <w:rsid w:val="0014267F"/>
    <w:rsid w:val="001427A8"/>
    <w:rsid w:val="00142F22"/>
    <w:rsid w:val="00143EE5"/>
    <w:rsid w:val="00144509"/>
    <w:rsid w:val="00144623"/>
    <w:rsid w:val="00144895"/>
    <w:rsid w:val="001452CA"/>
    <w:rsid w:val="001453E6"/>
    <w:rsid w:val="001470C3"/>
    <w:rsid w:val="0014717D"/>
    <w:rsid w:val="00147813"/>
    <w:rsid w:val="00147D82"/>
    <w:rsid w:val="00147FD2"/>
    <w:rsid w:val="001504B2"/>
    <w:rsid w:val="00151613"/>
    <w:rsid w:val="00152580"/>
    <w:rsid w:val="0015262D"/>
    <w:rsid w:val="00152F83"/>
    <w:rsid w:val="001534AD"/>
    <w:rsid w:val="00153738"/>
    <w:rsid w:val="00153BF0"/>
    <w:rsid w:val="00154472"/>
    <w:rsid w:val="001548FA"/>
    <w:rsid w:val="001549EA"/>
    <w:rsid w:val="00154A72"/>
    <w:rsid w:val="00154B7C"/>
    <w:rsid w:val="00155169"/>
    <w:rsid w:val="00155A7F"/>
    <w:rsid w:val="00155D45"/>
    <w:rsid w:val="00155E24"/>
    <w:rsid w:val="001564EC"/>
    <w:rsid w:val="00156DB3"/>
    <w:rsid w:val="00157F1D"/>
    <w:rsid w:val="00157FFC"/>
    <w:rsid w:val="0016013F"/>
    <w:rsid w:val="0016032D"/>
    <w:rsid w:val="001612B1"/>
    <w:rsid w:val="00162121"/>
    <w:rsid w:val="00162343"/>
    <w:rsid w:val="00162A07"/>
    <w:rsid w:val="00162CC3"/>
    <w:rsid w:val="00162E52"/>
    <w:rsid w:val="00162F17"/>
    <w:rsid w:val="001630F2"/>
    <w:rsid w:val="00163509"/>
    <w:rsid w:val="001639C4"/>
    <w:rsid w:val="00163F45"/>
    <w:rsid w:val="001647D6"/>
    <w:rsid w:val="0016562A"/>
    <w:rsid w:val="001658EF"/>
    <w:rsid w:val="00165B1C"/>
    <w:rsid w:val="00165E15"/>
    <w:rsid w:val="001664B3"/>
    <w:rsid w:val="001670C7"/>
    <w:rsid w:val="00167898"/>
    <w:rsid w:val="00167937"/>
    <w:rsid w:val="00167969"/>
    <w:rsid w:val="001703BA"/>
    <w:rsid w:val="00170DEC"/>
    <w:rsid w:val="00170FCE"/>
    <w:rsid w:val="001713A3"/>
    <w:rsid w:val="00171C88"/>
    <w:rsid w:val="001720C9"/>
    <w:rsid w:val="00172259"/>
    <w:rsid w:val="001727B6"/>
    <w:rsid w:val="001728EA"/>
    <w:rsid w:val="00172F7A"/>
    <w:rsid w:val="001735D7"/>
    <w:rsid w:val="001738FA"/>
    <w:rsid w:val="0017471D"/>
    <w:rsid w:val="00175888"/>
    <w:rsid w:val="00175C37"/>
    <w:rsid w:val="00175EF1"/>
    <w:rsid w:val="00175F63"/>
    <w:rsid w:val="0017622E"/>
    <w:rsid w:val="0017641B"/>
    <w:rsid w:val="001802B1"/>
    <w:rsid w:val="00180B6A"/>
    <w:rsid w:val="001810B1"/>
    <w:rsid w:val="00181510"/>
    <w:rsid w:val="0018163C"/>
    <w:rsid w:val="00181D86"/>
    <w:rsid w:val="00181E44"/>
    <w:rsid w:val="0018284F"/>
    <w:rsid w:val="001833B5"/>
    <w:rsid w:val="00183CB1"/>
    <w:rsid w:val="00184642"/>
    <w:rsid w:val="00184A08"/>
    <w:rsid w:val="00184AA6"/>
    <w:rsid w:val="00184C2C"/>
    <w:rsid w:val="00184F2A"/>
    <w:rsid w:val="001851E3"/>
    <w:rsid w:val="00185964"/>
    <w:rsid w:val="00185E69"/>
    <w:rsid w:val="00186740"/>
    <w:rsid w:val="0018683C"/>
    <w:rsid w:val="001868F9"/>
    <w:rsid w:val="00186EC0"/>
    <w:rsid w:val="00187065"/>
    <w:rsid w:val="00187B22"/>
    <w:rsid w:val="00190608"/>
    <w:rsid w:val="00190D93"/>
    <w:rsid w:val="00191164"/>
    <w:rsid w:val="00191476"/>
    <w:rsid w:val="00191BD5"/>
    <w:rsid w:val="00192248"/>
    <w:rsid w:val="00192254"/>
    <w:rsid w:val="001925A1"/>
    <w:rsid w:val="0019287A"/>
    <w:rsid w:val="00192A05"/>
    <w:rsid w:val="00192E57"/>
    <w:rsid w:val="001935CB"/>
    <w:rsid w:val="00194404"/>
    <w:rsid w:val="001945E7"/>
    <w:rsid w:val="00195107"/>
    <w:rsid w:val="001955D7"/>
    <w:rsid w:val="001961AC"/>
    <w:rsid w:val="001961D7"/>
    <w:rsid w:val="001968BE"/>
    <w:rsid w:val="001968D2"/>
    <w:rsid w:val="00197383"/>
    <w:rsid w:val="00197D4E"/>
    <w:rsid w:val="001A066E"/>
    <w:rsid w:val="001A1A4A"/>
    <w:rsid w:val="001A1DE3"/>
    <w:rsid w:val="001A1E13"/>
    <w:rsid w:val="001A1F80"/>
    <w:rsid w:val="001A23AA"/>
    <w:rsid w:val="001A2418"/>
    <w:rsid w:val="001A2820"/>
    <w:rsid w:val="001A295F"/>
    <w:rsid w:val="001A2A53"/>
    <w:rsid w:val="001A2AA5"/>
    <w:rsid w:val="001A2BA1"/>
    <w:rsid w:val="001A343F"/>
    <w:rsid w:val="001A3D22"/>
    <w:rsid w:val="001A41F9"/>
    <w:rsid w:val="001A4BD0"/>
    <w:rsid w:val="001A5449"/>
    <w:rsid w:val="001A56D1"/>
    <w:rsid w:val="001A63B5"/>
    <w:rsid w:val="001A6762"/>
    <w:rsid w:val="001A6BCF"/>
    <w:rsid w:val="001A74A9"/>
    <w:rsid w:val="001A78D3"/>
    <w:rsid w:val="001A7AD5"/>
    <w:rsid w:val="001B032A"/>
    <w:rsid w:val="001B0B1D"/>
    <w:rsid w:val="001B0E0F"/>
    <w:rsid w:val="001B116E"/>
    <w:rsid w:val="001B11AC"/>
    <w:rsid w:val="001B21AA"/>
    <w:rsid w:val="001B2770"/>
    <w:rsid w:val="001B2FA6"/>
    <w:rsid w:val="001B3075"/>
    <w:rsid w:val="001B3789"/>
    <w:rsid w:val="001B3CBB"/>
    <w:rsid w:val="001B420A"/>
    <w:rsid w:val="001B4854"/>
    <w:rsid w:val="001B4B31"/>
    <w:rsid w:val="001B5785"/>
    <w:rsid w:val="001B5A04"/>
    <w:rsid w:val="001B7EC9"/>
    <w:rsid w:val="001B7F83"/>
    <w:rsid w:val="001C0152"/>
    <w:rsid w:val="001C0768"/>
    <w:rsid w:val="001C0DD0"/>
    <w:rsid w:val="001C0FD5"/>
    <w:rsid w:val="001C1EDB"/>
    <w:rsid w:val="001C24DC"/>
    <w:rsid w:val="001C2B0B"/>
    <w:rsid w:val="001C2B81"/>
    <w:rsid w:val="001C3037"/>
    <w:rsid w:val="001C39F7"/>
    <w:rsid w:val="001C3AAE"/>
    <w:rsid w:val="001C3BC4"/>
    <w:rsid w:val="001C3F9F"/>
    <w:rsid w:val="001C4031"/>
    <w:rsid w:val="001C4A8C"/>
    <w:rsid w:val="001C4B92"/>
    <w:rsid w:val="001C5098"/>
    <w:rsid w:val="001C5378"/>
    <w:rsid w:val="001C5435"/>
    <w:rsid w:val="001C55E1"/>
    <w:rsid w:val="001C5686"/>
    <w:rsid w:val="001C5E21"/>
    <w:rsid w:val="001C5F6B"/>
    <w:rsid w:val="001C6041"/>
    <w:rsid w:val="001C628F"/>
    <w:rsid w:val="001C6522"/>
    <w:rsid w:val="001C6D4F"/>
    <w:rsid w:val="001C707C"/>
    <w:rsid w:val="001C72CA"/>
    <w:rsid w:val="001C76EE"/>
    <w:rsid w:val="001C799B"/>
    <w:rsid w:val="001D0339"/>
    <w:rsid w:val="001D036B"/>
    <w:rsid w:val="001D04E0"/>
    <w:rsid w:val="001D0A4B"/>
    <w:rsid w:val="001D0E86"/>
    <w:rsid w:val="001D0F7C"/>
    <w:rsid w:val="001D18AC"/>
    <w:rsid w:val="001D1BFD"/>
    <w:rsid w:val="001D210F"/>
    <w:rsid w:val="001D2741"/>
    <w:rsid w:val="001D2C58"/>
    <w:rsid w:val="001D2DB3"/>
    <w:rsid w:val="001D2ED5"/>
    <w:rsid w:val="001D2F77"/>
    <w:rsid w:val="001D3CC1"/>
    <w:rsid w:val="001D3D30"/>
    <w:rsid w:val="001D422A"/>
    <w:rsid w:val="001D4279"/>
    <w:rsid w:val="001D4C29"/>
    <w:rsid w:val="001D4CD6"/>
    <w:rsid w:val="001D56FE"/>
    <w:rsid w:val="001D5956"/>
    <w:rsid w:val="001D5CDC"/>
    <w:rsid w:val="001D5F9C"/>
    <w:rsid w:val="001D70C4"/>
    <w:rsid w:val="001D7537"/>
    <w:rsid w:val="001D75E2"/>
    <w:rsid w:val="001E0191"/>
    <w:rsid w:val="001E0A6B"/>
    <w:rsid w:val="001E0C9C"/>
    <w:rsid w:val="001E1163"/>
    <w:rsid w:val="001E1544"/>
    <w:rsid w:val="001E1894"/>
    <w:rsid w:val="001E2BCF"/>
    <w:rsid w:val="001E37B3"/>
    <w:rsid w:val="001E455B"/>
    <w:rsid w:val="001E469D"/>
    <w:rsid w:val="001E500D"/>
    <w:rsid w:val="001E6457"/>
    <w:rsid w:val="001E68F7"/>
    <w:rsid w:val="001E6989"/>
    <w:rsid w:val="001E6B6D"/>
    <w:rsid w:val="001E6BA8"/>
    <w:rsid w:val="001E6C8C"/>
    <w:rsid w:val="001E6DFA"/>
    <w:rsid w:val="001E6EAE"/>
    <w:rsid w:val="001E7E77"/>
    <w:rsid w:val="001F0481"/>
    <w:rsid w:val="001F0A6D"/>
    <w:rsid w:val="001F0ABF"/>
    <w:rsid w:val="001F1081"/>
    <w:rsid w:val="001F1555"/>
    <w:rsid w:val="001F1785"/>
    <w:rsid w:val="001F1988"/>
    <w:rsid w:val="001F22B0"/>
    <w:rsid w:val="001F22F9"/>
    <w:rsid w:val="001F2609"/>
    <w:rsid w:val="001F26D4"/>
    <w:rsid w:val="001F2B4C"/>
    <w:rsid w:val="001F2BCB"/>
    <w:rsid w:val="001F3711"/>
    <w:rsid w:val="001F440D"/>
    <w:rsid w:val="001F6248"/>
    <w:rsid w:val="001F6D71"/>
    <w:rsid w:val="001F7592"/>
    <w:rsid w:val="001F765C"/>
    <w:rsid w:val="001F77ED"/>
    <w:rsid w:val="001F7A6E"/>
    <w:rsid w:val="001F7DD3"/>
    <w:rsid w:val="001F7E84"/>
    <w:rsid w:val="001FDDE3"/>
    <w:rsid w:val="0020044E"/>
    <w:rsid w:val="002005A5"/>
    <w:rsid w:val="00200F76"/>
    <w:rsid w:val="00201A41"/>
    <w:rsid w:val="00201A8C"/>
    <w:rsid w:val="00201B03"/>
    <w:rsid w:val="002021D6"/>
    <w:rsid w:val="00202D28"/>
    <w:rsid w:val="002030E0"/>
    <w:rsid w:val="00203E40"/>
    <w:rsid w:val="00203E77"/>
    <w:rsid w:val="00204A7E"/>
    <w:rsid w:val="00205ECD"/>
    <w:rsid w:val="0020768C"/>
    <w:rsid w:val="00207EC3"/>
    <w:rsid w:val="00210075"/>
    <w:rsid w:val="002102BE"/>
    <w:rsid w:val="0021035E"/>
    <w:rsid w:val="0021072D"/>
    <w:rsid w:val="00210BFC"/>
    <w:rsid w:val="00211A70"/>
    <w:rsid w:val="00211AC4"/>
    <w:rsid w:val="00211D18"/>
    <w:rsid w:val="00211FB2"/>
    <w:rsid w:val="00212397"/>
    <w:rsid w:val="00213657"/>
    <w:rsid w:val="002137BD"/>
    <w:rsid w:val="00213BDE"/>
    <w:rsid w:val="00213E07"/>
    <w:rsid w:val="00213E6F"/>
    <w:rsid w:val="0021461E"/>
    <w:rsid w:val="002156D2"/>
    <w:rsid w:val="00215795"/>
    <w:rsid w:val="00215D0E"/>
    <w:rsid w:val="00216628"/>
    <w:rsid w:val="00216DC9"/>
    <w:rsid w:val="00216DF9"/>
    <w:rsid w:val="00220C3B"/>
    <w:rsid w:val="0022183C"/>
    <w:rsid w:val="00221AE2"/>
    <w:rsid w:val="00221BE8"/>
    <w:rsid w:val="00221CB3"/>
    <w:rsid w:val="00221EB9"/>
    <w:rsid w:val="00222239"/>
    <w:rsid w:val="0022229C"/>
    <w:rsid w:val="00223274"/>
    <w:rsid w:val="0022348C"/>
    <w:rsid w:val="00223AAE"/>
    <w:rsid w:val="002243DE"/>
    <w:rsid w:val="002249AF"/>
    <w:rsid w:val="002253F6"/>
    <w:rsid w:val="00226274"/>
    <w:rsid w:val="002265B8"/>
    <w:rsid w:val="00226A2D"/>
    <w:rsid w:val="0022736B"/>
    <w:rsid w:val="00227DCA"/>
    <w:rsid w:val="0023059F"/>
    <w:rsid w:val="0023128F"/>
    <w:rsid w:val="00231C3B"/>
    <w:rsid w:val="00231D3B"/>
    <w:rsid w:val="0023266D"/>
    <w:rsid w:val="00232D79"/>
    <w:rsid w:val="00232E05"/>
    <w:rsid w:val="00232F76"/>
    <w:rsid w:val="00233325"/>
    <w:rsid w:val="00233C02"/>
    <w:rsid w:val="002343CC"/>
    <w:rsid w:val="0023467C"/>
    <w:rsid w:val="002347BF"/>
    <w:rsid w:val="002351C8"/>
    <w:rsid w:val="00235293"/>
    <w:rsid w:val="002357BF"/>
    <w:rsid w:val="00235F4C"/>
    <w:rsid w:val="0023654B"/>
    <w:rsid w:val="0023674A"/>
    <w:rsid w:val="00237229"/>
    <w:rsid w:val="00237B05"/>
    <w:rsid w:val="00237DD5"/>
    <w:rsid w:val="00237F6A"/>
    <w:rsid w:val="002400DA"/>
    <w:rsid w:val="0024046B"/>
    <w:rsid w:val="00240CCD"/>
    <w:rsid w:val="002413AA"/>
    <w:rsid w:val="0024150A"/>
    <w:rsid w:val="00241D71"/>
    <w:rsid w:val="00241DAD"/>
    <w:rsid w:val="0024354F"/>
    <w:rsid w:val="00245087"/>
    <w:rsid w:val="00245094"/>
    <w:rsid w:val="00245256"/>
    <w:rsid w:val="00246972"/>
    <w:rsid w:val="00246A46"/>
    <w:rsid w:val="00246D08"/>
    <w:rsid w:val="00246F24"/>
    <w:rsid w:val="0024788D"/>
    <w:rsid w:val="002479F6"/>
    <w:rsid w:val="00250B87"/>
    <w:rsid w:val="00250DC2"/>
    <w:rsid w:val="00250FBD"/>
    <w:rsid w:val="0025130A"/>
    <w:rsid w:val="00251ACF"/>
    <w:rsid w:val="00251D34"/>
    <w:rsid w:val="00251E4D"/>
    <w:rsid w:val="00253331"/>
    <w:rsid w:val="002549C9"/>
    <w:rsid w:val="00255CAE"/>
    <w:rsid w:val="002568B7"/>
    <w:rsid w:val="00256C4C"/>
    <w:rsid w:val="00257DE2"/>
    <w:rsid w:val="0026003C"/>
    <w:rsid w:val="002602A0"/>
    <w:rsid w:val="002617F3"/>
    <w:rsid w:val="00261838"/>
    <w:rsid w:val="002621BB"/>
    <w:rsid w:val="00263426"/>
    <w:rsid w:val="00263436"/>
    <w:rsid w:val="00263E3D"/>
    <w:rsid w:val="002643DA"/>
    <w:rsid w:val="002651AA"/>
    <w:rsid w:val="002651AB"/>
    <w:rsid w:val="00265370"/>
    <w:rsid w:val="00265417"/>
    <w:rsid w:val="00265532"/>
    <w:rsid w:val="00265E3F"/>
    <w:rsid w:val="0026681D"/>
    <w:rsid w:val="00266DD7"/>
    <w:rsid w:val="00266FC7"/>
    <w:rsid w:val="002674D5"/>
    <w:rsid w:val="0026752D"/>
    <w:rsid w:val="002675B1"/>
    <w:rsid w:val="002701AF"/>
    <w:rsid w:val="002702E4"/>
    <w:rsid w:val="002712B2"/>
    <w:rsid w:val="00271618"/>
    <w:rsid w:val="00271F79"/>
    <w:rsid w:val="002722F5"/>
    <w:rsid w:val="00272659"/>
    <w:rsid w:val="00273285"/>
    <w:rsid w:val="00273BC2"/>
    <w:rsid w:val="00273CCA"/>
    <w:rsid w:val="00273EEE"/>
    <w:rsid w:val="00274685"/>
    <w:rsid w:val="0027498C"/>
    <w:rsid w:val="0027542F"/>
    <w:rsid w:val="00276791"/>
    <w:rsid w:val="00276F45"/>
    <w:rsid w:val="0027704A"/>
    <w:rsid w:val="002773AE"/>
    <w:rsid w:val="00277A2A"/>
    <w:rsid w:val="0028024E"/>
    <w:rsid w:val="00280897"/>
    <w:rsid w:val="00281727"/>
    <w:rsid w:val="00281F37"/>
    <w:rsid w:val="002822F0"/>
    <w:rsid w:val="0028259C"/>
    <w:rsid w:val="00282718"/>
    <w:rsid w:val="00282A84"/>
    <w:rsid w:val="00282F98"/>
    <w:rsid w:val="002834E5"/>
    <w:rsid w:val="00283656"/>
    <w:rsid w:val="00283675"/>
    <w:rsid w:val="00283710"/>
    <w:rsid w:val="00283985"/>
    <w:rsid w:val="00283A3E"/>
    <w:rsid w:val="00283CAD"/>
    <w:rsid w:val="00283DEC"/>
    <w:rsid w:val="00284705"/>
    <w:rsid w:val="00284F9C"/>
    <w:rsid w:val="002851A3"/>
    <w:rsid w:val="00285703"/>
    <w:rsid w:val="00285D66"/>
    <w:rsid w:val="00286265"/>
    <w:rsid w:val="00286C12"/>
    <w:rsid w:val="00287879"/>
    <w:rsid w:val="00290004"/>
    <w:rsid w:val="00290023"/>
    <w:rsid w:val="00291952"/>
    <w:rsid w:val="0029242E"/>
    <w:rsid w:val="002925A0"/>
    <w:rsid w:val="002929B4"/>
    <w:rsid w:val="00292DCE"/>
    <w:rsid w:val="00293AA0"/>
    <w:rsid w:val="00293BB5"/>
    <w:rsid w:val="002947FA"/>
    <w:rsid w:val="002949B8"/>
    <w:rsid w:val="0029510C"/>
    <w:rsid w:val="002953D2"/>
    <w:rsid w:val="002956D7"/>
    <w:rsid w:val="00295E43"/>
    <w:rsid w:val="00295E48"/>
    <w:rsid w:val="0029628B"/>
    <w:rsid w:val="00296299"/>
    <w:rsid w:val="00296A42"/>
    <w:rsid w:val="00296B96"/>
    <w:rsid w:val="00296BEC"/>
    <w:rsid w:val="00296E48"/>
    <w:rsid w:val="00297AC0"/>
    <w:rsid w:val="00297B3A"/>
    <w:rsid w:val="00297BCB"/>
    <w:rsid w:val="00297DB6"/>
    <w:rsid w:val="002A00FE"/>
    <w:rsid w:val="002A03CA"/>
    <w:rsid w:val="002A0514"/>
    <w:rsid w:val="002A0826"/>
    <w:rsid w:val="002A0893"/>
    <w:rsid w:val="002A14BB"/>
    <w:rsid w:val="002A2075"/>
    <w:rsid w:val="002A3545"/>
    <w:rsid w:val="002A3837"/>
    <w:rsid w:val="002A3CF9"/>
    <w:rsid w:val="002A4F9C"/>
    <w:rsid w:val="002A63BD"/>
    <w:rsid w:val="002A66D9"/>
    <w:rsid w:val="002A6C72"/>
    <w:rsid w:val="002A787A"/>
    <w:rsid w:val="002B04A3"/>
    <w:rsid w:val="002B0A0A"/>
    <w:rsid w:val="002B0BA5"/>
    <w:rsid w:val="002B0E35"/>
    <w:rsid w:val="002B1B62"/>
    <w:rsid w:val="002B39C3"/>
    <w:rsid w:val="002B3F16"/>
    <w:rsid w:val="002B4061"/>
    <w:rsid w:val="002B41F2"/>
    <w:rsid w:val="002B4260"/>
    <w:rsid w:val="002B431B"/>
    <w:rsid w:val="002B4A18"/>
    <w:rsid w:val="002B4BD6"/>
    <w:rsid w:val="002B59F3"/>
    <w:rsid w:val="002B65F3"/>
    <w:rsid w:val="002B6B84"/>
    <w:rsid w:val="002B70D2"/>
    <w:rsid w:val="002C0465"/>
    <w:rsid w:val="002C095B"/>
    <w:rsid w:val="002C0E0D"/>
    <w:rsid w:val="002C1409"/>
    <w:rsid w:val="002C180A"/>
    <w:rsid w:val="002C180B"/>
    <w:rsid w:val="002C189C"/>
    <w:rsid w:val="002C223F"/>
    <w:rsid w:val="002C2F67"/>
    <w:rsid w:val="002C3123"/>
    <w:rsid w:val="002C3250"/>
    <w:rsid w:val="002C350D"/>
    <w:rsid w:val="002C3E7C"/>
    <w:rsid w:val="002C4498"/>
    <w:rsid w:val="002C4741"/>
    <w:rsid w:val="002C4E6C"/>
    <w:rsid w:val="002C5422"/>
    <w:rsid w:val="002C5754"/>
    <w:rsid w:val="002C696E"/>
    <w:rsid w:val="002C707A"/>
    <w:rsid w:val="002C766A"/>
    <w:rsid w:val="002C78EB"/>
    <w:rsid w:val="002C7E0F"/>
    <w:rsid w:val="002D0213"/>
    <w:rsid w:val="002D125C"/>
    <w:rsid w:val="002D169E"/>
    <w:rsid w:val="002D2B1B"/>
    <w:rsid w:val="002D2B45"/>
    <w:rsid w:val="002D2FD1"/>
    <w:rsid w:val="002D34F2"/>
    <w:rsid w:val="002D3518"/>
    <w:rsid w:val="002D35EE"/>
    <w:rsid w:val="002D3EBF"/>
    <w:rsid w:val="002D48FC"/>
    <w:rsid w:val="002D4E0B"/>
    <w:rsid w:val="002D4E63"/>
    <w:rsid w:val="002D56E7"/>
    <w:rsid w:val="002D5D8F"/>
    <w:rsid w:val="002D5F5B"/>
    <w:rsid w:val="002D6ADC"/>
    <w:rsid w:val="002D6CE3"/>
    <w:rsid w:val="002D6D7F"/>
    <w:rsid w:val="002D6EED"/>
    <w:rsid w:val="002D7558"/>
    <w:rsid w:val="002D757A"/>
    <w:rsid w:val="002E07BD"/>
    <w:rsid w:val="002E0EFC"/>
    <w:rsid w:val="002E150F"/>
    <w:rsid w:val="002E16F6"/>
    <w:rsid w:val="002E1C77"/>
    <w:rsid w:val="002E1CD0"/>
    <w:rsid w:val="002E2B09"/>
    <w:rsid w:val="002E2E06"/>
    <w:rsid w:val="002E365F"/>
    <w:rsid w:val="002E3E8E"/>
    <w:rsid w:val="002E4078"/>
    <w:rsid w:val="002E460C"/>
    <w:rsid w:val="002E47CC"/>
    <w:rsid w:val="002E5D8E"/>
    <w:rsid w:val="002E623D"/>
    <w:rsid w:val="002E63C3"/>
    <w:rsid w:val="002E686C"/>
    <w:rsid w:val="002E710B"/>
    <w:rsid w:val="002E7D6A"/>
    <w:rsid w:val="002F03B1"/>
    <w:rsid w:val="002F0FE7"/>
    <w:rsid w:val="002F1017"/>
    <w:rsid w:val="002F1286"/>
    <w:rsid w:val="002F144F"/>
    <w:rsid w:val="002F1522"/>
    <w:rsid w:val="002F1A7C"/>
    <w:rsid w:val="002F20C8"/>
    <w:rsid w:val="002F2204"/>
    <w:rsid w:val="002F25B0"/>
    <w:rsid w:val="002F2651"/>
    <w:rsid w:val="002F269C"/>
    <w:rsid w:val="002F26E2"/>
    <w:rsid w:val="002F2D9C"/>
    <w:rsid w:val="002F364D"/>
    <w:rsid w:val="002F4146"/>
    <w:rsid w:val="002F4276"/>
    <w:rsid w:val="002F4735"/>
    <w:rsid w:val="002F4858"/>
    <w:rsid w:val="002F553B"/>
    <w:rsid w:val="002F55C0"/>
    <w:rsid w:val="002F5887"/>
    <w:rsid w:val="002F6250"/>
    <w:rsid w:val="002F6581"/>
    <w:rsid w:val="002F675D"/>
    <w:rsid w:val="002F6CAA"/>
    <w:rsid w:val="002F7456"/>
    <w:rsid w:val="002F79B1"/>
    <w:rsid w:val="002F7CCD"/>
    <w:rsid w:val="00300E0D"/>
    <w:rsid w:val="00300E96"/>
    <w:rsid w:val="00301097"/>
    <w:rsid w:val="0030181D"/>
    <w:rsid w:val="00301C90"/>
    <w:rsid w:val="00302141"/>
    <w:rsid w:val="0030216C"/>
    <w:rsid w:val="003025D1"/>
    <w:rsid w:val="00304180"/>
    <w:rsid w:val="0030423A"/>
    <w:rsid w:val="003042BC"/>
    <w:rsid w:val="00304316"/>
    <w:rsid w:val="00305609"/>
    <w:rsid w:val="003060CC"/>
    <w:rsid w:val="003061D1"/>
    <w:rsid w:val="003077F4"/>
    <w:rsid w:val="00307C65"/>
    <w:rsid w:val="00310732"/>
    <w:rsid w:val="003111B2"/>
    <w:rsid w:val="003119D8"/>
    <w:rsid w:val="00312160"/>
    <w:rsid w:val="00312299"/>
    <w:rsid w:val="00312DD0"/>
    <w:rsid w:val="00312FCF"/>
    <w:rsid w:val="003132C2"/>
    <w:rsid w:val="003137BD"/>
    <w:rsid w:val="003138DA"/>
    <w:rsid w:val="00314147"/>
    <w:rsid w:val="003146C5"/>
    <w:rsid w:val="0031489E"/>
    <w:rsid w:val="00314949"/>
    <w:rsid w:val="003149C5"/>
    <w:rsid w:val="00314F77"/>
    <w:rsid w:val="003153BC"/>
    <w:rsid w:val="0031586C"/>
    <w:rsid w:val="003158D4"/>
    <w:rsid w:val="0031619F"/>
    <w:rsid w:val="0031679F"/>
    <w:rsid w:val="00317AED"/>
    <w:rsid w:val="00317BEF"/>
    <w:rsid w:val="00317DE9"/>
    <w:rsid w:val="00320592"/>
    <w:rsid w:val="00320C0F"/>
    <w:rsid w:val="00320C98"/>
    <w:rsid w:val="00320EE1"/>
    <w:rsid w:val="00320F2B"/>
    <w:rsid w:val="00320F9B"/>
    <w:rsid w:val="00321378"/>
    <w:rsid w:val="003214F1"/>
    <w:rsid w:val="003216BF"/>
    <w:rsid w:val="00321B43"/>
    <w:rsid w:val="00321F6B"/>
    <w:rsid w:val="00322208"/>
    <w:rsid w:val="0032260B"/>
    <w:rsid w:val="00322A92"/>
    <w:rsid w:val="00323871"/>
    <w:rsid w:val="00323995"/>
    <w:rsid w:val="0032470F"/>
    <w:rsid w:val="00325B6C"/>
    <w:rsid w:val="0032639A"/>
    <w:rsid w:val="0032729C"/>
    <w:rsid w:val="0032792E"/>
    <w:rsid w:val="00327F1F"/>
    <w:rsid w:val="003302C0"/>
    <w:rsid w:val="003303C4"/>
    <w:rsid w:val="00330948"/>
    <w:rsid w:val="00331BD8"/>
    <w:rsid w:val="00331DE1"/>
    <w:rsid w:val="00332451"/>
    <w:rsid w:val="00332904"/>
    <w:rsid w:val="00332F74"/>
    <w:rsid w:val="00332F75"/>
    <w:rsid w:val="0033339F"/>
    <w:rsid w:val="003341A4"/>
    <w:rsid w:val="00334DA8"/>
    <w:rsid w:val="00334F21"/>
    <w:rsid w:val="003352AF"/>
    <w:rsid w:val="00335732"/>
    <w:rsid w:val="00335D85"/>
    <w:rsid w:val="00335E69"/>
    <w:rsid w:val="00336468"/>
    <w:rsid w:val="003366BC"/>
    <w:rsid w:val="00337914"/>
    <w:rsid w:val="00337D53"/>
    <w:rsid w:val="00340181"/>
    <w:rsid w:val="00340613"/>
    <w:rsid w:val="00340E4C"/>
    <w:rsid w:val="00341126"/>
    <w:rsid w:val="00341166"/>
    <w:rsid w:val="003414D7"/>
    <w:rsid w:val="00342156"/>
    <w:rsid w:val="00342E55"/>
    <w:rsid w:val="00343273"/>
    <w:rsid w:val="0034360A"/>
    <w:rsid w:val="00343C00"/>
    <w:rsid w:val="00343D48"/>
    <w:rsid w:val="00344180"/>
    <w:rsid w:val="00344209"/>
    <w:rsid w:val="0034434F"/>
    <w:rsid w:val="00344382"/>
    <w:rsid w:val="003448BE"/>
    <w:rsid w:val="00344A09"/>
    <w:rsid w:val="00344B50"/>
    <w:rsid w:val="0034506B"/>
    <w:rsid w:val="0034535A"/>
    <w:rsid w:val="00345FB2"/>
    <w:rsid w:val="003461C0"/>
    <w:rsid w:val="00346207"/>
    <w:rsid w:val="0034678D"/>
    <w:rsid w:val="003469F1"/>
    <w:rsid w:val="00346C49"/>
    <w:rsid w:val="00347286"/>
    <w:rsid w:val="0034796D"/>
    <w:rsid w:val="00347BA3"/>
    <w:rsid w:val="00347EA2"/>
    <w:rsid w:val="003505FF"/>
    <w:rsid w:val="00350D11"/>
    <w:rsid w:val="00351338"/>
    <w:rsid w:val="00351455"/>
    <w:rsid w:val="00351618"/>
    <w:rsid w:val="00351CD9"/>
    <w:rsid w:val="00352112"/>
    <w:rsid w:val="0035280D"/>
    <w:rsid w:val="003533DB"/>
    <w:rsid w:val="00353B1F"/>
    <w:rsid w:val="00354946"/>
    <w:rsid w:val="003549DB"/>
    <w:rsid w:val="00354A09"/>
    <w:rsid w:val="00354BE2"/>
    <w:rsid w:val="00354D61"/>
    <w:rsid w:val="00354F9B"/>
    <w:rsid w:val="0035559F"/>
    <w:rsid w:val="00355A4E"/>
    <w:rsid w:val="00356084"/>
    <w:rsid w:val="00356FC3"/>
    <w:rsid w:val="0035722A"/>
    <w:rsid w:val="00360F40"/>
    <w:rsid w:val="00361C6C"/>
    <w:rsid w:val="00361EF9"/>
    <w:rsid w:val="0036283D"/>
    <w:rsid w:val="00362CF3"/>
    <w:rsid w:val="00362CF6"/>
    <w:rsid w:val="00363430"/>
    <w:rsid w:val="003634A5"/>
    <w:rsid w:val="00363578"/>
    <w:rsid w:val="0036365C"/>
    <w:rsid w:val="00363C6B"/>
    <w:rsid w:val="0036422E"/>
    <w:rsid w:val="00364747"/>
    <w:rsid w:val="003661E6"/>
    <w:rsid w:val="0036686F"/>
    <w:rsid w:val="003709DC"/>
    <w:rsid w:val="00370D43"/>
    <w:rsid w:val="003712E1"/>
    <w:rsid w:val="00371ED1"/>
    <w:rsid w:val="0037200B"/>
    <w:rsid w:val="00372D0B"/>
    <w:rsid w:val="0037303D"/>
    <w:rsid w:val="00373901"/>
    <w:rsid w:val="00373B98"/>
    <w:rsid w:val="00374585"/>
    <w:rsid w:val="00375806"/>
    <w:rsid w:val="00375B42"/>
    <w:rsid w:val="00375BD9"/>
    <w:rsid w:val="00376D05"/>
    <w:rsid w:val="00377605"/>
    <w:rsid w:val="003779CB"/>
    <w:rsid w:val="00377A22"/>
    <w:rsid w:val="00377F7D"/>
    <w:rsid w:val="003800B7"/>
    <w:rsid w:val="00380CAD"/>
    <w:rsid w:val="00380EAB"/>
    <w:rsid w:val="00381440"/>
    <w:rsid w:val="003814C6"/>
    <w:rsid w:val="003816F0"/>
    <w:rsid w:val="00381707"/>
    <w:rsid w:val="00381891"/>
    <w:rsid w:val="00381A8E"/>
    <w:rsid w:val="00381B98"/>
    <w:rsid w:val="00381FDB"/>
    <w:rsid w:val="0038203F"/>
    <w:rsid w:val="003826F0"/>
    <w:rsid w:val="0038290A"/>
    <w:rsid w:val="00382A3B"/>
    <w:rsid w:val="003830A7"/>
    <w:rsid w:val="00384442"/>
    <w:rsid w:val="003846C5"/>
    <w:rsid w:val="00384B79"/>
    <w:rsid w:val="003854DE"/>
    <w:rsid w:val="0038570E"/>
    <w:rsid w:val="0038572D"/>
    <w:rsid w:val="00385A03"/>
    <w:rsid w:val="00385B64"/>
    <w:rsid w:val="00386023"/>
    <w:rsid w:val="0038609C"/>
    <w:rsid w:val="003869EC"/>
    <w:rsid w:val="00386F6C"/>
    <w:rsid w:val="0038721B"/>
    <w:rsid w:val="003874D8"/>
    <w:rsid w:val="0038782B"/>
    <w:rsid w:val="00387EFB"/>
    <w:rsid w:val="00390368"/>
    <w:rsid w:val="003904BA"/>
    <w:rsid w:val="00390B44"/>
    <w:rsid w:val="00392967"/>
    <w:rsid w:val="003938A7"/>
    <w:rsid w:val="003942DF"/>
    <w:rsid w:val="00394403"/>
    <w:rsid w:val="00394511"/>
    <w:rsid w:val="00394522"/>
    <w:rsid w:val="0039508A"/>
    <w:rsid w:val="003950C2"/>
    <w:rsid w:val="00396916"/>
    <w:rsid w:val="00396965"/>
    <w:rsid w:val="00396B99"/>
    <w:rsid w:val="00397398"/>
    <w:rsid w:val="00397544"/>
    <w:rsid w:val="00397F1F"/>
    <w:rsid w:val="003A002A"/>
    <w:rsid w:val="003A010C"/>
    <w:rsid w:val="003A0353"/>
    <w:rsid w:val="003A039C"/>
    <w:rsid w:val="003A05A4"/>
    <w:rsid w:val="003A06F2"/>
    <w:rsid w:val="003A0F5B"/>
    <w:rsid w:val="003A1134"/>
    <w:rsid w:val="003A116E"/>
    <w:rsid w:val="003A14E0"/>
    <w:rsid w:val="003A1647"/>
    <w:rsid w:val="003A1E45"/>
    <w:rsid w:val="003A1E8D"/>
    <w:rsid w:val="003A224A"/>
    <w:rsid w:val="003A25B0"/>
    <w:rsid w:val="003A35E4"/>
    <w:rsid w:val="003A39C2"/>
    <w:rsid w:val="003A46D8"/>
    <w:rsid w:val="003A5920"/>
    <w:rsid w:val="003A59D2"/>
    <w:rsid w:val="003A600E"/>
    <w:rsid w:val="003A6196"/>
    <w:rsid w:val="003A6358"/>
    <w:rsid w:val="003A63A1"/>
    <w:rsid w:val="003A6706"/>
    <w:rsid w:val="003A6EB3"/>
    <w:rsid w:val="003A71CD"/>
    <w:rsid w:val="003A724A"/>
    <w:rsid w:val="003A73C4"/>
    <w:rsid w:val="003A7731"/>
    <w:rsid w:val="003B035D"/>
    <w:rsid w:val="003B0430"/>
    <w:rsid w:val="003B0C84"/>
    <w:rsid w:val="003B0FE9"/>
    <w:rsid w:val="003B15E6"/>
    <w:rsid w:val="003B1A74"/>
    <w:rsid w:val="003B1A97"/>
    <w:rsid w:val="003B22A3"/>
    <w:rsid w:val="003B2306"/>
    <w:rsid w:val="003B262E"/>
    <w:rsid w:val="003B290A"/>
    <w:rsid w:val="003B2A0D"/>
    <w:rsid w:val="003B2BB0"/>
    <w:rsid w:val="003B2FCD"/>
    <w:rsid w:val="003B3DF7"/>
    <w:rsid w:val="003B3F72"/>
    <w:rsid w:val="003B4177"/>
    <w:rsid w:val="003B4298"/>
    <w:rsid w:val="003B4443"/>
    <w:rsid w:val="003B4723"/>
    <w:rsid w:val="003B4AA3"/>
    <w:rsid w:val="003B512C"/>
    <w:rsid w:val="003B54D9"/>
    <w:rsid w:val="003B5E39"/>
    <w:rsid w:val="003B60EA"/>
    <w:rsid w:val="003B7361"/>
    <w:rsid w:val="003B74C2"/>
    <w:rsid w:val="003C0325"/>
    <w:rsid w:val="003C06C6"/>
    <w:rsid w:val="003C0F4A"/>
    <w:rsid w:val="003C1027"/>
    <w:rsid w:val="003C1A0B"/>
    <w:rsid w:val="003C1D25"/>
    <w:rsid w:val="003C1D59"/>
    <w:rsid w:val="003C1DA4"/>
    <w:rsid w:val="003C20D3"/>
    <w:rsid w:val="003C2274"/>
    <w:rsid w:val="003C2B05"/>
    <w:rsid w:val="003C36D0"/>
    <w:rsid w:val="003C3855"/>
    <w:rsid w:val="003C46D4"/>
    <w:rsid w:val="003C4FB2"/>
    <w:rsid w:val="003C54B7"/>
    <w:rsid w:val="003C5C24"/>
    <w:rsid w:val="003C5F3B"/>
    <w:rsid w:val="003D0246"/>
    <w:rsid w:val="003D0BFC"/>
    <w:rsid w:val="003D0FCF"/>
    <w:rsid w:val="003D162D"/>
    <w:rsid w:val="003D1926"/>
    <w:rsid w:val="003D1F00"/>
    <w:rsid w:val="003D27B5"/>
    <w:rsid w:val="003D2AF9"/>
    <w:rsid w:val="003D34BE"/>
    <w:rsid w:val="003D36A8"/>
    <w:rsid w:val="003D37C0"/>
    <w:rsid w:val="003D38D4"/>
    <w:rsid w:val="003D48E5"/>
    <w:rsid w:val="003D5974"/>
    <w:rsid w:val="003D5AE7"/>
    <w:rsid w:val="003D5CBA"/>
    <w:rsid w:val="003D5DCA"/>
    <w:rsid w:val="003D7916"/>
    <w:rsid w:val="003E0DED"/>
    <w:rsid w:val="003E108C"/>
    <w:rsid w:val="003E32C7"/>
    <w:rsid w:val="003E3779"/>
    <w:rsid w:val="003E3C46"/>
    <w:rsid w:val="003E4641"/>
    <w:rsid w:val="003E4897"/>
    <w:rsid w:val="003E52C8"/>
    <w:rsid w:val="003E5BC3"/>
    <w:rsid w:val="003E5E1C"/>
    <w:rsid w:val="003E655B"/>
    <w:rsid w:val="003E67D8"/>
    <w:rsid w:val="003E67F5"/>
    <w:rsid w:val="003E6D66"/>
    <w:rsid w:val="003E7A68"/>
    <w:rsid w:val="003E7CFE"/>
    <w:rsid w:val="003F028A"/>
    <w:rsid w:val="003F0539"/>
    <w:rsid w:val="003F0D93"/>
    <w:rsid w:val="003F0EA4"/>
    <w:rsid w:val="003F12EF"/>
    <w:rsid w:val="003F1A8C"/>
    <w:rsid w:val="003F1AA8"/>
    <w:rsid w:val="003F1EF7"/>
    <w:rsid w:val="003F20F5"/>
    <w:rsid w:val="003F232C"/>
    <w:rsid w:val="003F262A"/>
    <w:rsid w:val="003F268C"/>
    <w:rsid w:val="003F2729"/>
    <w:rsid w:val="003F2E5B"/>
    <w:rsid w:val="003F3108"/>
    <w:rsid w:val="003F31D3"/>
    <w:rsid w:val="003F3245"/>
    <w:rsid w:val="003F356E"/>
    <w:rsid w:val="003F3862"/>
    <w:rsid w:val="003F3CEF"/>
    <w:rsid w:val="003F543E"/>
    <w:rsid w:val="003F57AF"/>
    <w:rsid w:val="003F5F11"/>
    <w:rsid w:val="003F65CD"/>
    <w:rsid w:val="003F6BD9"/>
    <w:rsid w:val="003F7A13"/>
    <w:rsid w:val="003F7C65"/>
    <w:rsid w:val="003F7DCC"/>
    <w:rsid w:val="00400067"/>
    <w:rsid w:val="00400769"/>
    <w:rsid w:val="0040095A"/>
    <w:rsid w:val="004026B3"/>
    <w:rsid w:val="00402D39"/>
    <w:rsid w:val="0040359F"/>
    <w:rsid w:val="004037B6"/>
    <w:rsid w:val="00403EC7"/>
    <w:rsid w:val="004041CB"/>
    <w:rsid w:val="00404570"/>
    <w:rsid w:val="00404FF6"/>
    <w:rsid w:val="004052BC"/>
    <w:rsid w:val="00405AEF"/>
    <w:rsid w:val="0040617C"/>
    <w:rsid w:val="0040642F"/>
    <w:rsid w:val="004064EB"/>
    <w:rsid w:val="004066D0"/>
    <w:rsid w:val="00406AFC"/>
    <w:rsid w:val="00407515"/>
    <w:rsid w:val="0040757A"/>
    <w:rsid w:val="00407B26"/>
    <w:rsid w:val="00410C7C"/>
    <w:rsid w:val="00411206"/>
    <w:rsid w:val="0041138B"/>
    <w:rsid w:val="004119D4"/>
    <w:rsid w:val="00411C3B"/>
    <w:rsid w:val="004120BF"/>
    <w:rsid w:val="00412C2E"/>
    <w:rsid w:val="00413E67"/>
    <w:rsid w:val="0041412C"/>
    <w:rsid w:val="00415587"/>
    <w:rsid w:val="00415873"/>
    <w:rsid w:val="004158AA"/>
    <w:rsid w:val="004159EE"/>
    <w:rsid w:val="00415F59"/>
    <w:rsid w:val="0041656A"/>
    <w:rsid w:val="004169B0"/>
    <w:rsid w:val="00416D36"/>
    <w:rsid w:val="00417562"/>
    <w:rsid w:val="00417D61"/>
    <w:rsid w:val="00417E2A"/>
    <w:rsid w:val="00417F01"/>
    <w:rsid w:val="004200BA"/>
    <w:rsid w:val="0042012F"/>
    <w:rsid w:val="00420BB6"/>
    <w:rsid w:val="00420D37"/>
    <w:rsid w:val="00420E9F"/>
    <w:rsid w:val="0042197C"/>
    <w:rsid w:val="00421C53"/>
    <w:rsid w:val="00421DE2"/>
    <w:rsid w:val="0042238F"/>
    <w:rsid w:val="00422D10"/>
    <w:rsid w:val="00422E90"/>
    <w:rsid w:val="00423019"/>
    <w:rsid w:val="00423C72"/>
    <w:rsid w:val="00423DBB"/>
    <w:rsid w:val="00424ACB"/>
    <w:rsid w:val="00426B83"/>
    <w:rsid w:val="00426C51"/>
    <w:rsid w:val="004273EB"/>
    <w:rsid w:val="004273ED"/>
    <w:rsid w:val="00427585"/>
    <w:rsid w:val="00427902"/>
    <w:rsid w:val="004307ED"/>
    <w:rsid w:val="00430E82"/>
    <w:rsid w:val="0043116A"/>
    <w:rsid w:val="00431262"/>
    <w:rsid w:val="004314FA"/>
    <w:rsid w:val="00431F47"/>
    <w:rsid w:val="004324C9"/>
    <w:rsid w:val="004325DA"/>
    <w:rsid w:val="00432D32"/>
    <w:rsid w:val="00432F2B"/>
    <w:rsid w:val="00433BC5"/>
    <w:rsid w:val="00436AC1"/>
    <w:rsid w:val="00436ED5"/>
    <w:rsid w:val="00437CB2"/>
    <w:rsid w:val="00440326"/>
    <w:rsid w:val="00440392"/>
    <w:rsid w:val="00440853"/>
    <w:rsid w:val="004412FC"/>
    <w:rsid w:val="00442354"/>
    <w:rsid w:val="00442814"/>
    <w:rsid w:val="00442E91"/>
    <w:rsid w:val="0044308B"/>
    <w:rsid w:val="0044332A"/>
    <w:rsid w:val="004433CA"/>
    <w:rsid w:val="00443655"/>
    <w:rsid w:val="00443AE6"/>
    <w:rsid w:val="00443BEC"/>
    <w:rsid w:val="004441C9"/>
    <w:rsid w:val="0044435F"/>
    <w:rsid w:val="00444CF0"/>
    <w:rsid w:val="00445612"/>
    <w:rsid w:val="004459AA"/>
    <w:rsid w:val="00446395"/>
    <w:rsid w:val="00446E66"/>
    <w:rsid w:val="0045052E"/>
    <w:rsid w:val="004505BF"/>
    <w:rsid w:val="00450B95"/>
    <w:rsid w:val="00450C23"/>
    <w:rsid w:val="00450FE1"/>
    <w:rsid w:val="00451157"/>
    <w:rsid w:val="00451530"/>
    <w:rsid w:val="004525DD"/>
    <w:rsid w:val="0045286A"/>
    <w:rsid w:val="00452C5B"/>
    <w:rsid w:val="00452C80"/>
    <w:rsid w:val="00452EDF"/>
    <w:rsid w:val="00454062"/>
    <w:rsid w:val="0045419A"/>
    <w:rsid w:val="00454A74"/>
    <w:rsid w:val="00454F7F"/>
    <w:rsid w:val="00455CCF"/>
    <w:rsid w:val="00456487"/>
    <w:rsid w:val="0045678D"/>
    <w:rsid w:val="004567BB"/>
    <w:rsid w:val="00456BCD"/>
    <w:rsid w:val="00456F58"/>
    <w:rsid w:val="00457730"/>
    <w:rsid w:val="00457B78"/>
    <w:rsid w:val="00457CD5"/>
    <w:rsid w:val="00460EB0"/>
    <w:rsid w:val="00461662"/>
    <w:rsid w:val="0046175F"/>
    <w:rsid w:val="004618EC"/>
    <w:rsid w:val="00461B0C"/>
    <w:rsid w:val="00461F8A"/>
    <w:rsid w:val="0046228D"/>
    <w:rsid w:val="00462A58"/>
    <w:rsid w:val="00462DFF"/>
    <w:rsid w:val="004633A1"/>
    <w:rsid w:val="00463F53"/>
    <w:rsid w:val="004649F3"/>
    <w:rsid w:val="00465F23"/>
    <w:rsid w:val="00466D64"/>
    <w:rsid w:val="004670AE"/>
    <w:rsid w:val="00467C3B"/>
    <w:rsid w:val="00470084"/>
    <w:rsid w:val="004700C1"/>
    <w:rsid w:val="00470125"/>
    <w:rsid w:val="004705AA"/>
    <w:rsid w:val="004706CE"/>
    <w:rsid w:val="00470719"/>
    <w:rsid w:val="00470B5E"/>
    <w:rsid w:val="0047154E"/>
    <w:rsid w:val="00471FBE"/>
    <w:rsid w:val="0047201D"/>
    <w:rsid w:val="0047206F"/>
    <w:rsid w:val="004721BC"/>
    <w:rsid w:val="00472781"/>
    <w:rsid w:val="00472A7E"/>
    <w:rsid w:val="00472CD8"/>
    <w:rsid w:val="00473102"/>
    <w:rsid w:val="00473D80"/>
    <w:rsid w:val="00473EC1"/>
    <w:rsid w:val="00473F30"/>
    <w:rsid w:val="0047446B"/>
    <w:rsid w:val="0047480D"/>
    <w:rsid w:val="00474F83"/>
    <w:rsid w:val="004756B3"/>
    <w:rsid w:val="00475CF8"/>
    <w:rsid w:val="00475F95"/>
    <w:rsid w:val="00475FD0"/>
    <w:rsid w:val="00476512"/>
    <w:rsid w:val="004765DA"/>
    <w:rsid w:val="00477451"/>
    <w:rsid w:val="00480283"/>
    <w:rsid w:val="00480BE0"/>
    <w:rsid w:val="00480C18"/>
    <w:rsid w:val="00480E6B"/>
    <w:rsid w:val="00481094"/>
    <w:rsid w:val="004811E5"/>
    <w:rsid w:val="00481D4F"/>
    <w:rsid w:val="00481E51"/>
    <w:rsid w:val="00483AAC"/>
    <w:rsid w:val="00483AC1"/>
    <w:rsid w:val="00484778"/>
    <w:rsid w:val="004858D3"/>
    <w:rsid w:val="00485CB6"/>
    <w:rsid w:val="00485E31"/>
    <w:rsid w:val="00486088"/>
    <w:rsid w:val="004867B0"/>
    <w:rsid w:val="00486855"/>
    <w:rsid w:val="004868E0"/>
    <w:rsid w:val="0048742C"/>
    <w:rsid w:val="004900FA"/>
    <w:rsid w:val="00490A71"/>
    <w:rsid w:val="00490B06"/>
    <w:rsid w:val="00490CBE"/>
    <w:rsid w:val="00490D27"/>
    <w:rsid w:val="0049153B"/>
    <w:rsid w:val="004919D9"/>
    <w:rsid w:val="0049298D"/>
    <w:rsid w:val="004939FC"/>
    <w:rsid w:val="00494B9E"/>
    <w:rsid w:val="0049587F"/>
    <w:rsid w:val="00495919"/>
    <w:rsid w:val="004959D9"/>
    <w:rsid w:val="0049620D"/>
    <w:rsid w:val="004962D3"/>
    <w:rsid w:val="004962FE"/>
    <w:rsid w:val="00496921"/>
    <w:rsid w:val="00496CE0"/>
    <w:rsid w:val="00496F2A"/>
    <w:rsid w:val="00497347"/>
    <w:rsid w:val="00497BBD"/>
    <w:rsid w:val="004A058A"/>
    <w:rsid w:val="004A0D80"/>
    <w:rsid w:val="004A1CA8"/>
    <w:rsid w:val="004A2007"/>
    <w:rsid w:val="004A21D5"/>
    <w:rsid w:val="004A2323"/>
    <w:rsid w:val="004A2809"/>
    <w:rsid w:val="004A2C2A"/>
    <w:rsid w:val="004A2DC3"/>
    <w:rsid w:val="004A37C6"/>
    <w:rsid w:val="004A3AF7"/>
    <w:rsid w:val="004A44BD"/>
    <w:rsid w:val="004A44BF"/>
    <w:rsid w:val="004A460E"/>
    <w:rsid w:val="004A49B9"/>
    <w:rsid w:val="004A65A5"/>
    <w:rsid w:val="004A6B08"/>
    <w:rsid w:val="004A721B"/>
    <w:rsid w:val="004A763A"/>
    <w:rsid w:val="004A7A5A"/>
    <w:rsid w:val="004B0F61"/>
    <w:rsid w:val="004B153F"/>
    <w:rsid w:val="004B18E0"/>
    <w:rsid w:val="004B1AFF"/>
    <w:rsid w:val="004B1B48"/>
    <w:rsid w:val="004B22CF"/>
    <w:rsid w:val="004B26C2"/>
    <w:rsid w:val="004B33FC"/>
    <w:rsid w:val="004B35AE"/>
    <w:rsid w:val="004B39CE"/>
    <w:rsid w:val="004B47E5"/>
    <w:rsid w:val="004B6AAA"/>
    <w:rsid w:val="004B6E82"/>
    <w:rsid w:val="004B7AEC"/>
    <w:rsid w:val="004B8B80"/>
    <w:rsid w:val="004C011B"/>
    <w:rsid w:val="004C02DA"/>
    <w:rsid w:val="004C095F"/>
    <w:rsid w:val="004C09D1"/>
    <w:rsid w:val="004C09FA"/>
    <w:rsid w:val="004C0E7D"/>
    <w:rsid w:val="004C1010"/>
    <w:rsid w:val="004C107A"/>
    <w:rsid w:val="004C1582"/>
    <w:rsid w:val="004C1B01"/>
    <w:rsid w:val="004C1C7D"/>
    <w:rsid w:val="004C1E52"/>
    <w:rsid w:val="004C1F88"/>
    <w:rsid w:val="004C2DB0"/>
    <w:rsid w:val="004C3CA1"/>
    <w:rsid w:val="004C3EC9"/>
    <w:rsid w:val="004C5359"/>
    <w:rsid w:val="004C5582"/>
    <w:rsid w:val="004C5868"/>
    <w:rsid w:val="004C6204"/>
    <w:rsid w:val="004C6702"/>
    <w:rsid w:val="004C6D7A"/>
    <w:rsid w:val="004C7149"/>
    <w:rsid w:val="004C76E8"/>
    <w:rsid w:val="004C78AD"/>
    <w:rsid w:val="004D0025"/>
    <w:rsid w:val="004D0BE4"/>
    <w:rsid w:val="004D131A"/>
    <w:rsid w:val="004D199A"/>
    <w:rsid w:val="004D1C8B"/>
    <w:rsid w:val="004D291D"/>
    <w:rsid w:val="004D2A58"/>
    <w:rsid w:val="004D3F9C"/>
    <w:rsid w:val="004D44C6"/>
    <w:rsid w:val="004D4BA1"/>
    <w:rsid w:val="004D53FD"/>
    <w:rsid w:val="004D5AD3"/>
    <w:rsid w:val="004D5D40"/>
    <w:rsid w:val="004D62C8"/>
    <w:rsid w:val="004D68D9"/>
    <w:rsid w:val="004D6B53"/>
    <w:rsid w:val="004D6F83"/>
    <w:rsid w:val="004D7DAC"/>
    <w:rsid w:val="004E0DA8"/>
    <w:rsid w:val="004E0F19"/>
    <w:rsid w:val="004E1191"/>
    <w:rsid w:val="004E125D"/>
    <w:rsid w:val="004E28EC"/>
    <w:rsid w:val="004E3222"/>
    <w:rsid w:val="004E328F"/>
    <w:rsid w:val="004E374A"/>
    <w:rsid w:val="004E3E35"/>
    <w:rsid w:val="004E3EA8"/>
    <w:rsid w:val="004E40D2"/>
    <w:rsid w:val="004E5B0A"/>
    <w:rsid w:val="004E6AF7"/>
    <w:rsid w:val="004E7043"/>
    <w:rsid w:val="004E728D"/>
    <w:rsid w:val="004E73D6"/>
    <w:rsid w:val="004E7815"/>
    <w:rsid w:val="004F008A"/>
    <w:rsid w:val="004F00D4"/>
    <w:rsid w:val="004F011D"/>
    <w:rsid w:val="004F057C"/>
    <w:rsid w:val="004F05F6"/>
    <w:rsid w:val="004F0804"/>
    <w:rsid w:val="004F10A4"/>
    <w:rsid w:val="004F113F"/>
    <w:rsid w:val="004F127A"/>
    <w:rsid w:val="004F1C45"/>
    <w:rsid w:val="004F2193"/>
    <w:rsid w:val="004F31D1"/>
    <w:rsid w:val="004F3401"/>
    <w:rsid w:val="004F5083"/>
    <w:rsid w:val="004F5187"/>
    <w:rsid w:val="004F62CD"/>
    <w:rsid w:val="004F67DD"/>
    <w:rsid w:val="004F6838"/>
    <w:rsid w:val="004F6953"/>
    <w:rsid w:val="00500778"/>
    <w:rsid w:val="00500F03"/>
    <w:rsid w:val="00501269"/>
    <w:rsid w:val="00501586"/>
    <w:rsid w:val="0050185E"/>
    <w:rsid w:val="0050214D"/>
    <w:rsid w:val="0050279C"/>
    <w:rsid w:val="00502D0C"/>
    <w:rsid w:val="00503AC9"/>
    <w:rsid w:val="00503BE8"/>
    <w:rsid w:val="00503FE7"/>
    <w:rsid w:val="00503FF6"/>
    <w:rsid w:val="00504083"/>
    <w:rsid w:val="00504388"/>
    <w:rsid w:val="00504732"/>
    <w:rsid w:val="00504E80"/>
    <w:rsid w:val="00506AA3"/>
    <w:rsid w:val="00506CA7"/>
    <w:rsid w:val="00506E31"/>
    <w:rsid w:val="00507C8D"/>
    <w:rsid w:val="00507DA5"/>
    <w:rsid w:val="00511750"/>
    <w:rsid w:val="005119D2"/>
    <w:rsid w:val="00511E40"/>
    <w:rsid w:val="00512480"/>
    <w:rsid w:val="005124F4"/>
    <w:rsid w:val="00512F4C"/>
    <w:rsid w:val="00513481"/>
    <w:rsid w:val="005139F7"/>
    <w:rsid w:val="00513E5A"/>
    <w:rsid w:val="00514213"/>
    <w:rsid w:val="00514A92"/>
    <w:rsid w:val="00515114"/>
    <w:rsid w:val="005159C8"/>
    <w:rsid w:val="00515AB6"/>
    <w:rsid w:val="00515FE1"/>
    <w:rsid w:val="0051610B"/>
    <w:rsid w:val="00516149"/>
    <w:rsid w:val="005164C2"/>
    <w:rsid w:val="00516F48"/>
    <w:rsid w:val="005178DB"/>
    <w:rsid w:val="00517ABD"/>
    <w:rsid w:val="00520230"/>
    <w:rsid w:val="0052069B"/>
    <w:rsid w:val="00520B5C"/>
    <w:rsid w:val="00520C21"/>
    <w:rsid w:val="00520E0B"/>
    <w:rsid w:val="005214B7"/>
    <w:rsid w:val="005215F9"/>
    <w:rsid w:val="00521665"/>
    <w:rsid w:val="00521A5A"/>
    <w:rsid w:val="005227AB"/>
    <w:rsid w:val="00522B7F"/>
    <w:rsid w:val="00522C12"/>
    <w:rsid w:val="00522DB2"/>
    <w:rsid w:val="005234F5"/>
    <w:rsid w:val="00523DD5"/>
    <w:rsid w:val="00523E87"/>
    <w:rsid w:val="00523F59"/>
    <w:rsid w:val="00523FED"/>
    <w:rsid w:val="00524607"/>
    <w:rsid w:val="00524783"/>
    <w:rsid w:val="00524866"/>
    <w:rsid w:val="00524B45"/>
    <w:rsid w:val="00525AD2"/>
    <w:rsid w:val="00526584"/>
    <w:rsid w:val="005275CF"/>
    <w:rsid w:val="00527B4D"/>
    <w:rsid w:val="00527F6F"/>
    <w:rsid w:val="005302CD"/>
    <w:rsid w:val="005318D0"/>
    <w:rsid w:val="00532252"/>
    <w:rsid w:val="00532266"/>
    <w:rsid w:val="0053275E"/>
    <w:rsid w:val="005332AD"/>
    <w:rsid w:val="005348CA"/>
    <w:rsid w:val="00535328"/>
    <w:rsid w:val="00535557"/>
    <w:rsid w:val="0053576F"/>
    <w:rsid w:val="005359E6"/>
    <w:rsid w:val="00535EB6"/>
    <w:rsid w:val="005362D0"/>
    <w:rsid w:val="00536408"/>
    <w:rsid w:val="0053670C"/>
    <w:rsid w:val="00536A88"/>
    <w:rsid w:val="005371BF"/>
    <w:rsid w:val="00537210"/>
    <w:rsid w:val="005374CC"/>
    <w:rsid w:val="005377ED"/>
    <w:rsid w:val="00540F22"/>
    <w:rsid w:val="00540FE3"/>
    <w:rsid w:val="005417A1"/>
    <w:rsid w:val="00541F4F"/>
    <w:rsid w:val="0054243F"/>
    <w:rsid w:val="00543271"/>
    <w:rsid w:val="005433B4"/>
    <w:rsid w:val="005434AC"/>
    <w:rsid w:val="00543764"/>
    <w:rsid w:val="005440C0"/>
    <w:rsid w:val="005446C6"/>
    <w:rsid w:val="00544CCC"/>
    <w:rsid w:val="00544F53"/>
    <w:rsid w:val="0054556E"/>
    <w:rsid w:val="00546337"/>
    <w:rsid w:val="00546A99"/>
    <w:rsid w:val="005474F5"/>
    <w:rsid w:val="00547750"/>
    <w:rsid w:val="00547EDD"/>
    <w:rsid w:val="00550367"/>
    <w:rsid w:val="00551642"/>
    <w:rsid w:val="00551995"/>
    <w:rsid w:val="00551E1E"/>
    <w:rsid w:val="00552284"/>
    <w:rsid w:val="0055234B"/>
    <w:rsid w:val="005526ED"/>
    <w:rsid w:val="00552DFA"/>
    <w:rsid w:val="00552E26"/>
    <w:rsid w:val="00553337"/>
    <w:rsid w:val="00553E25"/>
    <w:rsid w:val="00553E6B"/>
    <w:rsid w:val="00553F69"/>
    <w:rsid w:val="00554C5C"/>
    <w:rsid w:val="00555013"/>
    <w:rsid w:val="00555511"/>
    <w:rsid w:val="0055561F"/>
    <w:rsid w:val="00555AD3"/>
    <w:rsid w:val="00555E2B"/>
    <w:rsid w:val="005561EF"/>
    <w:rsid w:val="00556790"/>
    <w:rsid w:val="00556E11"/>
    <w:rsid w:val="00557054"/>
    <w:rsid w:val="00557314"/>
    <w:rsid w:val="00557A53"/>
    <w:rsid w:val="00557B63"/>
    <w:rsid w:val="00557C90"/>
    <w:rsid w:val="0056048D"/>
    <w:rsid w:val="00561213"/>
    <w:rsid w:val="00562EFD"/>
    <w:rsid w:val="005634E2"/>
    <w:rsid w:val="00563876"/>
    <w:rsid w:val="00563E16"/>
    <w:rsid w:val="00563EB8"/>
    <w:rsid w:val="0056528E"/>
    <w:rsid w:val="005654C5"/>
    <w:rsid w:val="00565B40"/>
    <w:rsid w:val="005677B7"/>
    <w:rsid w:val="00567974"/>
    <w:rsid w:val="00567CA0"/>
    <w:rsid w:val="00567D8E"/>
    <w:rsid w:val="0056CCD3"/>
    <w:rsid w:val="005704BD"/>
    <w:rsid w:val="005705FD"/>
    <w:rsid w:val="00570DFE"/>
    <w:rsid w:val="00571182"/>
    <w:rsid w:val="005712E9"/>
    <w:rsid w:val="00571C73"/>
    <w:rsid w:val="0057218F"/>
    <w:rsid w:val="005725DC"/>
    <w:rsid w:val="005728C4"/>
    <w:rsid w:val="005737AF"/>
    <w:rsid w:val="005737C4"/>
    <w:rsid w:val="00573A55"/>
    <w:rsid w:val="00574C96"/>
    <w:rsid w:val="00575563"/>
    <w:rsid w:val="00576543"/>
    <w:rsid w:val="005774E0"/>
    <w:rsid w:val="005800EB"/>
    <w:rsid w:val="00580103"/>
    <w:rsid w:val="0058096F"/>
    <w:rsid w:val="00581765"/>
    <w:rsid w:val="00581F9B"/>
    <w:rsid w:val="0058271A"/>
    <w:rsid w:val="00582A6D"/>
    <w:rsid w:val="00582B4B"/>
    <w:rsid w:val="00583383"/>
    <w:rsid w:val="0058394F"/>
    <w:rsid w:val="00584A26"/>
    <w:rsid w:val="00584A76"/>
    <w:rsid w:val="00584F12"/>
    <w:rsid w:val="00586783"/>
    <w:rsid w:val="00586BDE"/>
    <w:rsid w:val="0058731E"/>
    <w:rsid w:val="00587A9C"/>
    <w:rsid w:val="0059059E"/>
    <w:rsid w:val="00590CAE"/>
    <w:rsid w:val="0059140D"/>
    <w:rsid w:val="005918FA"/>
    <w:rsid w:val="00591B4A"/>
    <w:rsid w:val="00591D2D"/>
    <w:rsid w:val="00591D68"/>
    <w:rsid w:val="00592B71"/>
    <w:rsid w:val="005949FD"/>
    <w:rsid w:val="00594E48"/>
    <w:rsid w:val="00595C2F"/>
    <w:rsid w:val="005977FE"/>
    <w:rsid w:val="005A05C8"/>
    <w:rsid w:val="005A0C46"/>
    <w:rsid w:val="005A2645"/>
    <w:rsid w:val="005A343F"/>
    <w:rsid w:val="005A4501"/>
    <w:rsid w:val="005A4D64"/>
    <w:rsid w:val="005A54D0"/>
    <w:rsid w:val="005A5EF6"/>
    <w:rsid w:val="005A6975"/>
    <w:rsid w:val="005A6A00"/>
    <w:rsid w:val="005A6A43"/>
    <w:rsid w:val="005A6BDF"/>
    <w:rsid w:val="005A6C12"/>
    <w:rsid w:val="005A6F42"/>
    <w:rsid w:val="005A7138"/>
    <w:rsid w:val="005A7662"/>
    <w:rsid w:val="005B0258"/>
    <w:rsid w:val="005B0765"/>
    <w:rsid w:val="005B1294"/>
    <w:rsid w:val="005B13E1"/>
    <w:rsid w:val="005B188C"/>
    <w:rsid w:val="005B22E4"/>
    <w:rsid w:val="005B3101"/>
    <w:rsid w:val="005B36CF"/>
    <w:rsid w:val="005B380D"/>
    <w:rsid w:val="005B4450"/>
    <w:rsid w:val="005B4799"/>
    <w:rsid w:val="005B4832"/>
    <w:rsid w:val="005B4958"/>
    <w:rsid w:val="005B5131"/>
    <w:rsid w:val="005B52BC"/>
    <w:rsid w:val="005B55CB"/>
    <w:rsid w:val="005B5BBB"/>
    <w:rsid w:val="005B5E72"/>
    <w:rsid w:val="005B63B2"/>
    <w:rsid w:val="005B6F9B"/>
    <w:rsid w:val="005C0E5C"/>
    <w:rsid w:val="005C1083"/>
    <w:rsid w:val="005C112C"/>
    <w:rsid w:val="005C1182"/>
    <w:rsid w:val="005C1DD4"/>
    <w:rsid w:val="005C20EE"/>
    <w:rsid w:val="005C21E5"/>
    <w:rsid w:val="005C249F"/>
    <w:rsid w:val="005C2671"/>
    <w:rsid w:val="005C2894"/>
    <w:rsid w:val="005C2DB5"/>
    <w:rsid w:val="005C31F9"/>
    <w:rsid w:val="005C391B"/>
    <w:rsid w:val="005C4596"/>
    <w:rsid w:val="005C4E53"/>
    <w:rsid w:val="005C57EC"/>
    <w:rsid w:val="005C5C80"/>
    <w:rsid w:val="005C6B06"/>
    <w:rsid w:val="005C6EC0"/>
    <w:rsid w:val="005C7472"/>
    <w:rsid w:val="005C74E6"/>
    <w:rsid w:val="005C78A0"/>
    <w:rsid w:val="005D06BC"/>
    <w:rsid w:val="005D0D03"/>
    <w:rsid w:val="005D0D4C"/>
    <w:rsid w:val="005D0E56"/>
    <w:rsid w:val="005D0FE3"/>
    <w:rsid w:val="005D1466"/>
    <w:rsid w:val="005D191A"/>
    <w:rsid w:val="005D2069"/>
    <w:rsid w:val="005D20B5"/>
    <w:rsid w:val="005D38BB"/>
    <w:rsid w:val="005D46AA"/>
    <w:rsid w:val="005D46D1"/>
    <w:rsid w:val="005D4B78"/>
    <w:rsid w:val="005D55D7"/>
    <w:rsid w:val="005D59A0"/>
    <w:rsid w:val="005D5C20"/>
    <w:rsid w:val="005D5DB2"/>
    <w:rsid w:val="005D6261"/>
    <w:rsid w:val="005D6639"/>
    <w:rsid w:val="005D776D"/>
    <w:rsid w:val="005D7786"/>
    <w:rsid w:val="005D7BF2"/>
    <w:rsid w:val="005E0114"/>
    <w:rsid w:val="005E0142"/>
    <w:rsid w:val="005E03E5"/>
    <w:rsid w:val="005E1197"/>
    <w:rsid w:val="005E1AC0"/>
    <w:rsid w:val="005E1F74"/>
    <w:rsid w:val="005E2057"/>
    <w:rsid w:val="005E28B9"/>
    <w:rsid w:val="005E2E60"/>
    <w:rsid w:val="005E348E"/>
    <w:rsid w:val="005E34E3"/>
    <w:rsid w:val="005E394A"/>
    <w:rsid w:val="005E3E5C"/>
    <w:rsid w:val="005E47E2"/>
    <w:rsid w:val="005E5377"/>
    <w:rsid w:val="005E553D"/>
    <w:rsid w:val="005E5C56"/>
    <w:rsid w:val="005E6568"/>
    <w:rsid w:val="005E6690"/>
    <w:rsid w:val="005E67AA"/>
    <w:rsid w:val="005E6ECC"/>
    <w:rsid w:val="005E715C"/>
    <w:rsid w:val="005F103F"/>
    <w:rsid w:val="005F16FD"/>
    <w:rsid w:val="005F24A7"/>
    <w:rsid w:val="005F2C4E"/>
    <w:rsid w:val="005F33C6"/>
    <w:rsid w:val="005F33CA"/>
    <w:rsid w:val="005F3878"/>
    <w:rsid w:val="005F4585"/>
    <w:rsid w:val="005F54E4"/>
    <w:rsid w:val="005F5D73"/>
    <w:rsid w:val="005F5FC8"/>
    <w:rsid w:val="005F6679"/>
    <w:rsid w:val="005F6889"/>
    <w:rsid w:val="005F6B75"/>
    <w:rsid w:val="005F6C40"/>
    <w:rsid w:val="005F6D33"/>
    <w:rsid w:val="005F6D99"/>
    <w:rsid w:val="005F6E8E"/>
    <w:rsid w:val="005F7149"/>
    <w:rsid w:val="005F7301"/>
    <w:rsid w:val="005F74D5"/>
    <w:rsid w:val="00600371"/>
    <w:rsid w:val="006004FC"/>
    <w:rsid w:val="00600A86"/>
    <w:rsid w:val="00600BFB"/>
    <w:rsid w:val="00600E0A"/>
    <w:rsid w:val="00600E39"/>
    <w:rsid w:val="00601A96"/>
    <w:rsid w:val="00601C77"/>
    <w:rsid w:val="0060311B"/>
    <w:rsid w:val="00603720"/>
    <w:rsid w:val="00603D05"/>
    <w:rsid w:val="00603D87"/>
    <w:rsid w:val="006043C6"/>
    <w:rsid w:val="006045DD"/>
    <w:rsid w:val="006046EB"/>
    <w:rsid w:val="00604C66"/>
    <w:rsid w:val="00605000"/>
    <w:rsid w:val="00605C73"/>
    <w:rsid w:val="00605E7A"/>
    <w:rsid w:val="006062CD"/>
    <w:rsid w:val="00607E41"/>
    <w:rsid w:val="00610682"/>
    <w:rsid w:val="00610C1F"/>
    <w:rsid w:val="00610F7A"/>
    <w:rsid w:val="006110E2"/>
    <w:rsid w:val="006116E4"/>
    <w:rsid w:val="00611FB3"/>
    <w:rsid w:val="0061252E"/>
    <w:rsid w:val="006127DC"/>
    <w:rsid w:val="00613DE3"/>
    <w:rsid w:val="00613F75"/>
    <w:rsid w:val="006146AC"/>
    <w:rsid w:val="00614E17"/>
    <w:rsid w:val="00615759"/>
    <w:rsid w:val="006159CD"/>
    <w:rsid w:val="00615BBD"/>
    <w:rsid w:val="00616391"/>
    <w:rsid w:val="006163AC"/>
    <w:rsid w:val="00616603"/>
    <w:rsid w:val="0061791A"/>
    <w:rsid w:val="006179B7"/>
    <w:rsid w:val="00617CBF"/>
    <w:rsid w:val="006206D2"/>
    <w:rsid w:val="006214CE"/>
    <w:rsid w:val="00621677"/>
    <w:rsid w:val="00621864"/>
    <w:rsid w:val="00621FB4"/>
    <w:rsid w:val="0062218D"/>
    <w:rsid w:val="00622914"/>
    <w:rsid w:val="00622B2F"/>
    <w:rsid w:val="00623258"/>
    <w:rsid w:val="006234E6"/>
    <w:rsid w:val="00623842"/>
    <w:rsid w:val="006239C6"/>
    <w:rsid w:val="0062418E"/>
    <w:rsid w:val="006248A6"/>
    <w:rsid w:val="00624A62"/>
    <w:rsid w:val="00624ACB"/>
    <w:rsid w:val="00624BE6"/>
    <w:rsid w:val="0062563E"/>
    <w:rsid w:val="00625C55"/>
    <w:rsid w:val="0062603A"/>
    <w:rsid w:val="006260FD"/>
    <w:rsid w:val="0062690C"/>
    <w:rsid w:val="00626AE4"/>
    <w:rsid w:val="006274AF"/>
    <w:rsid w:val="00627626"/>
    <w:rsid w:val="00627674"/>
    <w:rsid w:val="0062780C"/>
    <w:rsid w:val="00627827"/>
    <w:rsid w:val="00630323"/>
    <w:rsid w:val="00630508"/>
    <w:rsid w:val="00630512"/>
    <w:rsid w:val="0063062C"/>
    <w:rsid w:val="006315F0"/>
    <w:rsid w:val="00631E96"/>
    <w:rsid w:val="00631FBF"/>
    <w:rsid w:val="00632137"/>
    <w:rsid w:val="006323A4"/>
    <w:rsid w:val="00632741"/>
    <w:rsid w:val="00632CA7"/>
    <w:rsid w:val="00632F35"/>
    <w:rsid w:val="0063344C"/>
    <w:rsid w:val="006338CB"/>
    <w:rsid w:val="00633CB6"/>
    <w:rsid w:val="00633D86"/>
    <w:rsid w:val="00634CA5"/>
    <w:rsid w:val="00634CCB"/>
    <w:rsid w:val="00635504"/>
    <w:rsid w:val="006358CF"/>
    <w:rsid w:val="006361B5"/>
    <w:rsid w:val="00636997"/>
    <w:rsid w:val="00636B7A"/>
    <w:rsid w:val="0063702B"/>
    <w:rsid w:val="00637410"/>
    <w:rsid w:val="00640843"/>
    <w:rsid w:val="0064120D"/>
    <w:rsid w:val="00641269"/>
    <w:rsid w:val="0064136C"/>
    <w:rsid w:val="00641AE0"/>
    <w:rsid w:val="0064278F"/>
    <w:rsid w:val="00642CCB"/>
    <w:rsid w:val="00643546"/>
    <w:rsid w:val="00643678"/>
    <w:rsid w:val="00644021"/>
    <w:rsid w:val="00644998"/>
    <w:rsid w:val="006449DF"/>
    <w:rsid w:val="006450C3"/>
    <w:rsid w:val="00645949"/>
    <w:rsid w:val="00646109"/>
    <w:rsid w:val="006462BE"/>
    <w:rsid w:val="00646C80"/>
    <w:rsid w:val="00646E30"/>
    <w:rsid w:val="006473D2"/>
    <w:rsid w:val="0064745C"/>
    <w:rsid w:val="00650914"/>
    <w:rsid w:val="00650A57"/>
    <w:rsid w:val="00650F1E"/>
    <w:rsid w:val="00651F0E"/>
    <w:rsid w:val="006526D3"/>
    <w:rsid w:val="0065280E"/>
    <w:rsid w:val="00652ADD"/>
    <w:rsid w:val="006531D5"/>
    <w:rsid w:val="00653D1D"/>
    <w:rsid w:val="00653FF1"/>
    <w:rsid w:val="0065418B"/>
    <w:rsid w:val="00654852"/>
    <w:rsid w:val="00654D0F"/>
    <w:rsid w:val="00655345"/>
    <w:rsid w:val="006556F0"/>
    <w:rsid w:val="00655808"/>
    <w:rsid w:val="00656301"/>
    <w:rsid w:val="00656514"/>
    <w:rsid w:val="00656823"/>
    <w:rsid w:val="00656FB6"/>
    <w:rsid w:val="00657C90"/>
    <w:rsid w:val="00657C98"/>
    <w:rsid w:val="00657CB6"/>
    <w:rsid w:val="00660AC7"/>
    <w:rsid w:val="00660BEF"/>
    <w:rsid w:val="006615CF"/>
    <w:rsid w:val="0066170C"/>
    <w:rsid w:val="00661F5F"/>
    <w:rsid w:val="00662493"/>
    <w:rsid w:val="00662B23"/>
    <w:rsid w:val="0066336C"/>
    <w:rsid w:val="006634E6"/>
    <w:rsid w:val="0066435F"/>
    <w:rsid w:val="006643DA"/>
    <w:rsid w:val="006646DB"/>
    <w:rsid w:val="00664892"/>
    <w:rsid w:val="00665041"/>
    <w:rsid w:val="00665285"/>
    <w:rsid w:val="0066607A"/>
    <w:rsid w:val="006660A6"/>
    <w:rsid w:val="006663CA"/>
    <w:rsid w:val="0066674C"/>
    <w:rsid w:val="00666DDB"/>
    <w:rsid w:val="006674B2"/>
    <w:rsid w:val="00667745"/>
    <w:rsid w:val="00670ADD"/>
    <w:rsid w:val="00670C86"/>
    <w:rsid w:val="00670F56"/>
    <w:rsid w:val="006711F9"/>
    <w:rsid w:val="00672046"/>
    <w:rsid w:val="0067250C"/>
    <w:rsid w:val="0067363F"/>
    <w:rsid w:val="00673949"/>
    <w:rsid w:val="00673994"/>
    <w:rsid w:val="00673BB3"/>
    <w:rsid w:val="00673EFD"/>
    <w:rsid w:val="00674258"/>
    <w:rsid w:val="00675152"/>
    <w:rsid w:val="00675EC0"/>
    <w:rsid w:val="0067622C"/>
    <w:rsid w:val="00676AF2"/>
    <w:rsid w:val="00677168"/>
    <w:rsid w:val="00677708"/>
    <w:rsid w:val="00677BD0"/>
    <w:rsid w:val="00680327"/>
    <w:rsid w:val="006807BB"/>
    <w:rsid w:val="00680C5A"/>
    <w:rsid w:val="006810B5"/>
    <w:rsid w:val="00681203"/>
    <w:rsid w:val="00681E6D"/>
    <w:rsid w:val="00682D5E"/>
    <w:rsid w:val="00683712"/>
    <w:rsid w:val="00683AC4"/>
    <w:rsid w:val="00683B7A"/>
    <w:rsid w:val="00683DDD"/>
    <w:rsid w:val="00683E40"/>
    <w:rsid w:val="00683FF0"/>
    <w:rsid w:val="006840F1"/>
    <w:rsid w:val="006847BD"/>
    <w:rsid w:val="00684849"/>
    <w:rsid w:val="00684AB8"/>
    <w:rsid w:val="00684FD6"/>
    <w:rsid w:val="00685113"/>
    <w:rsid w:val="006852C3"/>
    <w:rsid w:val="006852F2"/>
    <w:rsid w:val="0068532F"/>
    <w:rsid w:val="00685603"/>
    <w:rsid w:val="00685612"/>
    <w:rsid w:val="00685654"/>
    <w:rsid w:val="00685AC0"/>
    <w:rsid w:val="00686655"/>
    <w:rsid w:val="006867AB"/>
    <w:rsid w:val="00686A63"/>
    <w:rsid w:val="00686E24"/>
    <w:rsid w:val="00687899"/>
    <w:rsid w:val="00687C05"/>
    <w:rsid w:val="00687F87"/>
    <w:rsid w:val="00690D35"/>
    <w:rsid w:val="00691738"/>
    <w:rsid w:val="0069234B"/>
    <w:rsid w:val="00692455"/>
    <w:rsid w:val="006929C5"/>
    <w:rsid w:val="006930A2"/>
    <w:rsid w:val="006930AC"/>
    <w:rsid w:val="0069378F"/>
    <w:rsid w:val="00694450"/>
    <w:rsid w:val="006947CB"/>
    <w:rsid w:val="00694E5F"/>
    <w:rsid w:val="00695440"/>
    <w:rsid w:val="00695A60"/>
    <w:rsid w:val="00695B55"/>
    <w:rsid w:val="00696186"/>
    <w:rsid w:val="00696C2E"/>
    <w:rsid w:val="00697E0F"/>
    <w:rsid w:val="00697F55"/>
    <w:rsid w:val="006A0B92"/>
    <w:rsid w:val="006A0DF4"/>
    <w:rsid w:val="006A19A6"/>
    <w:rsid w:val="006A1D0F"/>
    <w:rsid w:val="006A3432"/>
    <w:rsid w:val="006A4255"/>
    <w:rsid w:val="006A44F6"/>
    <w:rsid w:val="006A46F6"/>
    <w:rsid w:val="006A49CC"/>
    <w:rsid w:val="006A4CA0"/>
    <w:rsid w:val="006A6491"/>
    <w:rsid w:val="006A6D44"/>
    <w:rsid w:val="006A7204"/>
    <w:rsid w:val="006A7DF3"/>
    <w:rsid w:val="006A7E22"/>
    <w:rsid w:val="006B093E"/>
    <w:rsid w:val="006B138D"/>
    <w:rsid w:val="006B149A"/>
    <w:rsid w:val="006B14C7"/>
    <w:rsid w:val="006B1758"/>
    <w:rsid w:val="006B24DC"/>
    <w:rsid w:val="006B2963"/>
    <w:rsid w:val="006B2AE9"/>
    <w:rsid w:val="006B2CCC"/>
    <w:rsid w:val="006B3290"/>
    <w:rsid w:val="006B3790"/>
    <w:rsid w:val="006B3867"/>
    <w:rsid w:val="006B394B"/>
    <w:rsid w:val="006B3F24"/>
    <w:rsid w:val="006B4011"/>
    <w:rsid w:val="006B453F"/>
    <w:rsid w:val="006B4B9E"/>
    <w:rsid w:val="006B578A"/>
    <w:rsid w:val="006B57D3"/>
    <w:rsid w:val="006B68E8"/>
    <w:rsid w:val="006B6D8E"/>
    <w:rsid w:val="006B6F8F"/>
    <w:rsid w:val="006B7CE7"/>
    <w:rsid w:val="006C0177"/>
    <w:rsid w:val="006C0BBD"/>
    <w:rsid w:val="006C0D74"/>
    <w:rsid w:val="006C15FA"/>
    <w:rsid w:val="006C19C6"/>
    <w:rsid w:val="006C1A45"/>
    <w:rsid w:val="006C1F2F"/>
    <w:rsid w:val="006C2C90"/>
    <w:rsid w:val="006C3302"/>
    <w:rsid w:val="006C43DD"/>
    <w:rsid w:val="006C4BE8"/>
    <w:rsid w:val="006C5770"/>
    <w:rsid w:val="006C5A4A"/>
    <w:rsid w:val="006C66D5"/>
    <w:rsid w:val="006C6738"/>
    <w:rsid w:val="006C74A9"/>
    <w:rsid w:val="006C7E27"/>
    <w:rsid w:val="006C7F49"/>
    <w:rsid w:val="006D0666"/>
    <w:rsid w:val="006D0881"/>
    <w:rsid w:val="006D1182"/>
    <w:rsid w:val="006D131C"/>
    <w:rsid w:val="006D1A82"/>
    <w:rsid w:val="006D2817"/>
    <w:rsid w:val="006D2A55"/>
    <w:rsid w:val="006D4EBC"/>
    <w:rsid w:val="006D60D7"/>
    <w:rsid w:val="006D6370"/>
    <w:rsid w:val="006D6491"/>
    <w:rsid w:val="006D6BE1"/>
    <w:rsid w:val="006D7CB0"/>
    <w:rsid w:val="006D7F0E"/>
    <w:rsid w:val="006E02F0"/>
    <w:rsid w:val="006E1B9E"/>
    <w:rsid w:val="006E2163"/>
    <w:rsid w:val="006E3FBF"/>
    <w:rsid w:val="006E42C5"/>
    <w:rsid w:val="006E436F"/>
    <w:rsid w:val="006E4A27"/>
    <w:rsid w:val="006E540F"/>
    <w:rsid w:val="006E567E"/>
    <w:rsid w:val="006E61AA"/>
    <w:rsid w:val="006E649C"/>
    <w:rsid w:val="006E6B86"/>
    <w:rsid w:val="006E6F7F"/>
    <w:rsid w:val="006E76BA"/>
    <w:rsid w:val="006F02EA"/>
    <w:rsid w:val="006F0F5C"/>
    <w:rsid w:val="006F1D95"/>
    <w:rsid w:val="006F29B5"/>
    <w:rsid w:val="006F2E4C"/>
    <w:rsid w:val="006F2F70"/>
    <w:rsid w:val="006F324C"/>
    <w:rsid w:val="006F3363"/>
    <w:rsid w:val="006F35F9"/>
    <w:rsid w:val="006F3A6C"/>
    <w:rsid w:val="006F3FB9"/>
    <w:rsid w:val="006F4D28"/>
    <w:rsid w:val="006F55CA"/>
    <w:rsid w:val="006F688B"/>
    <w:rsid w:val="006F725B"/>
    <w:rsid w:val="006F7262"/>
    <w:rsid w:val="006F77BD"/>
    <w:rsid w:val="006F79EE"/>
    <w:rsid w:val="006F7A49"/>
    <w:rsid w:val="0070066C"/>
    <w:rsid w:val="007007FE"/>
    <w:rsid w:val="00700916"/>
    <w:rsid w:val="00701208"/>
    <w:rsid w:val="00701766"/>
    <w:rsid w:val="00701D34"/>
    <w:rsid w:val="007027EA"/>
    <w:rsid w:val="00702C54"/>
    <w:rsid w:val="0070376C"/>
    <w:rsid w:val="00703AB6"/>
    <w:rsid w:val="00703E7F"/>
    <w:rsid w:val="00703F33"/>
    <w:rsid w:val="00704218"/>
    <w:rsid w:val="0070474B"/>
    <w:rsid w:val="00704829"/>
    <w:rsid w:val="00704D95"/>
    <w:rsid w:val="00704EB7"/>
    <w:rsid w:val="00705C9B"/>
    <w:rsid w:val="00706B99"/>
    <w:rsid w:val="007071ED"/>
    <w:rsid w:val="007071FA"/>
    <w:rsid w:val="00707343"/>
    <w:rsid w:val="007075DE"/>
    <w:rsid w:val="00707854"/>
    <w:rsid w:val="00707B9A"/>
    <w:rsid w:val="00707FEE"/>
    <w:rsid w:val="007100D4"/>
    <w:rsid w:val="007108CB"/>
    <w:rsid w:val="00711512"/>
    <w:rsid w:val="0071168A"/>
    <w:rsid w:val="00712395"/>
    <w:rsid w:val="00712467"/>
    <w:rsid w:val="00712A01"/>
    <w:rsid w:val="007132F0"/>
    <w:rsid w:val="00713434"/>
    <w:rsid w:val="00713670"/>
    <w:rsid w:val="007142FA"/>
    <w:rsid w:val="00714FB1"/>
    <w:rsid w:val="00716819"/>
    <w:rsid w:val="00716896"/>
    <w:rsid w:val="00716A8C"/>
    <w:rsid w:val="00716B1A"/>
    <w:rsid w:val="00716C28"/>
    <w:rsid w:val="007179A3"/>
    <w:rsid w:val="00717A50"/>
    <w:rsid w:val="007201E5"/>
    <w:rsid w:val="007205C0"/>
    <w:rsid w:val="00721191"/>
    <w:rsid w:val="0072146A"/>
    <w:rsid w:val="0072171B"/>
    <w:rsid w:val="00721DE7"/>
    <w:rsid w:val="007221C8"/>
    <w:rsid w:val="00722273"/>
    <w:rsid w:val="007223F4"/>
    <w:rsid w:val="00722529"/>
    <w:rsid w:val="00722E44"/>
    <w:rsid w:val="007230CE"/>
    <w:rsid w:val="0072361D"/>
    <w:rsid w:val="007236BA"/>
    <w:rsid w:val="0072381F"/>
    <w:rsid w:val="00723842"/>
    <w:rsid w:val="00723B32"/>
    <w:rsid w:val="00723D45"/>
    <w:rsid w:val="00724AFA"/>
    <w:rsid w:val="00724D3E"/>
    <w:rsid w:val="00725559"/>
    <w:rsid w:val="00725CD0"/>
    <w:rsid w:val="00725D2B"/>
    <w:rsid w:val="007260BE"/>
    <w:rsid w:val="0072617C"/>
    <w:rsid w:val="007269A1"/>
    <w:rsid w:val="0072783D"/>
    <w:rsid w:val="00730719"/>
    <w:rsid w:val="00730F0F"/>
    <w:rsid w:val="00731E83"/>
    <w:rsid w:val="00732184"/>
    <w:rsid w:val="0073298F"/>
    <w:rsid w:val="00732AD1"/>
    <w:rsid w:val="00733052"/>
    <w:rsid w:val="00733303"/>
    <w:rsid w:val="00733354"/>
    <w:rsid w:val="00733CF5"/>
    <w:rsid w:val="00733EB3"/>
    <w:rsid w:val="007340DF"/>
    <w:rsid w:val="007343D9"/>
    <w:rsid w:val="007344A3"/>
    <w:rsid w:val="00734644"/>
    <w:rsid w:val="007347EE"/>
    <w:rsid w:val="00734EB7"/>
    <w:rsid w:val="00734F79"/>
    <w:rsid w:val="007359BF"/>
    <w:rsid w:val="0073606E"/>
    <w:rsid w:val="007366AC"/>
    <w:rsid w:val="00736BDE"/>
    <w:rsid w:val="00736DE5"/>
    <w:rsid w:val="00736E98"/>
    <w:rsid w:val="007401DB"/>
    <w:rsid w:val="007402F4"/>
    <w:rsid w:val="0074050D"/>
    <w:rsid w:val="00740530"/>
    <w:rsid w:val="007414E3"/>
    <w:rsid w:val="00741F45"/>
    <w:rsid w:val="00742DE8"/>
    <w:rsid w:val="00742F0A"/>
    <w:rsid w:val="00742F6A"/>
    <w:rsid w:val="007435E1"/>
    <w:rsid w:val="00743F83"/>
    <w:rsid w:val="0074450C"/>
    <w:rsid w:val="00744834"/>
    <w:rsid w:val="00744BB6"/>
    <w:rsid w:val="00745ACF"/>
    <w:rsid w:val="00746147"/>
    <w:rsid w:val="00746321"/>
    <w:rsid w:val="007465CA"/>
    <w:rsid w:val="0074711E"/>
    <w:rsid w:val="00747990"/>
    <w:rsid w:val="0075059D"/>
    <w:rsid w:val="00750C55"/>
    <w:rsid w:val="00751159"/>
    <w:rsid w:val="00751501"/>
    <w:rsid w:val="0075201E"/>
    <w:rsid w:val="00752879"/>
    <w:rsid w:val="00752BD0"/>
    <w:rsid w:val="00753037"/>
    <w:rsid w:val="0075352D"/>
    <w:rsid w:val="00754CA2"/>
    <w:rsid w:val="007558F6"/>
    <w:rsid w:val="00756191"/>
    <w:rsid w:val="007563EA"/>
    <w:rsid w:val="007568AB"/>
    <w:rsid w:val="00757400"/>
    <w:rsid w:val="00757607"/>
    <w:rsid w:val="0075787C"/>
    <w:rsid w:val="0075796A"/>
    <w:rsid w:val="00757FAD"/>
    <w:rsid w:val="0076112A"/>
    <w:rsid w:val="0076200D"/>
    <w:rsid w:val="007620CA"/>
    <w:rsid w:val="00762CAB"/>
    <w:rsid w:val="007637EA"/>
    <w:rsid w:val="007638A6"/>
    <w:rsid w:val="00763910"/>
    <w:rsid w:val="00764088"/>
    <w:rsid w:val="0076419F"/>
    <w:rsid w:val="007642A0"/>
    <w:rsid w:val="00764573"/>
    <w:rsid w:val="0076465E"/>
    <w:rsid w:val="0076567A"/>
    <w:rsid w:val="007658EF"/>
    <w:rsid w:val="00765B7E"/>
    <w:rsid w:val="00765C1C"/>
    <w:rsid w:val="00765EC5"/>
    <w:rsid w:val="00766EE6"/>
    <w:rsid w:val="00766F09"/>
    <w:rsid w:val="00767122"/>
    <w:rsid w:val="007672F9"/>
    <w:rsid w:val="007674B3"/>
    <w:rsid w:val="0076763D"/>
    <w:rsid w:val="00770131"/>
    <w:rsid w:val="007706E5"/>
    <w:rsid w:val="00770B31"/>
    <w:rsid w:val="00771203"/>
    <w:rsid w:val="007713E9"/>
    <w:rsid w:val="0077308A"/>
    <w:rsid w:val="00773B16"/>
    <w:rsid w:val="0077435E"/>
    <w:rsid w:val="0077490E"/>
    <w:rsid w:val="00774CBD"/>
    <w:rsid w:val="00775499"/>
    <w:rsid w:val="00775B91"/>
    <w:rsid w:val="007760E8"/>
    <w:rsid w:val="00776113"/>
    <w:rsid w:val="00776194"/>
    <w:rsid w:val="00776387"/>
    <w:rsid w:val="007764CF"/>
    <w:rsid w:val="00776748"/>
    <w:rsid w:val="00777900"/>
    <w:rsid w:val="007801ED"/>
    <w:rsid w:val="00780912"/>
    <w:rsid w:val="00780D09"/>
    <w:rsid w:val="00780E30"/>
    <w:rsid w:val="00781597"/>
    <w:rsid w:val="0078207D"/>
    <w:rsid w:val="00782C69"/>
    <w:rsid w:val="0078389B"/>
    <w:rsid w:val="00783EA7"/>
    <w:rsid w:val="00784150"/>
    <w:rsid w:val="007842B6"/>
    <w:rsid w:val="007852FD"/>
    <w:rsid w:val="0078556C"/>
    <w:rsid w:val="00785781"/>
    <w:rsid w:val="00785D9D"/>
    <w:rsid w:val="007901BD"/>
    <w:rsid w:val="00790220"/>
    <w:rsid w:val="007906EB"/>
    <w:rsid w:val="0079070D"/>
    <w:rsid w:val="00790D92"/>
    <w:rsid w:val="00791267"/>
    <w:rsid w:val="007917D9"/>
    <w:rsid w:val="00792092"/>
    <w:rsid w:val="00793A36"/>
    <w:rsid w:val="0079471A"/>
    <w:rsid w:val="00794CDC"/>
    <w:rsid w:val="00794EEF"/>
    <w:rsid w:val="00795094"/>
    <w:rsid w:val="00795520"/>
    <w:rsid w:val="00795F1B"/>
    <w:rsid w:val="00796419"/>
    <w:rsid w:val="00796A5E"/>
    <w:rsid w:val="00797531"/>
    <w:rsid w:val="0079789A"/>
    <w:rsid w:val="00797AED"/>
    <w:rsid w:val="00797C4D"/>
    <w:rsid w:val="007A10DB"/>
    <w:rsid w:val="007A130A"/>
    <w:rsid w:val="007A1A26"/>
    <w:rsid w:val="007A2455"/>
    <w:rsid w:val="007A358C"/>
    <w:rsid w:val="007A3851"/>
    <w:rsid w:val="007A3A0A"/>
    <w:rsid w:val="007A40AA"/>
    <w:rsid w:val="007A46BB"/>
    <w:rsid w:val="007A5331"/>
    <w:rsid w:val="007A57D3"/>
    <w:rsid w:val="007A5BA0"/>
    <w:rsid w:val="007A5D7E"/>
    <w:rsid w:val="007A63DE"/>
    <w:rsid w:val="007A640A"/>
    <w:rsid w:val="007A65BB"/>
    <w:rsid w:val="007A6F0B"/>
    <w:rsid w:val="007A72EE"/>
    <w:rsid w:val="007A7562"/>
    <w:rsid w:val="007A7776"/>
    <w:rsid w:val="007B037B"/>
    <w:rsid w:val="007B0B3E"/>
    <w:rsid w:val="007B17E5"/>
    <w:rsid w:val="007B1D0A"/>
    <w:rsid w:val="007B1D0D"/>
    <w:rsid w:val="007B2278"/>
    <w:rsid w:val="007B3008"/>
    <w:rsid w:val="007B3AB1"/>
    <w:rsid w:val="007B3BB3"/>
    <w:rsid w:val="007B5B40"/>
    <w:rsid w:val="007B5F76"/>
    <w:rsid w:val="007B632B"/>
    <w:rsid w:val="007B65EB"/>
    <w:rsid w:val="007B67C1"/>
    <w:rsid w:val="007B6CD0"/>
    <w:rsid w:val="007B7469"/>
    <w:rsid w:val="007B7930"/>
    <w:rsid w:val="007B7D9F"/>
    <w:rsid w:val="007C099D"/>
    <w:rsid w:val="007C1315"/>
    <w:rsid w:val="007C1734"/>
    <w:rsid w:val="007C2959"/>
    <w:rsid w:val="007C2C19"/>
    <w:rsid w:val="007C2E34"/>
    <w:rsid w:val="007C3428"/>
    <w:rsid w:val="007C3531"/>
    <w:rsid w:val="007C413F"/>
    <w:rsid w:val="007C439D"/>
    <w:rsid w:val="007C551F"/>
    <w:rsid w:val="007C578B"/>
    <w:rsid w:val="007C5DA6"/>
    <w:rsid w:val="007C63A5"/>
    <w:rsid w:val="007C6810"/>
    <w:rsid w:val="007C70BA"/>
    <w:rsid w:val="007C7DC3"/>
    <w:rsid w:val="007D0403"/>
    <w:rsid w:val="007D0ACC"/>
    <w:rsid w:val="007D11F3"/>
    <w:rsid w:val="007D174B"/>
    <w:rsid w:val="007D1767"/>
    <w:rsid w:val="007D227F"/>
    <w:rsid w:val="007D36D8"/>
    <w:rsid w:val="007D3B68"/>
    <w:rsid w:val="007D4037"/>
    <w:rsid w:val="007D41CC"/>
    <w:rsid w:val="007D4264"/>
    <w:rsid w:val="007D429E"/>
    <w:rsid w:val="007D4B19"/>
    <w:rsid w:val="007D4EBB"/>
    <w:rsid w:val="007D5483"/>
    <w:rsid w:val="007D5598"/>
    <w:rsid w:val="007D5755"/>
    <w:rsid w:val="007D57D3"/>
    <w:rsid w:val="007D57E2"/>
    <w:rsid w:val="007D59AA"/>
    <w:rsid w:val="007D6177"/>
    <w:rsid w:val="007D61DC"/>
    <w:rsid w:val="007D62B8"/>
    <w:rsid w:val="007D6BA3"/>
    <w:rsid w:val="007D6BC5"/>
    <w:rsid w:val="007D7396"/>
    <w:rsid w:val="007D7823"/>
    <w:rsid w:val="007D7C98"/>
    <w:rsid w:val="007E07A4"/>
    <w:rsid w:val="007E0904"/>
    <w:rsid w:val="007E0AB2"/>
    <w:rsid w:val="007E0F03"/>
    <w:rsid w:val="007E118D"/>
    <w:rsid w:val="007E16CD"/>
    <w:rsid w:val="007E1B0E"/>
    <w:rsid w:val="007E1FB0"/>
    <w:rsid w:val="007E266B"/>
    <w:rsid w:val="007E29EC"/>
    <w:rsid w:val="007E2BE8"/>
    <w:rsid w:val="007E2E59"/>
    <w:rsid w:val="007E338A"/>
    <w:rsid w:val="007E3B23"/>
    <w:rsid w:val="007E3E5C"/>
    <w:rsid w:val="007E413B"/>
    <w:rsid w:val="007E42DA"/>
    <w:rsid w:val="007E4D18"/>
    <w:rsid w:val="007E4D5D"/>
    <w:rsid w:val="007E5C1F"/>
    <w:rsid w:val="007E5FFB"/>
    <w:rsid w:val="007E6496"/>
    <w:rsid w:val="007E6CC7"/>
    <w:rsid w:val="007E7060"/>
    <w:rsid w:val="007E7822"/>
    <w:rsid w:val="007E78A2"/>
    <w:rsid w:val="007E7B53"/>
    <w:rsid w:val="007F069A"/>
    <w:rsid w:val="007F069B"/>
    <w:rsid w:val="007F13BE"/>
    <w:rsid w:val="007F1499"/>
    <w:rsid w:val="007F2071"/>
    <w:rsid w:val="007F2AFB"/>
    <w:rsid w:val="007F2CB8"/>
    <w:rsid w:val="007F2CBC"/>
    <w:rsid w:val="007F2F1E"/>
    <w:rsid w:val="007F3657"/>
    <w:rsid w:val="007F3EA8"/>
    <w:rsid w:val="007F3FD2"/>
    <w:rsid w:val="007F40EE"/>
    <w:rsid w:val="007F4912"/>
    <w:rsid w:val="007F4F7A"/>
    <w:rsid w:val="007F6709"/>
    <w:rsid w:val="007F72BC"/>
    <w:rsid w:val="007F73CC"/>
    <w:rsid w:val="007F75A2"/>
    <w:rsid w:val="007F7721"/>
    <w:rsid w:val="007F7EAA"/>
    <w:rsid w:val="008011E2"/>
    <w:rsid w:val="00801BA8"/>
    <w:rsid w:val="008026B0"/>
    <w:rsid w:val="00802D67"/>
    <w:rsid w:val="008038EE"/>
    <w:rsid w:val="00803FF6"/>
    <w:rsid w:val="00804633"/>
    <w:rsid w:val="008058E6"/>
    <w:rsid w:val="008063FD"/>
    <w:rsid w:val="00806538"/>
    <w:rsid w:val="00806969"/>
    <w:rsid w:val="00806DC7"/>
    <w:rsid w:val="00806E2A"/>
    <w:rsid w:val="008072B3"/>
    <w:rsid w:val="0080773F"/>
    <w:rsid w:val="00807C76"/>
    <w:rsid w:val="00807E63"/>
    <w:rsid w:val="00807F75"/>
    <w:rsid w:val="00810605"/>
    <w:rsid w:val="00810DEE"/>
    <w:rsid w:val="00811785"/>
    <w:rsid w:val="00811CA2"/>
    <w:rsid w:val="00812128"/>
    <w:rsid w:val="0081305C"/>
    <w:rsid w:val="00813A31"/>
    <w:rsid w:val="00813B19"/>
    <w:rsid w:val="00814013"/>
    <w:rsid w:val="008145A6"/>
    <w:rsid w:val="00814686"/>
    <w:rsid w:val="008149C9"/>
    <w:rsid w:val="00814ED0"/>
    <w:rsid w:val="00815B72"/>
    <w:rsid w:val="008166CD"/>
    <w:rsid w:val="008168F3"/>
    <w:rsid w:val="00816901"/>
    <w:rsid w:val="008173F6"/>
    <w:rsid w:val="00817A3E"/>
    <w:rsid w:val="00817D97"/>
    <w:rsid w:val="00817DBE"/>
    <w:rsid w:val="0082007A"/>
    <w:rsid w:val="008200AA"/>
    <w:rsid w:val="00820DF4"/>
    <w:rsid w:val="00821355"/>
    <w:rsid w:val="00822636"/>
    <w:rsid w:val="0082280C"/>
    <w:rsid w:val="00822B3F"/>
    <w:rsid w:val="00822EC5"/>
    <w:rsid w:val="008235B8"/>
    <w:rsid w:val="0082386A"/>
    <w:rsid w:val="00823F63"/>
    <w:rsid w:val="008242E8"/>
    <w:rsid w:val="008247E4"/>
    <w:rsid w:val="00825008"/>
    <w:rsid w:val="00825088"/>
    <w:rsid w:val="00825301"/>
    <w:rsid w:val="00825377"/>
    <w:rsid w:val="0082613F"/>
    <w:rsid w:val="00826191"/>
    <w:rsid w:val="00826E25"/>
    <w:rsid w:val="008270D9"/>
    <w:rsid w:val="00827D09"/>
    <w:rsid w:val="00827DBA"/>
    <w:rsid w:val="008300AC"/>
    <w:rsid w:val="00830102"/>
    <w:rsid w:val="00830256"/>
    <w:rsid w:val="00830625"/>
    <w:rsid w:val="0083073C"/>
    <w:rsid w:val="00831565"/>
    <w:rsid w:val="008318F8"/>
    <w:rsid w:val="00831E35"/>
    <w:rsid w:val="008322BB"/>
    <w:rsid w:val="00832FE5"/>
    <w:rsid w:val="00833200"/>
    <w:rsid w:val="00833721"/>
    <w:rsid w:val="008339DD"/>
    <w:rsid w:val="00833C3B"/>
    <w:rsid w:val="0083411E"/>
    <w:rsid w:val="00834CB2"/>
    <w:rsid w:val="00834D66"/>
    <w:rsid w:val="008351C9"/>
    <w:rsid w:val="00835856"/>
    <w:rsid w:val="008358F4"/>
    <w:rsid w:val="00835B9D"/>
    <w:rsid w:val="008365A5"/>
    <w:rsid w:val="00836DF7"/>
    <w:rsid w:val="0083756F"/>
    <w:rsid w:val="008379F9"/>
    <w:rsid w:val="00837A87"/>
    <w:rsid w:val="00837C93"/>
    <w:rsid w:val="008415CC"/>
    <w:rsid w:val="0084267A"/>
    <w:rsid w:val="008433B3"/>
    <w:rsid w:val="008435C3"/>
    <w:rsid w:val="0084456B"/>
    <w:rsid w:val="00844C6A"/>
    <w:rsid w:val="00844F23"/>
    <w:rsid w:val="008450B0"/>
    <w:rsid w:val="008450E6"/>
    <w:rsid w:val="008453E3"/>
    <w:rsid w:val="0084580D"/>
    <w:rsid w:val="008459DA"/>
    <w:rsid w:val="00845A25"/>
    <w:rsid w:val="00845B71"/>
    <w:rsid w:val="008461FE"/>
    <w:rsid w:val="0084643D"/>
    <w:rsid w:val="008465CB"/>
    <w:rsid w:val="00846E5B"/>
    <w:rsid w:val="00847008"/>
    <w:rsid w:val="00847089"/>
    <w:rsid w:val="00850575"/>
    <w:rsid w:val="00850FCA"/>
    <w:rsid w:val="00851169"/>
    <w:rsid w:val="008511AD"/>
    <w:rsid w:val="00851265"/>
    <w:rsid w:val="00851635"/>
    <w:rsid w:val="00851C2B"/>
    <w:rsid w:val="00852870"/>
    <w:rsid w:val="00853933"/>
    <w:rsid w:val="00853C3C"/>
    <w:rsid w:val="00853D52"/>
    <w:rsid w:val="00853F47"/>
    <w:rsid w:val="00854E47"/>
    <w:rsid w:val="00856047"/>
    <w:rsid w:val="008561EA"/>
    <w:rsid w:val="0085647F"/>
    <w:rsid w:val="00856498"/>
    <w:rsid w:val="00856965"/>
    <w:rsid w:val="00856E30"/>
    <w:rsid w:val="00856FB8"/>
    <w:rsid w:val="00857313"/>
    <w:rsid w:val="008576E9"/>
    <w:rsid w:val="00857727"/>
    <w:rsid w:val="00857E49"/>
    <w:rsid w:val="008600FB"/>
    <w:rsid w:val="008607DB"/>
    <w:rsid w:val="008609DA"/>
    <w:rsid w:val="00861CEB"/>
    <w:rsid w:val="008627E6"/>
    <w:rsid w:val="00863381"/>
    <w:rsid w:val="008636EF"/>
    <w:rsid w:val="00863726"/>
    <w:rsid w:val="00863DE7"/>
    <w:rsid w:val="00863F0C"/>
    <w:rsid w:val="008643F5"/>
    <w:rsid w:val="00864F89"/>
    <w:rsid w:val="008655A9"/>
    <w:rsid w:val="0086569C"/>
    <w:rsid w:val="00865AA3"/>
    <w:rsid w:val="00865CC7"/>
    <w:rsid w:val="00865CEA"/>
    <w:rsid w:val="00866771"/>
    <w:rsid w:val="00866E6D"/>
    <w:rsid w:val="00866F24"/>
    <w:rsid w:val="00866FAB"/>
    <w:rsid w:val="008679A1"/>
    <w:rsid w:val="00870FB5"/>
    <w:rsid w:val="0087126C"/>
    <w:rsid w:val="0087285B"/>
    <w:rsid w:val="00872D5A"/>
    <w:rsid w:val="00872F87"/>
    <w:rsid w:val="0087354C"/>
    <w:rsid w:val="008738EF"/>
    <w:rsid w:val="00873E93"/>
    <w:rsid w:val="00873F7D"/>
    <w:rsid w:val="00874592"/>
    <w:rsid w:val="0087525D"/>
    <w:rsid w:val="00875790"/>
    <w:rsid w:val="00875A3C"/>
    <w:rsid w:val="00876041"/>
    <w:rsid w:val="00876392"/>
    <w:rsid w:val="0087686D"/>
    <w:rsid w:val="008772B4"/>
    <w:rsid w:val="00877BCC"/>
    <w:rsid w:val="0088043B"/>
    <w:rsid w:val="0088059A"/>
    <w:rsid w:val="00880739"/>
    <w:rsid w:val="0088170B"/>
    <w:rsid w:val="00881723"/>
    <w:rsid w:val="00881A1B"/>
    <w:rsid w:val="00881A9F"/>
    <w:rsid w:val="008821CB"/>
    <w:rsid w:val="0088222E"/>
    <w:rsid w:val="00882C74"/>
    <w:rsid w:val="00882D1A"/>
    <w:rsid w:val="00883362"/>
    <w:rsid w:val="00883B28"/>
    <w:rsid w:val="00883C1D"/>
    <w:rsid w:val="00885056"/>
    <w:rsid w:val="0088513F"/>
    <w:rsid w:val="008857F7"/>
    <w:rsid w:val="00885AE6"/>
    <w:rsid w:val="00885B23"/>
    <w:rsid w:val="00885DC7"/>
    <w:rsid w:val="0088DAB8"/>
    <w:rsid w:val="00890A87"/>
    <w:rsid w:val="00890E48"/>
    <w:rsid w:val="00891A0A"/>
    <w:rsid w:val="00891A9B"/>
    <w:rsid w:val="0089275A"/>
    <w:rsid w:val="00892A1F"/>
    <w:rsid w:val="00893019"/>
    <w:rsid w:val="00893839"/>
    <w:rsid w:val="0089694B"/>
    <w:rsid w:val="0089720E"/>
    <w:rsid w:val="008974EC"/>
    <w:rsid w:val="00897A5C"/>
    <w:rsid w:val="00897D12"/>
    <w:rsid w:val="008A0473"/>
    <w:rsid w:val="008A139D"/>
    <w:rsid w:val="008A1D79"/>
    <w:rsid w:val="008A1FE7"/>
    <w:rsid w:val="008A2329"/>
    <w:rsid w:val="008A2A8B"/>
    <w:rsid w:val="008A36D0"/>
    <w:rsid w:val="008A43AE"/>
    <w:rsid w:val="008A4F28"/>
    <w:rsid w:val="008A55F0"/>
    <w:rsid w:val="008A5720"/>
    <w:rsid w:val="008A5A9A"/>
    <w:rsid w:val="008A5C87"/>
    <w:rsid w:val="008A5DF9"/>
    <w:rsid w:val="008A6F77"/>
    <w:rsid w:val="008A766E"/>
    <w:rsid w:val="008B01C3"/>
    <w:rsid w:val="008B0DCC"/>
    <w:rsid w:val="008B12E8"/>
    <w:rsid w:val="008B1305"/>
    <w:rsid w:val="008B14FC"/>
    <w:rsid w:val="008B1661"/>
    <w:rsid w:val="008B204C"/>
    <w:rsid w:val="008B2237"/>
    <w:rsid w:val="008B26C5"/>
    <w:rsid w:val="008B31D6"/>
    <w:rsid w:val="008B34A5"/>
    <w:rsid w:val="008B34BA"/>
    <w:rsid w:val="008B481E"/>
    <w:rsid w:val="008B4A46"/>
    <w:rsid w:val="008B514B"/>
    <w:rsid w:val="008B54E7"/>
    <w:rsid w:val="008B5C22"/>
    <w:rsid w:val="008B5D0C"/>
    <w:rsid w:val="008B5D5C"/>
    <w:rsid w:val="008B5DB8"/>
    <w:rsid w:val="008B6651"/>
    <w:rsid w:val="008B7216"/>
    <w:rsid w:val="008B73C8"/>
    <w:rsid w:val="008B779F"/>
    <w:rsid w:val="008B7AB3"/>
    <w:rsid w:val="008C07C1"/>
    <w:rsid w:val="008C07E0"/>
    <w:rsid w:val="008C0AC4"/>
    <w:rsid w:val="008C1885"/>
    <w:rsid w:val="008C1A09"/>
    <w:rsid w:val="008C25D1"/>
    <w:rsid w:val="008C3E57"/>
    <w:rsid w:val="008C416D"/>
    <w:rsid w:val="008C42B4"/>
    <w:rsid w:val="008C4473"/>
    <w:rsid w:val="008C4549"/>
    <w:rsid w:val="008C4650"/>
    <w:rsid w:val="008C4811"/>
    <w:rsid w:val="008C4919"/>
    <w:rsid w:val="008C5128"/>
    <w:rsid w:val="008C5380"/>
    <w:rsid w:val="008C5BAC"/>
    <w:rsid w:val="008C6009"/>
    <w:rsid w:val="008C61E0"/>
    <w:rsid w:val="008C6C4A"/>
    <w:rsid w:val="008C706E"/>
    <w:rsid w:val="008C747B"/>
    <w:rsid w:val="008C7920"/>
    <w:rsid w:val="008D05CC"/>
    <w:rsid w:val="008D0E38"/>
    <w:rsid w:val="008D10CD"/>
    <w:rsid w:val="008D1303"/>
    <w:rsid w:val="008D1682"/>
    <w:rsid w:val="008D17B4"/>
    <w:rsid w:val="008D19A5"/>
    <w:rsid w:val="008D1CC6"/>
    <w:rsid w:val="008D21C7"/>
    <w:rsid w:val="008D22E4"/>
    <w:rsid w:val="008D257E"/>
    <w:rsid w:val="008D27BD"/>
    <w:rsid w:val="008D2C7D"/>
    <w:rsid w:val="008D2DBB"/>
    <w:rsid w:val="008D338E"/>
    <w:rsid w:val="008D34C8"/>
    <w:rsid w:val="008D499B"/>
    <w:rsid w:val="008D4A61"/>
    <w:rsid w:val="008D520E"/>
    <w:rsid w:val="008D57FE"/>
    <w:rsid w:val="008D5D27"/>
    <w:rsid w:val="008D6001"/>
    <w:rsid w:val="008D6012"/>
    <w:rsid w:val="008D669D"/>
    <w:rsid w:val="008D6873"/>
    <w:rsid w:val="008D6B4D"/>
    <w:rsid w:val="008D7587"/>
    <w:rsid w:val="008E021F"/>
    <w:rsid w:val="008E0824"/>
    <w:rsid w:val="008E0A16"/>
    <w:rsid w:val="008E0A94"/>
    <w:rsid w:val="008E23AA"/>
    <w:rsid w:val="008E295E"/>
    <w:rsid w:val="008E38FF"/>
    <w:rsid w:val="008E436F"/>
    <w:rsid w:val="008E4CC1"/>
    <w:rsid w:val="008E4D5E"/>
    <w:rsid w:val="008E5219"/>
    <w:rsid w:val="008E57D0"/>
    <w:rsid w:val="008E5E76"/>
    <w:rsid w:val="008E5FA5"/>
    <w:rsid w:val="008E62CD"/>
    <w:rsid w:val="008E6619"/>
    <w:rsid w:val="008E673E"/>
    <w:rsid w:val="008E69A9"/>
    <w:rsid w:val="008E7111"/>
    <w:rsid w:val="008E71E9"/>
    <w:rsid w:val="008E745E"/>
    <w:rsid w:val="008E78D7"/>
    <w:rsid w:val="008F01D1"/>
    <w:rsid w:val="008F0248"/>
    <w:rsid w:val="008F1185"/>
    <w:rsid w:val="008F1648"/>
    <w:rsid w:val="008F16BA"/>
    <w:rsid w:val="008F1EF2"/>
    <w:rsid w:val="008F2114"/>
    <w:rsid w:val="008F23A1"/>
    <w:rsid w:val="008F3302"/>
    <w:rsid w:val="008F3E45"/>
    <w:rsid w:val="008F4292"/>
    <w:rsid w:val="008F45E4"/>
    <w:rsid w:val="008F4993"/>
    <w:rsid w:val="008F4B04"/>
    <w:rsid w:val="008F4EA9"/>
    <w:rsid w:val="008F54D5"/>
    <w:rsid w:val="008F5705"/>
    <w:rsid w:val="008F5AC5"/>
    <w:rsid w:val="008F76F9"/>
    <w:rsid w:val="008F7859"/>
    <w:rsid w:val="008F7A65"/>
    <w:rsid w:val="008F7E29"/>
    <w:rsid w:val="008F7FF6"/>
    <w:rsid w:val="009000D7"/>
    <w:rsid w:val="00900486"/>
    <w:rsid w:val="00900609"/>
    <w:rsid w:val="009006A6"/>
    <w:rsid w:val="009007B3"/>
    <w:rsid w:val="009009E0"/>
    <w:rsid w:val="00900D7B"/>
    <w:rsid w:val="009010A2"/>
    <w:rsid w:val="00901104"/>
    <w:rsid w:val="0090120C"/>
    <w:rsid w:val="00901212"/>
    <w:rsid w:val="00901296"/>
    <w:rsid w:val="00901B09"/>
    <w:rsid w:val="00901E3B"/>
    <w:rsid w:val="00901EC7"/>
    <w:rsid w:val="00901FAA"/>
    <w:rsid w:val="009023D1"/>
    <w:rsid w:val="00902CF3"/>
    <w:rsid w:val="00903272"/>
    <w:rsid w:val="009036AB"/>
    <w:rsid w:val="00903B3D"/>
    <w:rsid w:val="00903FFD"/>
    <w:rsid w:val="00904D7F"/>
    <w:rsid w:val="00905CDB"/>
    <w:rsid w:val="00905FE4"/>
    <w:rsid w:val="00906BE4"/>
    <w:rsid w:val="00910332"/>
    <w:rsid w:val="00910341"/>
    <w:rsid w:val="0091053B"/>
    <w:rsid w:val="009110C9"/>
    <w:rsid w:val="009112E1"/>
    <w:rsid w:val="00911422"/>
    <w:rsid w:val="009119AA"/>
    <w:rsid w:val="00911E3A"/>
    <w:rsid w:val="00911F63"/>
    <w:rsid w:val="009121D5"/>
    <w:rsid w:val="00913472"/>
    <w:rsid w:val="00913AA8"/>
    <w:rsid w:val="00913F6D"/>
    <w:rsid w:val="009141EA"/>
    <w:rsid w:val="009156EE"/>
    <w:rsid w:val="00915C8B"/>
    <w:rsid w:val="009161C8"/>
    <w:rsid w:val="00916295"/>
    <w:rsid w:val="0091672A"/>
    <w:rsid w:val="0091711E"/>
    <w:rsid w:val="00917751"/>
    <w:rsid w:val="00917B01"/>
    <w:rsid w:val="0092084B"/>
    <w:rsid w:val="00920AAB"/>
    <w:rsid w:val="00920B35"/>
    <w:rsid w:val="009217FA"/>
    <w:rsid w:val="00921A35"/>
    <w:rsid w:val="00921BE2"/>
    <w:rsid w:val="00921CD0"/>
    <w:rsid w:val="00921E1D"/>
    <w:rsid w:val="00922DB7"/>
    <w:rsid w:val="0092349B"/>
    <w:rsid w:val="00923717"/>
    <w:rsid w:val="00923DCB"/>
    <w:rsid w:val="00924582"/>
    <w:rsid w:val="00924593"/>
    <w:rsid w:val="00925016"/>
    <w:rsid w:val="00925166"/>
    <w:rsid w:val="009252E8"/>
    <w:rsid w:val="00925868"/>
    <w:rsid w:val="009258B3"/>
    <w:rsid w:val="00925EFA"/>
    <w:rsid w:val="009261E3"/>
    <w:rsid w:val="00926E5D"/>
    <w:rsid w:val="00927AB7"/>
    <w:rsid w:val="009304ED"/>
    <w:rsid w:val="00930571"/>
    <w:rsid w:val="009310D0"/>
    <w:rsid w:val="009312CD"/>
    <w:rsid w:val="00931ACB"/>
    <w:rsid w:val="0093229B"/>
    <w:rsid w:val="00932A00"/>
    <w:rsid w:val="00932D20"/>
    <w:rsid w:val="00933044"/>
    <w:rsid w:val="00933477"/>
    <w:rsid w:val="00933624"/>
    <w:rsid w:val="00933CD1"/>
    <w:rsid w:val="00933D2B"/>
    <w:rsid w:val="009347A3"/>
    <w:rsid w:val="0093492E"/>
    <w:rsid w:val="00934990"/>
    <w:rsid w:val="00934E5B"/>
    <w:rsid w:val="00935ECB"/>
    <w:rsid w:val="00936C6B"/>
    <w:rsid w:val="00937DF3"/>
    <w:rsid w:val="009400EF"/>
    <w:rsid w:val="0094030C"/>
    <w:rsid w:val="00940527"/>
    <w:rsid w:val="00940BE7"/>
    <w:rsid w:val="00940DC9"/>
    <w:rsid w:val="0094268A"/>
    <w:rsid w:val="00942AE2"/>
    <w:rsid w:val="00942D42"/>
    <w:rsid w:val="00944061"/>
    <w:rsid w:val="00944350"/>
    <w:rsid w:val="0094454B"/>
    <w:rsid w:val="009446D5"/>
    <w:rsid w:val="009448C6"/>
    <w:rsid w:val="00945E80"/>
    <w:rsid w:val="00945ED8"/>
    <w:rsid w:val="00945EDE"/>
    <w:rsid w:val="00947CAA"/>
    <w:rsid w:val="00950203"/>
    <w:rsid w:val="00950823"/>
    <w:rsid w:val="0095105A"/>
    <w:rsid w:val="009520E4"/>
    <w:rsid w:val="0095264F"/>
    <w:rsid w:val="00952DFB"/>
    <w:rsid w:val="00953194"/>
    <w:rsid w:val="00953238"/>
    <w:rsid w:val="00953E57"/>
    <w:rsid w:val="009548D0"/>
    <w:rsid w:val="009550BE"/>
    <w:rsid w:val="00955557"/>
    <w:rsid w:val="009555A3"/>
    <w:rsid w:val="009559B7"/>
    <w:rsid w:val="00955B4B"/>
    <w:rsid w:val="00955D46"/>
    <w:rsid w:val="00955F21"/>
    <w:rsid w:val="009565EA"/>
    <w:rsid w:val="00956E1E"/>
    <w:rsid w:val="00956EEB"/>
    <w:rsid w:val="00957F99"/>
    <w:rsid w:val="00960861"/>
    <w:rsid w:val="0096154F"/>
    <w:rsid w:val="00961679"/>
    <w:rsid w:val="00961E58"/>
    <w:rsid w:val="00962321"/>
    <w:rsid w:val="0096327E"/>
    <w:rsid w:val="00963891"/>
    <w:rsid w:val="00963AD1"/>
    <w:rsid w:val="009640B9"/>
    <w:rsid w:val="00964F15"/>
    <w:rsid w:val="00964F22"/>
    <w:rsid w:val="009654E8"/>
    <w:rsid w:val="00966A21"/>
    <w:rsid w:val="00967F05"/>
    <w:rsid w:val="009710E2"/>
    <w:rsid w:val="00971D00"/>
    <w:rsid w:val="009724E7"/>
    <w:rsid w:val="00972507"/>
    <w:rsid w:val="00972A3F"/>
    <w:rsid w:val="00973214"/>
    <w:rsid w:val="009732D0"/>
    <w:rsid w:val="009739F2"/>
    <w:rsid w:val="00974AED"/>
    <w:rsid w:val="00975650"/>
    <w:rsid w:val="00975857"/>
    <w:rsid w:val="00975DD5"/>
    <w:rsid w:val="0097609A"/>
    <w:rsid w:val="0097634B"/>
    <w:rsid w:val="0097669A"/>
    <w:rsid w:val="009772D8"/>
    <w:rsid w:val="0097730B"/>
    <w:rsid w:val="00977915"/>
    <w:rsid w:val="00977F53"/>
    <w:rsid w:val="009801D0"/>
    <w:rsid w:val="009803FD"/>
    <w:rsid w:val="00980400"/>
    <w:rsid w:val="009805FB"/>
    <w:rsid w:val="0098080F"/>
    <w:rsid w:val="00980910"/>
    <w:rsid w:val="0098114F"/>
    <w:rsid w:val="00981480"/>
    <w:rsid w:val="00981795"/>
    <w:rsid w:val="00981FAF"/>
    <w:rsid w:val="00982ACD"/>
    <w:rsid w:val="00982CFE"/>
    <w:rsid w:val="00982E81"/>
    <w:rsid w:val="00983610"/>
    <w:rsid w:val="00983750"/>
    <w:rsid w:val="0098666A"/>
    <w:rsid w:val="009873CF"/>
    <w:rsid w:val="00987465"/>
    <w:rsid w:val="00990035"/>
    <w:rsid w:val="00990750"/>
    <w:rsid w:val="009907D2"/>
    <w:rsid w:val="00990AAE"/>
    <w:rsid w:val="00990BFE"/>
    <w:rsid w:val="009915C6"/>
    <w:rsid w:val="00991E81"/>
    <w:rsid w:val="00992082"/>
    <w:rsid w:val="0099250D"/>
    <w:rsid w:val="00992858"/>
    <w:rsid w:val="009935E9"/>
    <w:rsid w:val="0099365B"/>
    <w:rsid w:val="00993B41"/>
    <w:rsid w:val="00993D45"/>
    <w:rsid w:val="00993E64"/>
    <w:rsid w:val="009943F9"/>
    <w:rsid w:val="009949BB"/>
    <w:rsid w:val="00995015"/>
    <w:rsid w:val="0099525E"/>
    <w:rsid w:val="0099596A"/>
    <w:rsid w:val="00995C72"/>
    <w:rsid w:val="00996229"/>
    <w:rsid w:val="00996B4E"/>
    <w:rsid w:val="009972CB"/>
    <w:rsid w:val="009975A5"/>
    <w:rsid w:val="009A012D"/>
    <w:rsid w:val="009A05E3"/>
    <w:rsid w:val="009A157B"/>
    <w:rsid w:val="009A1947"/>
    <w:rsid w:val="009A19EC"/>
    <w:rsid w:val="009A1E6D"/>
    <w:rsid w:val="009A2BED"/>
    <w:rsid w:val="009A2C0B"/>
    <w:rsid w:val="009A37B2"/>
    <w:rsid w:val="009A429D"/>
    <w:rsid w:val="009A5B50"/>
    <w:rsid w:val="009A694F"/>
    <w:rsid w:val="009A6CCD"/>
    <w:rsid w:val="009A6DF7"/>
    <w:rsid w:val="009A721F"/>
    <w:rsid w:val="009A7C85"/>
    <w:rsid w:val="009B008D"/>
    <w:rsid w:val="009B0379"/>
    <w:rsid w:val="009B0C81"/>
    <w:rsid w:val="009B12BA"/>
    <w:rsid w:val="009B1C16"/>
    <w:rsid w:val="009B1C1B"/>
    <w:rsid w:val="009B2B98"/>
    <w:rsid w:val="009B2D2F"/>
    <w:rsid w:val="009B3BFE"/>
    <w:rsid w:val="009B3F64"/>
    <w:rsid w:val="009B4254"/>
    <w:rsid w:val="009B5B9C"/>
    <w:rsid w:val="009B5BE2"/>
    <w:rsid w:val="009B60CB"/>
    <w:rsid w:val="009B72BB"/>
    <w:rsid w:val="009B72C5"/>
    <w:rsid w:val="009B7651"/>
    <w:rsid w:val="009B7BE7"/>
    <w:rsid w:val="009C03D2"/>
    <w:rsid w:val="009C0A86"/>
    <w:rsid w:val="009C0DFE"/>
    <w:rsid w:val="009C16E8"/>
    <w:rsid w:val="009C1C23"/>
    <w:rsid w:val="009C264F"/>
    <w:rsid w:val="009C299E"/>
    <w:rsid w:val="009C2BA6"/>
    <w:rsid w:val="009C3615"/>
    <w:rsid w:val="009C3E08"/>
    <w:rsid w:val="009C3EE7"/>
    <w:rsid w:val="009C4BFF"/>
    <w:rsid w:val="009C4D7B"/>
    <w:rsid w:val="009C53EF"/>
    <w:rsid w:val="009C550B"/>
    <w:rsid w:val="009C56CC"/>
    <w:rsid w:val="009C657C"/>
    <w:rsid w:val="009C6600"/>
    <w:rsid w:val="009C6B2D"/>
    <w:rsid w:val="009C6CF7"/>
    <w:rsid w:val="009C70CF"/>
    <w:rsid w:val="009C7BFB"/>
    <w:rsid w:val="009C7E0C"/>
    <w:rsid w:val="009D05C6"/>
    <w:rsid w:val="009D0BC6"/>
    <w:rsid w:val="009D0D20"/>
    <w:rsid w:val="009D0EF5"/>
    <w:rsid w:val="009D1B43"/>
    <w:rsid w:val="009D1FE0"/>
    <w:rsid w:val="009D2D22"/>
    <w:rsid w:val="009D32BD"/>
    <w:rsid w:val="009D36DF"/>
    <w:rsid w:val="009D4581"/>
    <w:rsid w:val="009D4645"/>
    <w:rsid w:val="009D5536"/>
    <w:rsid w:val="009D557B"/>
    <w:rsid w:val="009D633E"/>
    <w:rsid w:val="009D6680"/>
    <w:rsid w:val="009D74A0"/>
    <w:rsid w:val="009D797E"/>
    <w:rsid w:val="009D7BA2"/>
    <w:rsid w:val="009E01E9"/>
    <w:rsid w:val="009E023E"/>
    <w:rsid w:val="009E05C5"/>
    <w:rsid w:val="009E0748"/>
    <w:rsid w:val="009E075A"/>
    <w:rsid w:val="009E10F5"/>
    <w:rsid w:val="009E143B"/>
    <w:rsid w:val="009E156A"/>
    <w:rsid w:val="009E15CF"/>
    <w:rsid w:val="009E15D5"/>
    <w:rsid w:val="009E1D38"/>
    <w:rsid w:val="009E230B"/>
    <w:rsid w:val="009E237A"/>
    <w:rsid w:val="009E3149"/>
    <w:rsid w:val="009E3875"/>
    <w:rsid w:val="009E3BFB"/>
    <w:rsid w:val="009E415B"/>
    <w:rsid w:val="009E4183"/>
    <w:rsid w:val="009E41E2"/>
    <w:rsid w:val="009E4227"/>
    <w:rsid w:val="009E58F0"/>
    <w:rsid w:val="009E5A41"/>
    <w:rsid w:val="009E6118"/>
    <w:rsid w:val="009E63B0"/>
    <w:rsid w:val="009E75D2"/>
    <w:rsid w:val="009F00A8"/>
    <w:rsid w:val="009F03AB"/>
    <w:rsid w:val="009F06D3"/>
    <w:rsid w:val="009F11EC"/>
    <w:rsid w:val="009F1510"/>
    <w:rsid w:val="009F200E"/>
    <w:rsid w:val="009F22A9"/>
    <w:rsid w:val="009F2977"/>
    <w:rsid w:val="009F2A9F"/>
    <w:rsid w:val="009F2E5B"/>
    <w:rsid w:val="009F2FBF"/>
    <w:rsid w:val="009F315F"/>
    <w:rsid w:val="009F3268"/>
    <w:rsid w:val="009F332D"/>
    <w:rsid w:val="009F3E47"/>
    <w:rsid w:val="009F4498"/>
    <w:rsid w:val="009F4C0A"/>
    <w:rsid w:val="009F5B20"/>
    <w:rsid w:val="009F5C58"/>
    <w:rsid w:val="009F623A"/>
    <w:rsid w:val="009F6A2A"/>
    <w:rsid w:val="009F6F4D"/>
    <w:rsid w:val="009F73F8"/>
    <w:rsid w:val="00A00817"/>
    <w:rsid w:val="00A00A06"/>
    <w:rsid w:val="00A00F41"/>
    <w:rsid w:val="00A01277"/>
    <w:rsid w:val="00A01345"/>
    <w:rsid w:val="00A013AF"/>
    <w:rsid w:val="00A01FC8"/>
    <w:rsid w:val="00A02168"/>
    <w:rsid w:val="00A02860"/>
    <w:rsid w:val="00A02ADE"/>
    <w:rsid w:val="00A02DE8"/>
    <w:rsid w:val="00A0335B"/>
    <w:rsid w:val="00A039B6"/>
    <w:rsid w:val="00A03B74"/>
    <w:rsid w:val="00A03CEC"/>
    <w:rsid w:val="00A042C5"/>
    <w:rsid w:val="00A04B27"/>
    <w:rsid w:val="00A054F4"/>
    <w:rsid w:val="00A05A71"/>
    <w:rsid w:val="00A05C59"/>
    <w:rsid w:val="00A06451"/>
    <w:rsid w:val="00A0674A"/>
    <w:rsid w:val="00A07096"/>
    <w:rsid w:val="00A073CF"/>
    <w:rsid w:val="00A076EF"/>
    <w:rsid w:val="00A11236"/>
    <w:rsid w:val="00A11503"/>
    <w:rsid w:val="00A11808"/>
    <w:rsid w:val="00A12062"/>
    <w:rsid w:val="00A12CA5"/>
    <w:rsid w:val="00A12D08"/>
    <w:rsid w:val="00A13237"/>
    <w:rsid w:val="00A1380A"/>
    <w:rsid w:val="00A13896"/>
    <w:rsid w:val="00A139B0"/>
    <w:rsid w:val="00A14B2F"/>
    <w:rsid w:val="00A151E0"/>
    <w:rsid w:val="00A1585F"/>
    <w:rsid w:val="00A1629A"/>
    <w:rsid w:val="00A1642C"/>
    <w:rsid w:val="00A173D4"/>
    <w:rsid w:val="00A17636"/>
    <w:rsid w:val="00A1780D"/>
    <w:rsid w:val="00A1785C"/>
    <w:rsid w:val="00A179EB"/>
    <w:rsid w:val="00A2024F"/>
    <w:rsid w:val="00A20F46"/>
    <w:rsid w:val="00A21BD7"/>
    <w:rsid w:val="00A21F6D"/>
    <w:rsid w:val="00A22902"/>
    <w:rsid w:val="00A229B8"/>
    <w:rsid w:val="00A22A7A"/>
    <w:rsid w:val="00A24920"/>
    <w:rsid w:val="00A24A56"/>
    <w:rsid w:val="00A24F23"/>
    <w:rsid w:val="00A24FB6"/>
    <w:rsid w:val="00A2543F"/>
    <w:rsid w:val="00A25686"/>
    <w:rsid w:val="00A262B8"/>
    <w:rsid w:val="00A2681D"/>
    <w:rsid w:val="00A27096"/>
    <w:rsid w:val="00A27924"/>
    <w:rsid w:val="00A31112"/>
    <w:rsid w:val="00A31844"/>
    <w:rsid w:val="00A332F5"/>
    <w:rsid w:val="00A3343B"/>
    <w:rsid w:val="00A33FD3"/>
    <w:rsid w:val="00A3414D"/>
    <w:rsid w:val="00A344B9"/>
    <w:rsid w:val="00A34A61"/>
    <w:rsid w:val="00A34DC3"/>
    <w:rsid w:val="00A357AC"/>
    <w:rsid w:val="00A35FC1"/>
    <w:rsid w:val="00A360DF"/>
    <w:rsid w:val="00A3704B"/>
    <w:rsid w:val="00A37181"/>
    <w:rsid w:val="00A37461"/>
    <w:rsid w:val="00A41179"/>
    <w:rsid w:val="00A41996"/>
    <w:rsid w:val="00A41D37"/>
    <w:rsid w:val="00A432CF"/>
    <w:rsid w:val="00A43A72"/>
    <w:rsid w:val="00A43B7A"/>
    <w:rsid w:val="00A443EC"/>
    <w:rsid w:val="00A44554"/>
    <w:rsid w:val="00A4455F"/>
    <w:rsid w:val="00A44BA6"/>
    <w:rsid w:val="00A46AF2"/>
    <w:rsid w:val="00A46C21"/>
    <w:rsid w:val="00A4716D"/>
    <w:rsid w:val="00A47852"/>
    <w:rsid w:val="00A47944"/>
    <w:rsid w:val="00A47FEE"/>
    <w:rsid w:val="00A500E9"/>
    <w:rsid w:val="00A501C5"/>
    <w:rsid w:val="00A504C9"/>
    <w:rsid w:val="00A50619"/>
    <w:rsid w:val="00A516A3"/>
    <w:rsid w:val="00A522C7"/>
    <w:rsid w:val="00A53525"/>
    <w:rsid w:val="00A5375E"/>
    <w:rsid w:val="00A5385E"/>
    <w:rsid w:val="00A53909"/>
    <w:rsid w:val="00A53D1D"/>
    <w:rsid w:val="00A548B0"/>
    <w:rsid w:val="00A54979"/>
    <w:rsid w:val="00A55451"/>
    <w:rsid w:val="00A55A65"/>
    <w:rsid w:val="00A55E78"/>
    <w:rsid w:val="00A56026"/>
    <w:rsid w:val="00A562B7"/>
    <w:rsid w:val="00A56879"/>
    <w:rsid w:val="00A56DBF"/>
    <w:rsid w:val="00A56E02"/>
    <w:rsid w:val="00A57AA2"/>
    <w:rsid w:val="00A57ADC"/>
    <w:rsid w:val="00A57BC0"/>
    <w:rsid w:val="00A57F54"/>
    <w:rsid w:val="00A57FDB"/>
    <w:rsid w:val="00A6066A"/>
    <w:rsid w:val="00A608E6"/>
    <w:rsid w:val="00A60AAD"/>
    <w:rsid w:val="00A611A4"/>
    <w:rsid w:val="00A61616"/>
    <w:rsid w:val="00A6168D"/>
    <w:rsid w:val="00A617E0"/>
    <w:rsid w:val="00A61826"/>
    <w:rsid w:val="00A61836"/>
    <w:rsid w:val="00A61C03"/>
    <w:rsid w:val="00A625E1"/>
    <w:rsid w:val="00A62FA3"/>
    <w:rsid w:val="00A636B1"/>
    <w:rsid w:val="00A63C24"/>
    <w:rsid w:val="00A64BE9"/>
    <w:rsid w:val="00A64F81"/>
    <w:rsid w:val="00A652BE"/>
    <w:rsid w:val="00A65665"/>
    <w:rsid w:val="00A66722"/>
    <w:rsid w:val="00A667FD"/>
    <w:rsid w:val="00A672CC"/>
    <w:rsid w:val="00A67B07"/>
    <w:rsid w:val="00A67DCE"/>
    <w:rsid w:val="00A701D4"/>
    <w:rsid w:val="00A70637"/>
    <w:rsid w:val="00A7147C"/>
    <w:rsid w:val="00A7150A"/>
    <w:rsid w:val="00A7159B"/>
    <w:rsid w:val="00A7167B"/>
    <w:rsid w:val="00A718E1"/>
    <w:rsid w:val="00A71F43"/>
    <w:rsid w:val="00A722A1"/>
    <w:rsid w:val="00A7238A"/>
    <w:rsid w:val="00A72502"/>
    <w:rsid w:val="00A72875"/>
    <w:rsid w:val="00A73910"/>
    <w:rsid w:val="00A73991"/>
    <w:rsid w:val="00A73DAC"/>
    <w:rsid w:val="00A741D7"/>
    <w:rsid w:val="00A74A32"/>
    <w:rsid w:val="00A74A7B"/>
    <w:rsid w:val="00A74D9A"/>
    <w:rsid w:val="00A74EE3"/>
    <w:rsid w:val="00A75778"/>
    <w:rsid w:val="00A75A4E"/>
    <w:rsid w:val="00A75BC0"/>
    <w:rsid w:val="00A75EA2"/>
    <w:rsid w:val="00A76837"/>
    <w:rsid w:val="00A76DAA"/>
    <w:rsid w:val="00A76F83"/>
    <w:rsid w:val="00A8041E"/>
    <w:rsid w:val="00A80A9B"/>
    <w:rsid w:val="00A81CCC"/>
    <w:rsid w:val="00A81E87"/>
    <w:rsid w:val="00A8205C"/>
    <w:rsid w:val="00A82530"/>
    <w:rsid w:val="00A82C79"/>
    <w:rsid w:val="00A84378"/>
    <w:rsid w:val="00A84561"/>
    <w:rsid w:val="00A850A0"/>
    <w:rsid w:val="00A85A7E"/>
    <w:rsid w:val="00A85C01"/>
    <w:rsid w:val="00A85E86"/>
    <w:rsid w:val="00A861B3"/>
    <w:rsid w:val="00A86A20"/>
    <w:rsid w:val="00A875D3"/>
    <w:rsid w:val="00A9020F"/>
    <w:rsid w:val="00A90FE6"/>
    <w:rsid w:val="00A9112D"/>
    <w:rsid w:val="00A9177A"/>
    <w:rsid w:val="00A935BB"/>
    <w:rsid w:val="00A93A98"/>
    <w:rsid w:val="00A944E1"/>
    <w:rsid w:val="00A94E4D"/>
    <w:rsid w:val="00A950A7"/>
    <w:rsid w:val="00A95445"/>
    <w:rsid w:val="00A95B00"/>
    <w:rsid w:val="00A95D78"/>
    <w:rsid w:val="00A96008"/>
    <w:rsid w:val="00A96321"/>
    <w:rsid w:val="00A9653D"/>
    <w:rsid w:val="00A967AD"/>
    <w:rsid w:val="00A96880"/>
    <w:rsid w:val="00A96941"/>
    <w:rsid w:val="00A971FE"/>
    <w:rsid w:val="00A97459"/>
    <w:rsid w:val="00A97EAC"/>
    <w:rsid w:val="00AA055C"/>
    <w:rsid w:val="00AA10C5"/>
    <w:rsid w:val="00AA10FE"/>
    <w:rsid w:val="00AA112E"/>
    <w:rsid w:val="00AA1EA2"/>
    <w:rsid w:val="00AA201D"/>
    <w:rsid w:val="00AA2091"/>
    <w:rsid w:val="00AA24A6"/>
    <w:rsid w:val="00AA26E5"/>
    <w:rsid w:val="00AA301B"/>
    <w:rsid w:val="00AA303B"/>
    <w:rsid w:val="00AA3200"/>
    <w:rsid w:val="00AA4271"/>
    <w:rsid w:val="00AA432A"/>
    <w:rsid w:val="00AA466D"/>
    <w:rsid w:val="00AA547F"/>
    <w:rsid w:val="00AA5F0B"/>
    <w:rsid w:val="00AA5F2C"/>
    <w:rsid w:val="00AA5FC6"/>
    <w:rsid w:val="00AA5FEC"/>
    <w:rsid w:val="00AA6BD1"/>
    <w:rsid w:val="00AA79C9"/>
    <w:rsid w:val="00AB0068"/>
    <w:rsid w:val="00AB05AC"/>
    <w:rsid w:val="00AB1107"/>
    <w:rsid w:val="00AB1179"/>
    <w:rsid w:val="00AB1704"/>
    <w:rsid w:val="00AB1CD8"/>
    <w:rsid w:val="00AB1E42"/>
    <w:rsid w:val="00AB2079"/>
    <w:rsid w:val="00AB3A44"/>
    <w:rsid w:val="00AB3C0B"/>
    <w:rsid w:val="00AB3E57"/>
    <w:rsid w:val="00AB42C8"/>
    <w:rsid w:val="00AB49FB"/>
    <w:rsid w:val="00AB4ADD"/>
    <w:rsid w:val="00AB50BD"/>
    <w:rsid w:val="00AB6168"/>
    <w:rsid w:val="00AB62E1"/>
    <w:rsid w:val="00AB7891"/>
    <w:rsid w:val="00AC0072"/>
    <w:rsid w:val="00AC0681"/>
    <w:rsid w:val="00AC10A9"/>
    <w:rsid w:val="00AC27D3"/>
    <w:rsid w:val="00AC2D15"/>
    <w:rsid w:val="00AC3040"/>
    <w:rsid w:val="00AC3114"/>
    <w:rsid w:val="00AC3C2D"/>
    <w:rsid w:val="00AC4002"/>
    <w:rsid w:val="00AC455C"/>
    <w:rsid w:val="00AC460F"/>
    <w:rsid w:val="00AC51CD"/>
    <w:rsid w:val="00AC6139"/>
    <w:rsid w:val="00AC68B2"/>
    <w:rsid w:val="00AC7459"/>
    <w:rsid w:val="00AC7520"/>
    <w:rsid w:val="00AC7B0D"/>
    <w:rsid w:val="00AD013B"/>
    <w:rsid w:val="00AD0918"/>
    <w:rsid w:val="00AD094D"/>
    <w:rsid w:val="00AD0CC7"/>
    <w:rsid w:val="00AD1003"/>
    <w:rsid w:val="00AD1481"/>
    <w:rsid w:val="00AD17DD"/>
    <w:rsid w:val="00AD1963"/>
    <w:rsid w:val="00AD1F2E"/>
    <w:rsid w:val="00AD2085"/>
    <w:rsid w:val="00AD2095"/>
    <w:rsid w:val="00AD2A2F"/>
    <w:rsid w:val="00AD3395"/>
    <w:rsid w:val="00AD3C55"/>
    <w:rsid w:val="00AD4A22"/>
    <w:rsid w:val="00AD4C16"/>
    <w:rsid w:val="00AD5594"/>
    <w:rsid w:val="00AD55B1"/>
    <w:rsid w:val="00AD7DA3"/>
    <w:rsid w:val="00AE0799"/>
    <w:rsid w:val="00AE0D3D"/>
    <w:rsid w:val="00AE0EC4"/>
    <w:rsid w:val="00AE1616"/>
    <w:rsid w:val="00AE24A8"/>
    <w:rsid w:val="00AE2805"/>
    <w:rsid w:val="00AE4399"/>
    <w:rsid w:val="00AE485E"/>
    <w:rsid w:val="00AE6259"/>
    <w:rsid w:val="00AE6584"/>
    <w:rsid w:val="00AE659C"/>
    <w:rsid w:val="00AE688D"/>
    <w:rsid w:val="00AE7555"/>
    <w:rsid w:val="00AE7AD6"/>
    <w:rsid w:val="00AE7CD9"/>
    <w:rsid w:val="00AE7E30"/>
    <w:rsid w:val="00AF0965"/>
    <w:rsid w:val="00AF0AF4"/>
    <w:rsid w:val="00AF2444"/>
    <w:rsid w:val="00AF2467"/>
    <w:rsid w:val="00AF28AD"/>
    <w:rsid w:val="00AF2A1E"/>
    <w:rsid w:val="00AF2CE5"/>
    <w:rsid w:val="00AF4E7A"/>
    <w:rsid w:val="00AF5740"/>
    <w:rsid w:val="00AF5C8F"/>
    <w:rsid w:val="00AF6D7B"/>
    <w:rsid w:val="00B00AB8"/>
    <w:rsid w:val="00B01033"/>
    <w:rsid w:val="00B01587"/>
    <w:rsid w:val="00B0166B"/>
    <w:rsid w:val="00B0262D"/>
    <w:rsid w:val="00B03D48"/>
    <w:rsid w:val="00B04A23"/>
    <w:rsid w:val="00B04BDE"/>
    <w:rsid w:val="00B056A5"/>
    <w:rsid w:val="00B05953"/>
    <w:rsid w:val="00B059C4"/>
    <w:rsid w:val="00B05CC4"/>
    <w:rsid w:val="00B0626B"/>
    <w:rsid w:val="00B06BEF"/>
    <w:rsid w:val="00B06D3A"/>
    <w:rsid w:val="00B07712"/>
    <w:rsid w:val="00B078ED"/>
    <w:rsid w:val="00B07CFE"/>
    <w:rsid w:val="00B10947"/>
    <w:rsid w:val="00B10A22"/>
    <w:rsid w:val="00B10A57"/>
    <w:rsid w:val="00B110D8"/>
    <w:rsid w:val="00B11615"/>
    <w:rsid w:val="00B116EA"/>
    <w:rsid w:val="00B11817"/>
    <w:rsid w:val="00B1184D"/>
    <w:rsid w:val="00B12445"/>
    <w:rsid w:val="00B13B7A"/>
    <w:rsid w:val="00B14499"/>
    <w:rsid w:val="00B14929"/>
    <w:rsid w:val="00B15098"/>
    <w:rsid w:val="00B15223"/>
    <w:rsid w:val="00B15772"/>
    <w:rsid w:val="00B15C9C"/>
    <w:rsid w:val="00B15D69"/>
    <w:rsid w:val="00B15EC0"/>
    <w:rsid w:val="00B1600B"/>
    <w:rsid w:val="00B1634E"/>
    <w:rsid w:val="00B16440"/>
    <w:rsid w:val="00B16494"/>
    <w:rsid w:val="00B17289"/>
    <w:rsid w:val="00B1732A"/>
    <w:rsid w:val="00B17806"/>
    <w:rsid w:val="00B17B90"/>
    <w:rsid w:val="00B17C4B"/>
    <w:rsid w:val="00B17CB5"/>
    <w:rsid w:val="00B20AFC"/>
    <w:rsid w:val="00B20F3E"/>
    <w:rsid w:val="00B20FCC"/>
    <w:rsid w:val="00B210A7"/>
    <w:rsid w:val="00B21137"/>
    <w:rsid w:val="00B21505"/>
    <w:rsid w:val="00B217FB"/>
    <w:rsid w:val="00B21E5C"/>
    <w:rsid w:val="00B21E66"/>
    <w:rsid w:val="00B22476"/>
    <w:rsid w:val="00B2256C"/>
    <w:rsid w:val="00B229FF"/>
    <w:rsid w:val="00B22FA6"/>
    <w:rsid w:val="00B231AD"/>
    <w:rsid w:val="00B23507"/>
    <w:rsid w:val="00B235A8"/>
    <w:rsid w:val="00B2363F"/>
    <w:rsid w:val="00B237A3"/>
    <w:rsid w:val="00B23C01"/>
    <w:rsid w:val="00B23D31"/>
    <w:rsid w:val="00B241B4"/>
    <w:rsid w:val="00B24C5E"/>
    <w:rsid w:val="00B26521"/>
    <w:rsid w:val="00B265CB"/>
    <w:rsid w:val="00B2663F"/>
    <w:rsid w:val="00B26655"/>
    <w:rsid w:val="00B266FD"/>
    <w:rsid w:val="00B26794"/>
    <w:rsid w:val="00B26C87"/>
    <w:rsid w:val="00B2764C"/>
    <w:rsid w:val="00B27D2D"/>
    <w:rsid w:val="00B27ED9"/>
    <w:rsid w:val="00B306BB"/>
    <w:rsid w:val="00B3113C"/>
    <w:rsid w:val="00B31672"/>
    <w:rsid w:val="00B31920"/>
    <w:rsid w:val="00B319D7"/>
    <w:rsid w:val="00B31DE1"/>
    <w:rsid w:val="00B320D4"/>
    <w:rsid w:val="00B32400"/>
    <w:rsid w:val="00B32435"/>
    <w:rsid w:val="00B32A65"/>
    <w:rsid w:val="00B330BC"/>
    <w:rsid w:val="00B33FEA"/>
    <w:rsid w:val="00B33FFA"/>
    <w:rsid w:val="00B34C18"/>
    <w:rsid w:val="00B353AD"/>
    <w:rsid w:val="00B355B7"/>
    <w:rsid w:val="00B357B5"/>
    <w:rsid w:val="00B36935"/>
    <w:rsid w:val="00B3742B"/>
    <w:rsid w:val="00B37581"/>
    <w:rsid w:val="00B40093"/>
    <w:rsid w:val="00B40689"/>
    <w:rsid w:val="00B40A3B"/>
    <w:rsid w:val="00B41216"/>
    <w:rsid w:val="00B41B8B"/>
    <w:rsid w:val="00B41CD6"/>
    <w:rsid w:val="00B42220"/>
    <w:rsid w:val="00B42EA9"/>
    <w:rsid w:val="00B433FB"/>
    <w:rsid w:val="00B444D3"/>
    <w:rsid w:val="00B450B5"/>
    <w:rsid w:val="00B452A2"/>
    <w:rsid w:val="00B4679D"/>
    <w:rsid w:val="00B46807"/>
    <w:rsid w:val="00B4691C"/>
    <w:rsid w:val="00B46B68"/>
    <w:rsid w:val="00B46F2A"/>
    <w:rsid w:val="00B47523"/>
    <w:rsid w:val="00B47942"/>
    <w:rsid w:val="00B5007A"/>
    <w:rsid w:val="00B503ED"/>
    <w:rsid w:val="00B50605"/>
    <w:rsid w:val="00B50E23"/>
    <w:rsid w:val="00B519A0"/>
    <w:rsid w:val="00B51A59"/>
    <w:rsid w:val="00B524E1"/>
    <w:rsid w:val="00B52AC5"/>
    <w:rsid w:val="00B53248"/>
    <w:rsid w:val="00B535BB"/>
    <w:rsid w:val="00B53AAC"/>
    <w:rsid w:val="00B54406"/>
    <w:rsid w:val="00B548D8"/>
    <w:rsid w:val="00B55154"/>
    <w:rsid w:val="00B55248"/>
    <w:rsid w:val="00B5528A"/>
    <w:rsid w:val="00B55962"/>
    <w:rsid w:val="00B55C62"/>
    <w:rsid w:val="00B56259"/>
    <w:rsid w:val="00B562E2"/>
    <w:rsid w:val="00B565EE"/>
    <w:rsid w:val="00B56C0A"/>
    <w:rsid w:val="00B573F4"/>
    <w:rsid w:val="00B5773C"/>
    <w:rsid w:val="00B60F28"/>
    <w:rsid w:val="00B60FD0"/>
    <w:rsid w:val="00B612A6"/>
    <w:rsid w:val="00B61EE8"/>
    <w:rsid w:val="00B625D9"/>
    <w:rsid w:val="00B62B8D"/>
    <w:rsid w:val="00B62E5C"/>
    <w:rsid w:val="00B638AB"/>
    <w:rsid w:val="00B64191"/>
    <w:rsid w:val="00B645DB"/>
    <w:rsid w:val="00B64DBD"/>
    <w:rsid w:val="00B6502E"/>
    <w:rsid w:val="00B654DC"/>
    <w:rsid w:val="00B65A98"/>
    <w:rsid w:val="00B65C75"/>
    <w:rsid w:val="00B66419"/>
    <w:rsid w:val="00B6660A"/>
    <w:rsid w:val="00B66C3B"/>
    <w:rsid w:val="00B66D90"/>
    <w:rsid w:val="00B66FC1"/>
    <w:rsid w:val="00B670DD"/>
    <w:rsid w:val="00B67651"/>
    <w:rsid w:val="00B67939"/>
    <w:rsid w:val="00B67C04"/>
    <w:rsid w:val="00B70264"/>
    <w:rsid w:val="00B70C11"/>
    <w:rsid w:val="00B71228"/>
    <w:rsid w:val="00B725FF"/>
    <w:rsid w:val="00B72F15"/>
    <w:rsid w:val="00B73622"/>
    <w:rsid w:val="00B73A55"/>
    <w:rsid w:val="00B73B78"/>
    <w:rsid w:val="00B73EC0"/>
    <w:rsid w:val="00B73FAA"/>
    <w:rsid w:val="00B74315"/>
    <w:rsid w:val="00B7432A"/>
    <w:rsid w:val="00B74B49"/>
    <w:rsid w:val="00B74DFC"/>
    <w:rsid w:val="00B7527B"/>
    <w:rsid w:val="00B75649"/>
    <w:rsid w:val="00B7568C"/>
    <w:rsid w:val="00B7616E"/>
    <w:rsid w:val="00B76DE6"/>
    <w:rsid w:val="00B76FAD"/>
    <w:rsid w:val="00B779DC"/>
    <w:rsid w:val="00B77B9F"/>
    <w:rsid w:val="00B810E3"/>
    <w:rsid w:val="00B8118A"/>
    <w:rsid w:val="00B81265"/>
    <w:rsid w:val="00B815B6"/>
    <w:rsid w:val="00B81837"/>
    <w:rsid w:val="00B81846"/>
    <w:rsid w:val="00B818AE"/>
    <w:rsid w:val="00B81BFD"/>
    <w:rsid w:val="00B81F65"/>
    <w:rsid w:val="00B82063"/>
    <w:rsid w:val="00B82240"/>
    <w:rsid w:val="00B824A0"/>
    <w:rsid w:val="00B829ED"/>
    <w:rsid w:val="00B82A85"/>
    <w:rsid w:val="00B82E22"/>
    <w:rsid w:val="00B838F4"/>
    <w:rsid w:val="00B8426B"/>
    <w:rsid w:val="00B8512F"/>
    <w:rsid w:val="00B854CF"/>
    <w:rsid w:val="00B85883"/>
    <w:rsid w:val="00B859A7"/>
    <w:rsid w:val="00B86312"/>
    <w:rsid w:val="00B86A0E"/>
    <w:rsid w:val="00B87A17"/>
    <w:rsid w:val="00B87B7C"/>
    <w:rsid w:val="00B8FD7F"/>
    <w:rsid w:val="00B9111D"/>
    <w:rsid w:val="00B91226"/>
    <w:rsid w:val="00B91538"/>
    <w:rsid w:val="00B91607"/>
    <w:rsid w:val="00B91C3C"/>
    <w:rsid w:val="00B91C42"/>
    <w:rsid w:val="00B91DC7"/>
    <w:rsid w:val="00B9227C"/>
    <w:rsid w:val="00B92B87"/>
    <w:rsid w:val="00B930C3"/>
    <w:rsid w:val="00B933A2"/>
    <w:rsid w:val="00B933E4"/>
    <w:rsid w:val="00B938D3"/>
    <w:rsid w:val="00B941E4"/>
    <w:rsid w:val="00B94435"/>
    <w:rsid w:val="00B9462A"/>
    <w:rsid w:val="00B947C4"/>
    <w:rsid w:val="00B94BF3"/>
    <w:rsid w:val="00B95684"/>
    <w:rsid w:val="00B957DC"/>
    <w:rsid w:val="00B95A80"/>
    <w:rsid w:val="00B95D8A"/>
    <w:rsid w:val="00B95FDC"/>
    <w:rsid w:val="00B965B7"/>
    <w:rsid w:val="00B9766C"/>
    <w:rsid w:val="00BA1C88"/>
    <w:rsid w:val="00BA2127"/>
    <w:rsid w:val="00BA267B"/>
    <w:rsid w:val="00BA2E94"/>
    <w:rsid w:val="00BA4B8C"/>
    <w:rsid w:val="00BA5868"/>
    <w:rsid w:val="00BA5CBB"/>
    <w:rsid w:val="00BA6C6D"/>
    <w:rsid w:val="00BA78F1"/>
    <w:rsid w:val="00BA7EDA"/>
    <w:rsid w:val="00BA7EFC"/>
    <w:rsid w:val="00BA7F45"/>
    <w:rsid w:val="00BB0483"/>
    <w:rsid w:val="00BB0C38"/>
    <w:rsid w:val="00BB0DFF"/>
    <w:rsid w:val="00BB0E03"/>
    <w:rsid w:val="00BB11D4"/>
    <w:rsid w:val="00BB1421"/>
    <w:rsid w:val="00BB20A1"/>
    <w:rsid w:val="00BB249D"/>
    <w:rsid w:val="00BB2815"/>
    <w:rsid w:val="00BB2870"/>
    <w:rsid w:val="00BB2A06"/>
    <w:rsid w:val="00BB2D9C"/>
    <w:rsid w:val="00BB3CD7"/>
    <w:rsid w:val="00BB4615"/>
    <w:rsid w:val="00BB5A4F"/>
    <w:rsid w:val="00BB5D04"/>
    <w:rsid w:val="00BB5F68"/>
    <w:rsid w:val="00BB60E3"/>
    <w:rsid w:val="00BB648D"/>
    <w:rsid w:val="00BB659B"/>
    <w:rsid w:val="00BB66DD"/>
    <w:rsid w:val="00BB6977"/>
    <w:rsid w:val="00BB7450"/>
    <w:rsid w:val="00BB75F6"/>
    <w:rsid w:val="00BC0047"/>
    <w:rsid w:val="00BC0B00"/>
    <w:rsid w:val="00BC2B77"/>
    <w:rsid w:val="00BC2E2C"/>
    <w:rsid w:val="00BC2FF2"/>
    <w:rsid w:val="00BC3CA0"/>
    <w:rsid w:val="00BC44C8"/>
    <w:rsid w:val="00BC4A04"/>
    <w:rsid w:val="00BC57BE"/>
    <w:rsid w:val="00BC57BF"/>
    <w:rsid w:val="00BC5D4F"/>
    <w:rsid w:val="00BC675F"/>
    <w:rsid w:val="00BC72C7"/>
    <w:rsid w:val="00BC749E"/>
    <w:rsid w:val="00BC7664"/>
    <w:rsid w:val="00BC7A8D"/>
    <w:rsid w:val="00BD07F2"/>
    <w:rsid w:val="00BD0959"/>
    <w:rsid w:val="00BD1136"/>
    <w:rsid w:val="00BD142E"/>
    <w:rsid w:val="00BD1854"/>
    <w:rsid w:val="00BD19DE"/>
    <w:rsid w:val="00BD31C3"/>
    <w:rsid w:val="00BD3D57"/>
    <w:rsid w:val="00BD4A53"/>
    <w:rsid w:val="00BD4D1F"/>
    <w:rsid w:val="00BD6290"/>
    <w:rsid w:val="00BD62CC"/>
    <w:rsid w:val="00BD6318"/>
    <w:rsid w:val="00BD63D5"/>
    <w:rsid w:val="00BD689C"/>
    <w:rsid w:val="00BD69C8"/>
    <w:rsid w:val="00BD751A"/>
    <w:rsid w:val="00BD7660"/>
    <w:rsid w:val="00BD78D2"/>
    <w:rsid w:val="00BE014B"/>
    <w:rsid w:val="00BE08D2"/>
    <w:rsid w:val="00BE104B"/>
    <w:rsid w:val="00BE1D4A"/>
    <w:rsid w:val="00BE1E99"/>
    <w:rsid w:val="00BE21C0"/>
    <w:rsid w:val="00BE2393"/>
    <w:rsid w:val="00BE2581"/>
    <w:rsid w:val="00BE2E75"/>
    <w:rsid w:val="00BE3200"/>
    <w:rsid w:val="00BE3B5F"/>
    <w:rsid w:val="00BE3C19"/>
    <w:rsid w:val="00BE4ADB"/>
    <w:rsid w:val="00BE4D92"/>
    <w:rsid w:val="00BE5230"/>
    <w:rsid w:val="00BE530A"/>
    <w:rsid w:val="00BE5ECB"/>
    <w:rsid w:val="00BE6637"/>
    <w:rsid w:val="00BE6A84"/>
    <w:rsid w:val="00BE6D02"/>
    <w:rsid w:val="00BE71A7"/>
    <w:rsid w:val="00BE71AA"/>
    <w:rsid w:val="00BE750E"/>
    <w:rsid w:val="00BE781F"/>
    <w:rsid w:val="00BF01A0"/>
    <w:rsid w:val="00BF02D9"/>
    <w:rsid w:val="00BF0635"/>
    <w:rsid w:val="00BF1667"/>
    <w:rsid w:val="00BF184E"/>
    <w:rsid w:val="00BF1BB0"/>
    <w:rsid w:val="00BF2051"/>
    <w:rsid w:val="00BF28EC"/>
    <w:rsid w:val="00BF2D9D"/>
    <w:rsid w:val="00BF2F16"/>
    <w:rsid w:val="00BF3EFC"/>
    <w:rsid w:val="00BF47E5"/>
    <w:rsid w:val="00BF4AB5"/>
    <w:rsid w:val="00BF4C76"/>
    <w:rsid w:val="00BF4E15"/>
    <w:rsid w:val="00BF67E9"/>
    <w:rsid w:val="00BF7BD4"/>
    <w:rsid w:val="00BF7DFE"/>
    <w:rsid w:val="00C0009F"/>
    <w:rsid w:val="00C0042C"/>
    <w:rsid w:val="00C00684"/>
    <w:rsid w:val="00C00FA7"/>
    <w:rsid w:val="00C011F4"/>
    <w:rsid w:val="00C016FE"/>
    <w:rsid w:val="00C01DF3"/>
    <w:rsid w:val="00C026ED"/>
    <w:rsid w:val="00C02863"/>
    <w:rsid w:val="00C02906"/>
    <w:rsid w:val="00C02C11"/>
    <w:rsid w:val="00C02E39"/>
    <w:rsid w:val="00C034B7"/>
    <w:rsid w:val="00C03F25"/>
    <w:rsid w:val="00C04387"/>
    <w:rsid w:val="00C043C8"/>
    <w:rsid w:val="00C04533"/>
    <w:rsid w:val="00C0456D"/>
    <w:rsid w:val="00C053FB"/>
    <w:rsid w:val="00C05C46"/>
    <w:rsid w:val="00C0613F"/>
    <w:rsid w:val="00C06652"/>
    <w:rsid w:val="00C06AE2"/>
    <w:rsid w:val="00C0705C"/>
    <w:rsid w:val="00C07B66"/>
    <w:rsid w:val="00C07D14"/>
    <w:rsid w:val="00C10056"/>
    <w:rsid w:val="00C10A93"/>
    <w:rsid w:val="00C10B23"/>
    <w:rsid w:val="00C1152F"/>
    <w:rsid w:val="00C120B8"/>
    <w:rsid w:val="00C13E4F"/>
    <w:rsid w:val="00C1434F"/>
    <w:rsid w:val="00C14C07"/>
    <w:rsid w:val="00C14C37"/>
    <w:rsid w:val="00C14D61"/>
    <w:rsid w:val="00C14FC0"/>
    <w:rsid w:val="00C15045"/>
    <w:rsid w:val="00C15414"/>
    <w:rsid w:val="00C15BEE"/>
    <w:rsid w:val="00C15D0A"/>
    <w:rsid w:val="00C15D80"/>
    <w:rsid w:val="00C15FA2"/>
    <w:rsid w:val="00C16052"/>
    <w:rsid w:val="00C16113"/>
    <w:rsid w:val="00C1630D"/>
    <w:rsid w:val="00C167D2"/>
    <w:rsid w:val="00C16D7A"/>
    <w:rsid w:val="00C179D7"/>
    <w:rsid w:val="00C202C0"/>
    <w:rsid w:val="00C2043C"/>
    <w:rsid w:val="00C211A6"/>
    <w:rsid w:val="00C212BD"/>
    <w:rsid w:val="00C21865"/>
    <w:rsid w:val="00C21C00"/>
    <w:rsid w:val="00C231B0"/>
    <w:rsid w:val="00C23E95"/>
    <w:rsid w:val="00C24176"/>
    <w:rsid w:val="00C2459A"/>
    <w:rsid w:val="00C24617"/>
    <w:rsid w:val="00C24E65"/>
    <w:rsid w:val="00C255C3"/>
    <w:rsid w:val="00C257A2"/>
    <w:rsid w:val="00C26067"/>
    <w:rsid w:val="00C26588"/>
    <w:rsid w:val="00C2663F"/>
    <w:rsid w:val="00C266A8"/>
    <w:rsid w:val="00C273CD"/>
    <w:rsid w:val="00C306C2"/>
    <w:rsid w:val="00C30ADB"/>
    <w:rsid w:val="00C30CB5"/>
    <w:rsid w:val="00C30D7E"/>
    <w:rsid w:val="00C316DB"/>
    <w:rsid w:val="00C319F0"/>
    <w:rsid w:val="00C32157"/>
    <w:rsid w:val="00C323B2"/>
    <w:rsid w:val="00C324F1"/>
    <w:rsid w:val="00C3269C"/>
    <w:rsid w:val="00C3296E"/>
    <w:rsid w:val="00C32E94"/>
    <w:rsid w:val="00C331C6"/>
    <w:rsid w:val="00C33D1D"/>
    <w:rsid w:val="00C33E4D"/>
    <w:rsid w:val="00C34155"/>
    <w:rsid w:val="00C34287"/>
    <w:rsid w:val="00C346D1"/>
    <w:rsid w:val="00C34B1F"/>
    <w:rsid w:val="00C35160"/>
    <w:rsid w:val="00C35560"/>
    <w:rsid w:val="00C35B27"/>
    <w:rsid w:val="00C35B84"/>
    <w:rsid w:val="00C35D24"/>
    <w:rsid w:val="00C35D3F"/>
    <w:rsid w:val="00C3605F"/>
    <w:rsid w:val="00C36643"/>
    <w:rsid w:val="00C36E05"/>
    <w:rsid w:val="00C3701D"/>
    <w:rsid w:val="00C37062"/>
    <w:rsid w:val="00C371AC"/>
    <w:rsid w:val="00C40C1F"/>
    <w:rsid w:val="00C40DB7"/>
    <w:rsid w:val="00C414D9"/>
    <w:rsid w:val="00C41676"/>
    <w:rsid w:val="00C41F2E"/>
    <w:rsid w:val="00C421C0"/>
    <w:rsid w:val="00C43F25"/>
    <w:rsid w:val="00C440BD"/>
    <w:rsid w:val="00C44334"/>
    <w:rsid w:val="00C44869"/>
    <w:rsid w:val="00C44B1E"/>
    <w:rsid w:val="00C4526A"/>
    <w:rsid w:val="00C456AF"/>
    <w:rsid w:val="00C456D8"/>
    <w:rsid w:val="00C45EA0"/>
    <w:rsid w:val="00C46C8A"/>
    <w:rsid w:val="00C470D7"/>
    <w:rsid w:val="00C50F1A"/>
    <w:rsid w:val="00C5208D"/>
    <w:rsid w:val="00C5248A"/>
    <w:rsid w:val="00C52AF0"/>
    <w:rsid w:val="00C52DDD"/>
    <w:rsid w:val="00C530D4"/>
    <w:rsid w:val="00C54714"/>
    <w:rsid w:val="00C54A32"/>
    <w:rsid w:val="00C5577E"/>
    <w:rsid w:val="00C55E9B"/>
    <w:rsid w:val="00C567BE"/>
    <w:rsid w:val="00C5707C"/>
    <w:rsid w:val="00C57402"/>
    <w:rsid w:val="00C57B1A"/>
    <w:rsid w:val="00C6086B"/>
    <w:rsid w:val="00C61DA9"/>
    <w:rsid w:val="00C624FF"/>
    <w:rsid w:val="00C62A72"/>
    <w:rsid w:val="00C63103"/>
    <w:rsid w:val="00C63517"/>
    <w:rsid w:val="00C6429E"/>
    <w:rsid w:val="00C64844"/>
    <w:rsid w:val="00C64F92"/>
    <w:rsid w:val="00C65E80"/>
    <w:rsid w:val="00C6635B"/>
    <w:rsid w:val="00C66A5F"/>
    <w:rsid w:val="00C67049"/>
    <w:rsid w:val="00C6711F"/>
    <w:rsid w:val="00C6746C"/>
    <w:rsid w:val="00C676AB"/>
    <w:rsid w:val="00C67E85"/>
    <w:rsid w:val="00C70550"/>
    <w:rsid w:val="00C70559"/>
    <w:rsid w:val="00C70892"/>
    <w:rsid w:val="00C70D66"/>
    <w:rsid w:val="00C7160F"/>
    <w:rsid w:val="00C7303A"/>
    <w:rsid w:val="00C73684"/>
    <w:rsid w:val="00C73FE0"/>
    <w:rsid w:val="00C74108"/>
    <w:rsid w:val="00C74CAC"/>
    <w:rsid w:val="00C753CE"/>
    <w:rsid w:val="00C75A19"/>
    <w:rsid w:val="00C762AE"/>
    <w:rsid w:val="00C763CA"/>
    <w:rsid w:val="00C76597"/>
    <w:rsid w:val="00C76827"/>
    <w:rsid w:val="00C76E65"/>
    <w:rsid w:val="00C777F9"/>
    <w:rsid w:val="00C80407"/>
    <w:rsid w:val="00C806E7"/>
    <w:rsid w:val="00C808AC"/>
    <w:rsid w:val="00C80A53"/>
    <w:rsid w:val="00C82109"/>
    <w:rsid w:val="00C82509"/>
    <w:rsid w:val="00C82F33"/>
    <w:rsid w:val="00C83159"/>
    <w:rsid w:val="00C84C8E"/>
    <w:rsid w:val="00C85307"/>
    <w:rsid w:val="00C85C97"/>
    <w:rsid w:val="00C85D67"/>
    <w:rsid w:val="00C865B4"/>
    <w:rsid w:val="00C86600"/>
    <w:rsid w:val="00C877FC"/>
    <w:rsid w:val="00C877FD"/>
    <w:rsid w:val="00C9068D"/>
    <w:rsid w:val="00C910A8"/>
    <w:rsid w:val="00C910F1"/>
    <w:rsid w:val="00C91608"/>
    <w:rsid w:val="00C91ABC"/>
    <w:rsid w:val="00C91F0C"/>
    <w:rsid w:val="00C9205C"/>
    <w:rsid w:val="00C94734"/>
    <w:rsid w:val="00C94DBD"/>
    <w:rsid w:val="00C94EA8"/>
    <w:rsid w:val="00C952EA"/>
    <w:rsid w:val="00C9579E"/>
    <w:rsid w:val="00C95A1D"/>
    <w:rsid w:val="00C95EA3"/>
    <w:rsid w:val="00C96726"/>
    <w:rsid w:val="00C976FF"/>
    <w:rsid w:val="00C97893"/>
    <w:rsid w:val="00C97D81"/>
    <w:rsid w:val="00CA07A6"/>
    <w:rsid w:val="00CA07C5"/>
    <w:rsid w:val="00CA0F1B"/>
    <w:rsid w:val="00CA1787"/>
    <w:rsid w:val="00CA181C"/>
    <w:rsid w:val="00CA2064"/>
    <w:rsid w:val="00CA2868"/>
    <w:rsid w:val="00CA3194"/>
    <w:rsid w:val="00CA37AB"/>
    <w:rsid w:val="00CA4738"/>
    <w:rsid w:val="00CA4BC2"/>
    <w:rsid w:val="00CA4D06"/>
    <w:rsid w:val="00CA4DCA"/>
    <w:rsid w:val="00CA551F"/>
    <w:rsid w:val="00CA5A7A"/>
    <w:rsid w:val="00CA64C9"/>
    <w:rsid w:val="00CA6DF7"/>
    <w:rsid w:val="00CA70C0"/>
    <w:rsid w:val="00CA70DA"/>
    <w:rsid w:val="00CA78FC"/>
    <w:rsid w:val="00CA7A2E"/>
    <w:rsid w:val="00CA7D27"/>
    <w:rsid w:val="00CB0BEA"/>
    <w:rsid w:val="00CB0EA8"/>
    <w:rsid w:val="00CB1EBC"/>
    <w:rsid w:val="00CB2100"/>
    <w:rsid w:val="00CB2933"/>
    <w:rsid w:val="00CB30BE"/>
    <w:rsid w:val="00CB319C"/>
    <w:rsid w:val="00CB3FD4"/>
    <w:rsid w:val="00CB45B0"/>
    <w:rsid w:val="00CB473D"/>
    <w:rsid w:val="00CB4BC6"/>
    <w:rsid w:val="00CB4D0E"/>
    <w:rsid w:val="00CB4FC7"/>
    <w:rsid w:val="00CB59FC"/>
    <w:rsid w:val="00CB68FB"/>
    <w:rsid w:val="00CB71BB"/>
    <w:rsid w:val="00CB7999"/>
    <w:rsid w:val="00CC02D6"/>
    <w:rsid w:val="00CC0385"/>
    <w:rsid w:val="00CC06B8"/>
    <w:rsid w:val="00CC0970"/>
    <w:rsid w:val="00CC2251"/>
    <w:rsid w:val="00CC2A04"/>
    <w:rsid w:val="00CC353C"/>
    <w:rsid w:val="00CC3B2D"/>
    <w:rsid w:val="00CC409A"/>
    <w:rsid w:val="00CC49B1"/>
    <w:rsid w:val="00CC4F69"/>
    <w:rsid w:val="00CC5075"/>
    <w:rsid w:val="00CC5372"/>
    <w:rsid w:val="00CC5381"/>
    <w:rsid w:val="00CC560B"/>
    <w:rsid w:val="00CC5F81"/>
    <w:rsid w:val="00CC67B2"/>
    <w:rsid w:val="00CC6A47"/>
    <w:rsid w:val="00CC6B90"/>
    <w:rsid w:val="00CC7339"/>
    <w:rsid w:val="00CC796B"/>
    <w:rsid w:val="00CC7B15"/>
    <w:rsid w:val="00CD02B7"/>
    <w:rsid w:val="00CD07F5"/>
    <w:rsid w:val="00CD104B"/>
    <w:rsid w:val="00CD1559"/>
    <w:rsid w:val="00CD1599"/>
    <w:rsid w:val="00CD18F2"/>
    <w:rsid w:val="00CD19FE"/>
    <w:rsid w:val="00CD24FC"/>
    <w:rsid w:val="00CD3AB6"/>
    <w:rsid w:val="00CD42D0"/>
    <w:rsid w:val="00CD430D"/>
    <w:rsid w:val="00CD496C"/>
    <w:rsid w:val="00CD55EA"/>
    <w:rsid w:val="00CD585A"/>
    <w:rsid w:val="00CD5FF8"/>
    <w:rsid w:val="00CD6086"/>
    <w:rsid w:val="00CD70BF"/>
    <w:rsid w:val="00CD73F4"/>
    <w:rsid w:val="00CD7726"/>
    <w:rsid w:val="00CD7B78"/>
    <w:rsid w:val="00CDC4E2"/>
    <w:rsid w:val="00CE0285"/>
    <w:rsid w:val="00CE0324"/>
    <w:rsid w:val="00CE04DD"/>
    <w:rsid w:val="00CE0A12"/>
    <w:rsid w:val="00CE0A1F"/>
    <w:rsid w:val="00CE0ED6"/>
    <w:rsid w:val="00CE1032"/>
    <w:rsid w:val="00CE1616"/>
    <w:rsid w:val="00CE1C8F"/>
    <w:rsid w:val="00CE2111"/>
    <w:rsid w:val="00CE22F7"/>
    <w:rsid w:val="00CE2A9F"/>
    <w:rsid w:val="00CE4123"/>
    <w:rsid w:val="00CE4EB8"/>
    <w:rsid w:val="00CE527D"/>
    <w:rsid w:val="00CE54CA"/>
    <w:rsid w:val="00CE5D65"/>
    <w:rsid w:val="00CE606F"/>
    <w:rsid w:val="00CE6AAA"/>
    <w:rsid w:val="00CE6DEE"/>
    <w:rsid w:val="00CE6E81"/>
    <w:rsid w:val="00CF0108"/>
    <w:rsid w:val="00CF031C"/>
    <w:rsid w:val="00CF0869"/>
    <w:rsid w:val="00CF091D"/>
    <w:rsid w:val="00CF0958"/>
    <w:rsid w:val="00CF09C7"/>
    <w:rsid w:val="00CF0D2C"/>
    <w:rsid w:val="00CF0EA4"/>
    <w:rsid w:val="00CF1C1D"/>
    <w:rsid w:val="00CF1F8D"/>
    <w:rsid w:val="00CF25D8"/>
    <w:rsid w:val="00CF2672"/>
    <w:rsid w:val="00CF27B4"/>
    <w:rsid w:val="00CF285B"/>
    <w:rsid w:val="00CF3C6F"/>
    <w:rsid w:val="00CF4C12"/>
    <w:rsid w:val="00CF5348"/>
    <w:rsid w:val="00CF5F91"/>
    <w:rsid w:val="00CF60F2"/>
    <w:rsid w:val="00CF651C"/>
    <w:rsid w:val="00CF71B0"/>
    <w:rsid w:val="00CF7ACF"/>
    <w:rsid w:val="00D001DD"/>
    <w:rsid w:val="00D01652"/>
    <w:rsid w:val="00D01C12"/>
    <w:rsid w:val="00D01EC3"/>
    <w:rsid w:val="00D024A4"/>
    <w:rsid w:val="00D0287A"/>
    <w:rsid w:val="00D033B5"/>
    <w:rsid w:val="00D035C1"/>
    <w:rsid w:val="00D03D73"/>
    <w:rsid w:val="00D052B0"/>
    <w:rsid w:val="00D056C3"/>
    <w:rsid w:val="00D059C0"/>
    <w:rsid w:val="00D05CD7"/>
    <w:rsid w:val="00D06654"/>
    <w:rsid w:val="00D06B82"/>
    <w:rsid w:val="00D06F20"/>
    <w:rsid w:val="00D07128"/>
    <w:rsid w:val="00D07E7C"/>
    <w:rsid w:val="00D104ED"/>
    <w:rsid w:val="00D106AA"/>
    <w:rsid w:val="00D10924"/>
    <w:rsid w:val="00D10BB4"/>
    <w:rsid w:val="00D11096"/>
    <w:rsid w:val="00D1321B"/>
    <w:rsid w:val="00D13292"/>
    <w:rsid w:val="00D14536"/>
    <w:rsid w:val="00D14CB1"/>
    <w:rsid w:val="00D14DFE"/>
    <w:rsid w:val="00D15E33"/>
    <w:rsid w:val="00D163F7"/>
    <w:rsid w:val="00D1668C"/>
    <w:rsid w:val="00D16B33"/>
    <w:rsid w:val="00D16C46"/>
    <w:rsid w:val="00D16D25"/>
    <w:rsid w:val="00D17921"/>
    <w:rsid w:val="00D17CDF"/>
    <w:rsid w:val="00D17DFE"/>
    <w:rsid w:val="00D20297"/>
    <w:rsid w:val="00D2044B"/>
    <w:rsid w:val="00D20810"/>
    <w:rsid w:val="00D21268"/>
    <w:rsid w:val="00D21D32"/>
    <w:rsid w:val="00D22003"/>
    <w:rsid w:val="00D22CD5"/>
    <w:rsid w:val="00D22E2C"/>
    <w:rsid w:val="00D23046"/>
    <w:rsid w:val="00D232B8"/>
    <w:rsid w:val="00D234BB"/>
    <w:rsid w:val="00D23AD7"/>
    <w:rsid w:val="00D23BC6"/>
    <w:rsid w:val="00D23BE1"/>
    <w:rsid w:val="00D2432D"/>
    <w:rsid w:val="00D24915"/>
    <w:rsid w:val="00D251B6"/>
    <w:rsid w:val="00D251BA"/>
    <w:rsid w:val="00D2540D"/>
    <w:rsid w:val="00D26095"/>
    <w:rsid w:val="00D26171"/>
    <w:rsid w:val="00D26B6C"/>
    <w:rsid w:val="00D27077"/>
    <w:rsid w:val="00D2712A"/>
    <w:rsid w:val="00D27414"/>
    <w:rsid w:val="00D27DD4"/>
    <w:rsid w:val="00D27ECE"/>
    <w:rsid w:val="00D30C09"/>
    <w:rsid w:val="00D30EF8"/>
    <w:rsid w:val="00D31251"/>
    <w:rsid w:val="00D313D2"/>
    <w:rsid w:val="00D31A9F"/>
    <w:rsid w:val="00D31D81"/>
    <w:rsid w:val="00D32053"/>
    <w:rsid w:val="00D322E4"/>
    <w:rsid w:val="00D32366"/>
    <w:rsid w:val="00D32463"/>
    <w:rsid w:val="00D32560"/>
    <w:rsid w:val="00D32B74"/>
    <w:rsid w:val="00D32D00"/>
    <w:rsid w:val="00D3346F"/>
    <w:rsid w:val="00D3421D"/>
    <w:rsid w:val="00D346F4"/>
    <w:rsid w:val="00D35630"/>
    <w:rsid w:val="00D35970"/>
    <w:rsid w:val="00D36259"/>
    <w:rsid w:val="00D372D4"/>
    <w:rsid w:val="00D373AC"/>
    <w:rsid w:val="00D3742C"/>
    <w:rsid w:val="00D37C74"/>
    <w:rsid w:val="00D37D1E"/>
    <w:rsid w:val="00D37E60"/>
    <w:rsid w:val="00D37F35"/>
    <w:rsid w:val="00D41D98"/>
    <w:rsid w:val="00D4203C"/>
    <w:rsid w:val="00D42DE2"/>
    <w:rsid w:val="00D43363"/>
    <w:rsid w:val="00D433FA"/>
    <w:rsid w:val="00D443A1"/>
    <w:rsid w:val="00D4560C"/>
    <w:rsid w:val="00D45889"/>
    <w:rsid w:val="00D4765E"/>
    <w:rsid w:val="00D476E0"/>
    <w:rsid w:val="00D508CC"/>
    <w:rsid w:val="00D50986"/>
    <w:rsid w:val="00D50C46"/>
    <w:rsid w:val="00D5128C"/>
    <w:rsid w:val="00D512BC"/>
    <w:rsid w:val="00D51707"/>
    <w:rsid w:val="00D51972"/>
    <w:rsid w:val="00D51E04"/>
    <w:rsid w:val="00D52008"/>
    <w:rsid w:val="00D523FC"/>
    <w:rsid w:val="00D52A58"/>
    <w:rsid w:val="00D52C93"/>
    <w:rsid w:val="00D52E77"/>
    <w:rsid w:val="00D53AF1"/>
    <w:rsid w:val="00D53BD0"/>
    <w:rsid w:val="00D53D81"/>
    <w:rsid w:val="00D53DF7"/>
    <w:rsid w:val="00D54E7D"/>
    <w:rsid w:val="00D5549D"/>
    <w:rsid w:val="00D57B55"/>
    <w:rsid w:val="00D57BD3"/>
    <w:rsid w:val="00D57BD5"/>
    <w:rsid w:val="00D6022C"/>
    <w:rsid w:val="00D60A42"/>
    <w:rsid w:val="00D612BC"/>
    <w:rsid w:val="00D61E76"/>
    <w:rsid w:val="00D621EC"/>
    <w:rsid w:val="00D627CB"/>
    <w:rsid w:val="00D62C25"/>
    <w:rsid w:val="00D62C88"/>
    <w:rsid w:val="00D630F2"/>
    <w:rsid w:val="00D6342D"/>
    <w:rsid w:val="00D637B8"/>
    <w:rsid w:val="00D638C0"/>
    <w:rsid w:val="00D63A7A"/>
    <w:rsid w:val="00D648D0"/>
    <w:rsid w:val="00D648FB"/>
    <w:rsid w:val="00D6567B"/>
    <w:rsid w:val="00D656EA"/>
    <w:rsid w:val="00D6637B"/>
    <w:rsid w:val="00D66529"/>
    <w:rsid w:val="00D6737B"/>
    <w:rsid w:val="00D67C33"/>
    <w:rsid w:val="00D70202"/>
    <w:rsid w:val="00D70388"/>
    <w:rsid w:val="00D70C44"/>
    <w:rsid w:val="00D71223"/>
    <w:rsid w:val="00D723A2"/>
    <w:rsid w:val="00D72ED5"/>
    <w:rsid w:val="00D731AE"/>
    <w:rsid w:val="00D73356"/>
    <w:rsid w:val="00D73F82"/>
    <w:rsid w:val="00D75251"/>
    <w:rsid w:val="00D75893"/>
    <w:rsid w:val="00D75E74"/>
    <w:rsid w:val="00D765B1"/>
    <w:rsid w:val="00D766ED"/>
    <w:rsid w:val="00D76E49"/>
    <w:rsid w:val="00D76EA4"/>
    <w:rsid w:val="00D77425"/>
    <w:rsid w:val="00D774A9"/>
    <w:rsid w:val="00D77648"/>
    <w:rsid w:val="00D77907"/>
    <w:rsid w:val="00D77A48"/>
    <w:rsid w:val="00D80364"/>
    <w:rsid w:val="00D808CA"/>
    <w:rsid w:val="00D809C4"/>
    <w:rsid w:val="00D80DB7"/>
    <w:rsid w:val="00D813E6"/>
    <w:rsid w:val="00D81FF7"/>
    <w:rsid w:val="00D82074"/>
    <w:rsid w:val="00D8232E"/>
    <w:rsid w:val="00D82F4D"/>
    <w:rsid w:val="00D837C1"/>
    <w:rsid w:val="00D83AEB"/>
    <w:rsid w:val="00D84024"/>
    <w:rsid w:val="00D8457A"/>
    <w:rsid w:val="00D845F3"/>
    <w:rsid w:val="00D86193"/>
    <w:rsid w:val="00D86663"/>
    <w:rsid w:val="00D867C7"/>
    <w:rsid w:val="00D86C8A"/>
    <w:rsid w:val="00D87463"/>
    <w:rsid w:val="00D875F2"/>
    <w:rsid w:val="00D87A4F"/>
    <w:rsid w:val="00D87D74"/>
    <w:rsid w:val="00D9010F"/>
    <w:rsid w:val="00D90A55"/>
    <w:rsid w:val="00D910EE"/>
    <w:rsid w:val="00D91269"/>
    <w:rsid w:val="00D9139D"/>
    <w:rsid w:val="00D91578"/>
    <w:rsid w:val="00D91B28"/>
    <w:rsid w:val="00D92349"/>
    <w:rsid w:val="00D92A83"/>
    <w:rsid w:val="00D92AB7"/>
    <w:rsid w:val="00D92BC4"/>
    <w:rsid w:val="00D93C04"/>
    <w:rsid w:val="00D93CDB"/>
    <w:rsid w:val="00D948BC"/>
    <w:rsid w:val="00D94B8A"/>
    <w:rsid w:val="00D95266"/>
    <w:rsid w:val="00D954CD"/>
    <w:rsid w:val="00D956DF"/>
    <w:rsid w:val="00D9631B"/>
    <w:rsid w:val="00D966C5"/>
    <w:rsid w:val="00DA00A6"/>
    <w:rsid w:val="00DA0473"/>
    <w:rsid w:val="00DA0FF4"/>
    <w:rsid w:val="00DA1102"/>
    <w:rsid w:val="00DA11C7"/>
    <w:rsid w:val="00DA1767"/>
    <w:rsid w:val="00DA19E5"/>
    <w:rsid w:val="00DA1EF7"/>
    <w:rsid w:val="00DA2325"/>
    <w:rsid w:val="00DA2A8F"/>
    <w:rsid w:val="00DA2B96"/>
    <w:rsid w:val="00DA339A"/>
    <w:rsid w:val="00DA35B1"/>
    <w:rsid w:val="00DA3781"/>
    <w:rsid w:val="00DA40C2"/>
    <w:rsid w:val="00DA47F4"/>
    <w:rsid w:val="00DA558B"/>
    <w:rsid w:val="00DA5D6C"/>
    <w:rsid w:val="00DA6160"/>
    <w:rsid w:val="00DA72EE"/>
    <w:rsid w:val="00DA7A53"/>
    <w:rsid w:val="00DA7F78"/>
    <w:rsid w:val="00DB062B"/>
    <w:rsid w:val="00DB1477"/>
    <w:rsid w:val="00DB1A5F"/>
    <w:rsid w:val="00DB1AE9"/>
    <w:rsid w:val="00DB2293"/>
    <w:rsid w:val="00DB241B"/>
    <w:rsid w:val="00DB288A"/>
    <w:rsid w:val="00DB2C13"/>
    <w:rsid w:val="00DB3D00"/>
    <w:rsid w:val="00DB3D6B"/>
    <w:rsid w:val="00DB3FAE"/>
    <w:rsid w:val="00DB4553"/>
    <w:rsid w:val="00DB468D"/>
    <w:rsid w:val="00DB482C"/>
    <w:rsid w:val="00DB4DF4"/>
    <w:rsid w:val="00DB4F66"/>
    <w:rsid w:val="00DB7229"/>
    <w:rsid w:val="00DB76E6"/>
    <w:rsid w:val="00DB7818"/>
    <w:rsid w:val="00DB7C92"/>
    <w:rsid w:val="00DC0160"/>
    <w:rsid w:val="00DC04CF"/>
    <w:rsid w:val="00DC072A"/>
    <w:rsid w:val="00DC0A60"/>
    <w:rsid w:val="00DC0CF3"/>
    <w:rsid w:val="00DC1348"/>
    <w:rsid w:val="00DC2BFB"/>
    <w:rsid w:val="00DC2C31"/>
    <w:rsid w:val="00DC2E70"/>
    <w:rsid w:val="00DC3133"/>
    <w:rsid w:val="00DC38FA"/>
    <w:rsid w:val="00DC3EF0"/>
    <w:rsid w:val="00DC4180"/>
    <w:rsid w:val="00DC4475"/>
    <w:rsid w:val="00DC45DF"/>
    <w:rsid w:val="00DC4719"/>
    <w:rsid w:val="00DC506A"/>
    <w:rsid w:val="00DC5D3D"/>
    <w:rsid w:val="00DC6E11"/>
    <w:rsid w:val="00DC7727"/>
    <w:rsid w:val="00DD00B3"/>
    <w:rsid w:val="00DD0406"/>
    <w:rsid w:val="00DD0F6E"/>
    <w:rsid w:val="00DD1BF5"/>
    <w:rsid w:val="00DD27E3"/>
    <w:rsid w:val="00DD315B"/>
    <w:rsid w:val="00DD3ED3"/>
    <w:rsid w:val="00DD451D"/>
    <w:rsid w:val="00DD462E"/>
    <w:rsid w:val="00DD494A"/>
    <w:rsid w:val="00DD515B"/>
    <w:rsid w:val="00DD528C"/>
    <w:rsid w:val="00DD615A"/>
    <w:rsid w:val="00DD621E"/>
    <w:rsid w:val="00DD6A54"/>
    <w:rsid w:val="00DD6BE4"/>
    <w:rsid w:val="00DD6FCB"/>
    <w:rsid w:val="00DE0626"/>
    <w:rsid w:val="00DE0A27"/>
    <w:rsid w:val="00DE1083"/>
    <w:rsid w:val="00DE1B91"/>
    <w:rsid w:val="00DE244D"/>
    <w:rsid w:val="00DE25D4"/>
    <w:rsid w:val="00DE2653"/>
    <w:rsid w:val="00DE26B7"/>
    <w:rsid w:val="00DE273B"/>
    <w:rsid w:val="00DE2972"/>
    <w:rsid w:val="00DE2F30"/>
    <w:rsid w:val="00DE32B0"/>
    <w:rsid w:val="00DE3A5C"/>
    <w:rsid w:val="00DE4788"/>
    <w:rsid w:val="00DE542E"/>
    <w:rsid w:val="00DE5556"/>
    <w:rsid w:val="00DE5BC8"/>
    <w:rsid w:val="00DE5F46"/>
    <w:rsid w:val="00DE633E"/>
    <w:rsid w:val="00DE6569"/>
    <w:rsid w:val="00DE6E0B"/>
    <w:rsid w:val="00DE700C"/>
    <w:rsid w:val="00DE7187"/>
    <w:rsid w:val="00DE7C2B"/>
    <w:rsid w:val="00DF0020"/>
    <w:rsid w:val="00DF0426"/>
    <w:rsid w:val="00DF04C1"/>
    <w:rsid w:val="00DF0717"/>
    <w:rsid w:val="00DF0A3B"/>
    <w:rsid w:val="00DF161E"/>
    <w:rsid w:val="00DF1643"/>
    <w:rsid w:val="00DF16AA"/>
    <w:rsid w:val="00DF1BAE"/>
    <w:rsid w:val="00DF21EF"/>
    <w:rsid w:val="00DF242E"/>
    <w:rsid w:val="00DF255D"/>
    <w:rsid w:val="00DF3100"/>
    <w:rsid w:val="00DF39ED"/>
    <w:rsid w:val="00DF453C"/>
    <w:rsid w:val="00DF50AE"/>
    <w:rsid w:val="00DF534F"/>
    <w:rsid w:val="00DF6231"/>
    <w:rsid w:val="00DF6504"/>
    <w:rsid w:val="00DF68E9"/>
    <w:rsid w:val="00DF6F1C"/>
    <w:rsid w:val="00DF7425"/>
    <w:rsid w:val="00DF76C7"/>
    <w:rsid w:val="00DF7868"/>
    <w:rsid w:val="00DF7A1D"/>
    <w:rsid w:val="00E00CF1"/>
    <w:rsid w:val="00E00E1E"/>
    <w:rsid w:val="00E00F64"/>
    <w:rsid w:val="00E013F7"/>
    <w:rsid w:val="00E0141D"/>
    <w:rsid w:val="00E01439"/>
    <w:rsid w:val="00E01572"/>
    <w:rsid w:val="00E01D31"/>
    <w:rsid w:val="00E0259B"/>
    <w:rsid w:val="00E02A1E"/>
    <w:rsid w:val="00E031D2"/>
    <w:rsid w:val="00E03451"/>
    <w:rsid w:val="00E0364E"/>
    <w:rsid w:val="00E03880"/>
    <w:rsid w:val="00E03FCC"/>
    <w:rsid w:val="00E040B6"/>
    <w:rsid w:val="00E056A9"/>
    <w:rsid w:val="00E05772"/>
    <w:rsid w:val="00E0608A"/>
    <w:rsid w:val="00E06096"/>
    <w:rsid w:val="00E06099"/>
    <w:rsid w:val="00E06326"/>
    <w:rsid w:val="00E0637C"/>
    <w:rsid w:val="00E064BF"/>
    <w:rsid w:val="00E06F7B"/>
    <w:rsid w:val="00E078CC"/>
    <w:rsid w:val="00E079E8"/>
    <w:rsid w:val="00E07A0E"/>
    <w:rsid w:val="00E1116B"/>
    <w:rsid w:val="00E116FA"/>
    <w:rsid w:val="00E11CE9"/>
    <w:rsid w:val="00E12066"/>
    <w:rsid w:val="00E12702"/>
    <w:rsid w:val="00E134DD"/>
    <w:rsid w:val="00E14351"/>
    <w:rsid w:val="00E145EB"/>
    <w:rsid w:val="00E1499D"/>
    <w:rsid w:val="00E15087"/>
    <w:rsid w:val="00E154DE"/>
    <w:rsid w:val="00E16D73"/>
    <w:rsid w:val="00E17D47"/>
    <w:rsid w:val="00E209A2"/>
    <w:rsid w:val="00E20D0C"/>
    <w:rsid w:val="00E20F07"/>
    <w:rsid w:val="00E22444"/>
    <w:rsid w:val="00E22618"/>
    <w:rsid w:val="00E2294A"/>
    <w:rsid w:val="00E229A3"/>
    <w:rsid w:val="00E22A45"/>
    <w:rsid w:val="00E22C9A"/>
    <w:rsid w:val="00E23240"/>
    <w:rsid w:val="00E23421"/>
    <w:rsid w:val="00E23445"/>
    <w:rsid w:val="00E235EA"/>
    <w:rsid w:val="00E23D15"/>
    <w:rsid w:val="00E23F6B"/>
    <w:rsid w:val="00E247FB"/>
    <w:rsid w:val="00E24FD8"/>
    <w:rsid w:val="00E25E7E"/>
    <w:rsid w:val="00E260A6"/>
    <w:rsid w:val="00E26194"/>
    <w:rsid w:val="00E263F0"/>
    <w:rsid w:val="00E26665"/>
    <w:rsid w:val="00E26C7A"/>
    <w:rsid w:val="00E26F7E"/>
    <w:rsid w:val="00E270E0"/>
    <w:rsid w:val="00E2745C"/>
    <w:rsid w:val="00E275A8"/>
    <w:rsid w:val="00E27B8E"/>
    <w:rsid w:val="00E30389"/>
    <w:rsid w:val="00E30B63"/>
    <w:rsid w:val="00E30F16"/>
    <w:rsid w:val="00E312DB"/>
    <w:rsid w:val="00E31A19"/>
    <w:rsid w:val="00E3212D"/>
    <w:rsid w:val="00E32A8D"/>
    <w:rsid w:val="00E32C46"/>
    <w:rsid w:val="00E32FC3"/>
    <w:rsid w:val="00E337C0"/>
    <w:rsid w:val="00E33FCC"/>
    <w:rsid w:val="00E35044"/>
    <w:rsid w:val="00E35F55"/>
    <w:rsid w:val="00E36FB3"/>
    <w:rsid w:val="00E377D4"/>
    <w:rsid w:val="00E378DF"/>
    <w:rsid w:val="00E40DEE"/>
    <w:rsid w:val="00E40E34"/>
    <w:rsid w:val="00E41CB0"/>
    <w:rsid w:val="00E426E8"/>
    <w:rsid w:val="00E42F2A"/>
    <w:rsid w:val="00E448B7"/>
    <w:rsid w:val="00E4677F"/>
    <w:rsid w:val="00E46949"/>
    <w:rsid w:val="00E46ADE"/>
    <w:rsid w:val="00E477A7"/>
    <w:rsid w:val="00E47905"/>
    <w:rsid w:val="00E501E5"/>
    <w:rsid w:val="00E50C12"/>
    <w:rsid w:val="00E51114"/>
    <w:rsid w:val="00E51278"/>
    <w:rsid w:val="00E512DD"/>
    <w:rsid w:val="00E517AF"/>
    <w:rsid w:val="00E51836"/>
    <w:rsid w:val="00E52B22"/>
    <w:rsid w:val="00E53812"/>
    <w:rsid w:val="00E54485"/>
    <w:rsid w:val="00E54998"/>
    <w:rsid w:val="00E54DCA"/>
    <w:rsid w:val="00E54E7E"/>
    <w:rsid w:val="00E55C18"/>
    <w:rsid w:val="00E564AE"/>
    <w:rsid w:val="00E565B2"/>
    <w:rsid w:val="00E56E1D"/>
    <w:rsid w:val="00E57104"/>
    <w:rsid w:val="00E573E0"/>
    <w:rsid w:val="00E575E4"/>
    <w:rsid w:val="00E576F5"/>
    <w:rsid w:val="00E57853"/>
    <w:rsid w:val="00E60004"/>
    <w:rsid w:val="00E604B9"/>
    <w:rsid w:val="00E61120"/>
    <w:rsid w:val="00E61347"/>
    <w:rsid w:val="00E625E8"/>
    <w:rsid w:val="00E6293F"/>
    <w:rsid w:val="00E62D66"/>
    <w:rsid w:val="00E62E0C"/>
    <w:rsid w:val="00E63B9B"/>
    <w:rsid w:val="00E64300"/>
    <w:rsid w:val="00E64BEE"/>
    <w:rsid w:val="00E64EDA"/>
    <w:rsid w:val="00E64F04"/>
    <w:rsid w:val="00E65AF0"/>
    <w:rsid w:val="00E65DD5"/>
    <w:rsid w:val="00E6624D"/>
    <w:rsid w:val="00E7143E"/>
    <w:rsid w:val="00E71543"/>
    <w:rsid w:val="00E71DE4"/>
    <w:rsid w:val="00E7229F"/>
    <w:rsid w:val="00E7268B"/>
    <w:rsid w:val="00E72DE5"/>
    <w:rsid w:val="00E72E7A"/>
    <w:rsid w:val="00E731D6"/>
    <w:rsid w:val="00E73F32"/>
    <w:rsid w:val="00E740EE"/>
    <w:rsid w:val="00E74381"/>
    <w:rsid w:val="00E749FE"/>
    <w:rsid w:val="00E75C93"/>
    <w:rsid w:val="00E75F7E"/>
    <w:rsid w:val="00E767B4"/>
    <w:rsid w:val="00E77146"/>
    <w:rsid w:val="00E77277"/>
    <w:rsid w:val="00E773FD"/>
    <w:rsid w:val="00E77815"/>
    <w:rsid w:val="00E80197"/>
    <w:rsid w:val="00E802B0"/>
    <w:rsid w:val="00E808F8"/>
    <w:rsid w:val="00E80E0F"/>
    <w:rsid w:val="00E811F0"/>
    <w:rsid w:val="00E82586"/>
    <w:rsid w:val="00E8270B"/>
    <w:rsid w:val="00E82F1B"/>
    <w:rsid w:val="00E83A61"/>
    <w:rsid w:val="00E84101"/>
    <w:rsid w:val="00E84339"/>
    <w:rsid w:val="00E84384"/>
    <w:rsid w:val="00E84648"/>
    <w:rsid w:val="00E84715"/>
    <w:rsid w:val="00E8490E"/>
    <w:rsid w:val="00E8546E"/>
    <w:rsid w:val="00E855C5"/>
    <w:rsid w:val="00E857D0"/>
    <w:rsid w:val="00E85C08"/>
    <w:rsid w:val="00E8657B"/>
    <w:rsid w:val="00E86A9A"/>
    <w:rsid w:val="00E86CD1"/>
    <w:rsid w:val="00E86D0C"/>
    <w:rsid w:val="00E87FD6"/>
    <w:rsid w:val="00E90AB7"/>
    <w:rsid w:val="00E90D9B"/>
    <w:rsid w:val="00E91600"/>
    <w:rsid w:val="00E91C0F"/>
    <w:rsid w:val="00E91F3D"/>
    <w:rsid w:val="00E931F7"/>
    <w:rsid w:val="00E93D73"/>
    <w:rsid w:val="00E944C7"/>
    <w:rsid w:val="00E945B5"/>
    <w:rsid w:val="00E95309"/>
    <w:rsid w:val="00E95D3C"/>
    <w:rsid w:val="00E95DC1"/>
    <w:rsid w:val="00E95DD1"/>
    <w:rsid w:val="00E95E2A"/>
    <w:rsid w:val="00E978EA"/>
    <w:rsid w:val="00E97980"/>
    <w:rsid w:val="00E97DAD"/>
    <w:rsid w:val="00E97EE9"/>
    <w:rsid w:val="00EA0069"/>
    <w:rsid w:val="00EA0202"/>
    <w:rsid w:val="00EA0E3E"/>
    <w:rsid w:val="00EA18ED"/>
    <w:rsid w:val="00EA1F90"/>
    <w:rsid w:val="00EA2C02"/>
    <w:rsid w:val="00EA3A58"/>
    <w:rsid w:val="00EA3AC5"/>
    <w:rsid w:val="00EA421E"/>
    <w:rsid w:val="00EA4604"/>
    <w:rsid w:val="00EA4DCE"/>
    <w:rsid w:val="00EA5051"/>
    <w:rsid w:val="00EA5690"/>
    <w:rsid w:val="00EA5A4E"/>
    <w:rsid w:val="00EA5C0F"/>
    <w:rsid w:val="00EA6C12"/>
    <w:rsid w:val="00EA7129"/>
    <w:rsid w:val="00EA7999"/>
    <w:rsid w:val="00EB1491"/>
    <w:rsid w:val="00EB1835"/>
    <w:rsid w:val="00EB2099"/>
    <w:rsid w:val="00EB24F0"/>
    <w:rsid w:val="00EB293C"/>
    <w:rsid w:val="00EB326B"/>
    <w:rsid w:val="00EB330A"/>
    <w:rsid w:val="00EB34BE"/>
    <w:rsid w:val="00EB3BB8"/>
    <w:rsid w:val="00EB3CAE"/>
    <w:rsid w:val="00EB3D09"/>
    <w:rsid w:val="00EB3FA2"/>
    <w:rsid w:val="00EB40AF"/>
    <w:rsid w:val="00EB4268"/>
    <w:rsid w:val="00EB5D64"/>
    <w:rsid w:val="00EB60CC"/>
    <w:rsid w:val="00EB6205"/>
    <w:rsid w:val="00EB6838"/>
    <w:rsid w:val="00EB6F49"/>
    <w:rsid w:val="00EB6F4C"/>
    <w:rsid w:val="00EB7C01"/>
    <w:rsid w:val="00EB7D6F"/>
    <w:rsid w:val="00EB7DD5"/>
    <w:rsid w:val="00EC0481"/>
    <w:rsid w:val="00EC0C50"/>
    <w:rsid w:val="00EC1005"/>
    <w:rsid w:val="00EC182E"/>
    <w:rsid w:val="00EC2993"/>
    <w:rsid w:val="00EC2ED6"/>
    <w:rsid w:val="00EC337B"/>
    <w:rsid w:val="00EC371A"/>
    <w:rsid w:val="00EC505C"/>
    <w:rsid w:val="00EC5386"/>
    <w:rsid w:val="00EC568F"/>
    <w:rsid w:val="00EC6033"/>
    <w:rsid w:val="00EC6427"/>
    <w:rsid w:val="00EC7850"/>
    <w:rsid w:val="00EC7929"/>
    <w:rsid w:val="00EC7C8C"/>
    <w:rsid w:val="00ED0B19"/>
    <w:rsid w:val="00ED0D38"/>
    <w:rsid w:val="00ED129F"/>
    <w:rsid w:val="00ED15FA"/>
    <w:rsid w:val="00ED2BD6"/>
    <w:rsid w:val="00ED36A9"/>
    <w:rsid w:val="00ED379F"/>
    <w:rsid w:val="00ED3EFA"/>
    <w:rsid w:val="00ED607E"/>
    <w:rsid w:val="00ED6D6D"/>
    <w:rsid w:val="00ED74D9"/>
    <w:rsid w:val="00ED757E"/>
    <w:rsid w:val="00ED7872"/>
    <w:rsid w:val="00ED7920"/>
    <w:rsid w:val="00ED7FC4"/>
    <w:rsid w:val="00EE0644"/>
    <w:rsid w:val="00EE15AC"/>
    <w:rsid w:val="00EE1C91"/>
    <w:rsid w:val="00EE1E72"/>
    <w:rsid w:val="00EE2123"/>
    <w:rsid w:val="00EE21D1"/>
    <w:rsid w:val="00EE239A"/>
    <w:rsid w:val="00EE2CB0"/>
    <w:rsid w:val="00EE39B0"/>
    <w:rsid w:val="00EE48C6"/>
    <w:rsid w:val="00EE4B5F"/>
    <w:rsid w:val="00EE4C65"/>
    <w:rsid w:val="00EE4E3F"/>
    <w:rsid w:val="00EE500A"/>
    <w:rsid w:val="00EE5068"/>
    <w:rsid w:val="00EE54D2"/>
    <w:rsid w:val="00EE569B"/>
    <w:rsid w:val="00EE6E34"/>
    <w:rsid w:val="00EE6E36"/>
    <w:rsid w:val="00EE6FFD"/>
    <w:rsid w:val="00EF0047"/>
    <w:rsid w:val="00EF040C"/>
    <w:rsid w:val="00EF0974"/>
    <w:rsid w:val="00EF2132"/>
    <w:rsid w:val="00EF2918"/>
    <w:rsid w:val="00EF2B24"/>
    <w:rsid w:val="00EF2FF3"/>
    <w:rsid w:val="00EF3017"/>
    <w:rsid w:val="00EF34D9"/>
    <w:rsid w:val="00EF42B5"/>
    <w:rsid w:val="00EF48F5"/>
    <w:rsid w:val="00EF4A17"/>
    <w:rsid w:val="00EF4C29"/>
    <w:rsid w:val="00EF4CDC"/>
    <w:rsid w:val="00EF4D92"/>
    <w:rsid w:val="00EF4FBB"/>
    <w:rsid w:val="00EF5191"/>
    <w:rsid w:val="00EF54C8"/>
    <w:rsid w:val="00EF5566"/>
    <w:rsid w:val="00EF5A25"/>
    <w:rsid w:val="00EF5A31"/>
    <w:rsid w:val="00EF5EFE"/>
    <w:rsid w:val="00EF64C1"/>
    <w:rsid w:val="00F005F7"/>
    <w:rsid w:val="00F01181"/>
    <w:rsid w:val="00F0194B"/>
    <w:rsid w:val="00F01BDB"/>
    <w:rsid w:val="00F02950"/>
    <w:rsid w:val="00F0305E"/>
    <w:rsid w:val="00F030B7"/>
    <w:rsid w:val="00F0338B"/>
    <w:rsid w:val="00F0385F"/>
    <w:rsid w:val="00F03B83"/>
    <w:rsid w:val="00F03BBE"/>
    <w:rsid w:val="00F042FB"/>
    <w:rsid w:val="00F04477"/>
    <w:rsid w:val="00F04A0B"/>
    <w:rsid w:val="00F04A8A"/>
    <w:rsid w:val="00F04DC8"/>
    <w:rsid w:val="00F05003"/>
    <w:rsid w:val="00F05698"/>
    <w:rsid w:val="00F0572D"/>
    <w:rsid w:val="00F05737"/>
    <w:rsid w:val="00F057E6"/>
    <w:rsid w:val="00F05A81"/>
    <w:rsid w:val="00F06534"/>
    <w:rsid w:val="00F06740"/>
    <w:rsid w:val="00F06E85"/>
    <w:rsid w:val="00F06EEB"/>
    <w:rsid w:val="00F06FCD"/>
    <w:rsid w:val="00F070DC"/>
    <w:rsid w:val="00F07881"/>
    <w:rsid w:val="00F07E9B"/>
    <w:rsid w:val="00F105F0"/>
    <w:rsid w:val="00F10B4D"/>
    <w:rsid w:val="00F11250"/>
    <w:rsid w:val="00F117F8"/>
    <w:rsid w:val="00F11971"/>
    <w:rsid w:val="00F11CE7"/>
    <w:rsid w:val="00F12381"/>
    <w:rsid w:val="00F12456"/>
    <w:rsid w:val="00F1262D"/>
    <w:rsid w:val="00F12912"/>
    <w:rsid w:val="00F12E2E"/>
    <w:rsid w:val="00F12EDA"/>
    <w:rsid w:val="00F130D8"/>
    <w:rsid w:val="00F131C3"/>
    <w:rsid w:val="00F13793"/>
    <w:rsid w:val="00F14606"/>
    <w:rsid w:val="00F14664"/>
    <w:rsid w:val="00F1554E"/>
    <w:rsid w:val="00F159CF"/>
    <w:rsid w:val="00F16515"/>
    <w:rsid w:val="00F17646"/>
    <w:rsid w:val="00F2083D"/>
    <w:rsid w:val="00F20B9A"/>
    <w:rsid w:val="00F21654"/>
    <w:rsid w:val="00F219FB"/>
    <w:rsid w:val="00F22AC8"/>
    <w:rsid w:val="00F22B4F"/>
    <w:rsid w:val="00F22D57"/>
    <w:rsid w:val="00F22FD3"/>
    <w:rsid w:val="00F23285"/>
    <w:rsid w:val="00F233D8"/>
    <w:rsid w:val="00F23A06"/>
    <w:rsid w:val="00F23B51"/>
    <w:rsid w:val="00F24465"/>
    <w:rsid w:val="00F2451A"/>
    <w:rsid w:val="00F24C3D"/>
    <w:rsid w:val="00F251A8"/>
    <w:rsid w:val="00F25F3F"/>
    <w:rsid w:val="00F26BC5"/>
    <w:rsid w:val="00F309DA"/>
    <w:rsid w:val="00F30EDA"/>
    <w:rsid w:val="00F31358"/>
    <w:rsid w:val="00F31836"/>
    <w:rsid w:val="00F31874"/>
    <w:rsid w:val="00F32AA6"/>
    <w:rsid w:val="00F32D05"/>
    <w:rsid w:val="00F32E84"/>
    <w:rsid w:val="00F34838"/>
    <w:rsid w:val="00F3532A"/>
    <w:rsid w:val="00F35921"/>
    <w:rsid w:val="00F35FEA"/>
    <w:rsid w:val="00F36D6C"/>
    <w:rsid w:val="00F36F26"/>
    <w:rsid w:val="00F37524"/>
    <w:rsid w:val="00F41112"/>
    <w:rsid w:val="00F423D3"/>
    <w:rsid w:val="00F42D6E"/>
    <w:rsid w:val="00F42D82"/>
    <w:rsid w:val="00F441DC"/>
    <w:rsid w:val="00F44CC0"/>
    <w:rsid w:val="00F45505"/>
    <w:rsid w:val="00F455A0"/>
    <w:rsid w:val="00F45D68"/>
    <w:rsid w:val="00F45E2E"/>
    <w:rsid w:val="00F4613A"/>
    <w:rsid w:val="00F4711E"/>
    <w:rsid w:val="00F4794A"/>
    <w:rsid w:val="00F47A65"/>
    <w:rsid w:val="00F500A9"/>
    <w:rsid w:val="00F50D43"/>
    <w:rsid w:val="00F515FC"/>
    <w:rsid w:val="00F51D6E"/>
    <w:rsid w:val="00F52CBB"/>
    <w:rsid w:val="00F5357B"/>
    <w:rsid w:val="00F538D9"/>
    <w:rsid w:val="00F5393F"/>
    <w:rsid w:val="00F541E8"/>
    <w:rsid w:val="00F55AB4"/>
    <w:rsid w:val="00F568DF"/>
    <w:rsid w:val="00F56B37"/>
    <w:rsid w:val="00F570F0"/>
    <w:rsid w:val="00F57157"/>
    <w:rsid w:val="00F578BC"/>
    <w:rsid w:val="00F57A71"/>
    <w:rsid w:val="00F603D5"/>
    <w:rsid w:val="00F60511"/>
    <w:rsid w:val="00F60D27"/>
    <w:rsid w:val="00F6168B"/>
    <w:rsid w:val="00F61CBC"/>
    <w:rsid w:val="00F61DBA"/>
    <w:rsid w:val="00F634C4"/>
    <w:rsid w:val="00F63E9D"/>
    <w:rsid w:val="00F641EF"/>
    <w:rsid w:val="00F6505B"/>
    <w:rsid w:val="00F6599E"/>
    <w:rsid w:val="00F65F3E"/>
    <w:rsid w:val="00F66579"/>
    <w:rsid w:val="00F669A8"/>
    <w:rsid w:val="00F67C86"/>
    <w:rsid w:val="00F692B0"/>
    <w:rsid w:val="00F70704"/>
    <w:rsid w:val="00F70AB4"/>
    <w:rsid w:val="00F70BAE"/>
    <w:rsid w:val="00F70FC9"/>
    <w:rsid w:val="00F70FD8"/>
    <w:rsid w:val="00F72012"/>
    <w:rsid w:val="00F721C1"/>
    <w:rsid w:val="00F72F81"/>
    <w:rsid w:val="00F73293"/>
    <w:rsid w:val="00F73E87"/>
    <w:rsid w:val="00F749DF"/>
    <w:rsid w:val="00F74DBB"/>
    <w:rsid w:val="00F75116"/>
    <w:rsid w:val="00F7634F"/>
    <w:rsid w:val="00F77B44"/>
    <w:rsid w:val="00F8090F"/>
    <w:rsid w:val="00F810B7"/>
    <w:rsid w:val="00F82018"/>
    <w:rsid w:val="00F821D6"/>
    <w:rsid w:val="00F82C55"/>
    <w:rsid w:val="00F8318B"/>
    <w:rsid w:val="00F8408A"/>
    <w:rsid w:val="00F8445D"/>
    <w:rsid w:val="00F84F13"/>
    <w:rsid w:val="00F85AC1"/>
    <w:rsid w:val="00F86143"/>
    <w:rsid w:val="00F8669D"/>
    <w:rsid w:val="00F86793"/>
    <w:rsid w:val="00F86D38"/>
    <w:rsid w:val="00F86E36"/>
    <w:rsid w:val="00F8712C"/>
    <w:rsid w:val="00F872AB"/>
    <w:rsid w:val="00F874C6"/>
    <w:rsid w:val="00F87869"/>
    <w:rsid w:val="00F90AAF"/>
    <w:rsid w:val="00F90B48"/>
    <w:rsid w:val="00F90F51"/>
    <w:rsid w:val="00F91BB7"/>
    <w:rsid w:val="00F92582"/>
    <w:rsid w:val="00F92BDA"/>
    <w:rsid w:val="00F935E2"/>
    <w:rsid w:val="00F93908"/>
    <w:rsid w:val="00F93B87"/>
    <w:rsid w:val="00F943EE"/>
    <w:rsid w:val="00F94E0F"/>
    <w:rsid w:val="00F95B0A"/>
    <w:rsid w:val="00F9638D"/>
    <w:rsid w:val="00F96680"/>
    <w:rsid w:val="00F96C6A"/>
    <w:rsid w:val="00F970E1"/>
    <w:rsid w:val="00F97134"/>
    <w:rsid w:val="00F9743F"/>
    <w:rsid w:val="00F97766"/>
    <w:rsid w:val="00FA07D6"/>
    <w:rsid w:val="00FA0A24"/>
    <w:rsid w:val="00FA0C5F"/>
    <w:rsid w:val="00FA103F"/>
    <w:rsid w:val="00FA16A9"/>
    <w:rsid w:val="00FA2034"/>
    <w:rsid w:val="00FA21E5"/>
    <w:rsid w:val="00FA2E7F"/>
    <w:rsid w:val="00FA3059"/>
    <w:rsid w:val="00FA3542"/>
    <w:rsid w:val="00FA3691"/>
    <w:rsid w:val="00FA3D16"/>
    <w:rsid w:val="00FA3DA1"/>
    <w:rsid w:val="00FA48B5"/>
    <w:rsid w:val="00FA4F93"/>
    <w:rsid w:val="00FA5A78"/>
    <w:rsid w:val="00FA5F23"/>
    <w:rsid w:val="00FA5F72"/>
    <w:rsid w:val="00FA618C"/>
    <w:rsid w:val="00FA69EC"/>
    <w:rsid w:val="00FA6C88"/>
    <w:rsid w:val="00FA7234"/>
    <w:rsid w:val="00FA9940"/>
    <w:rsid w:val="00FB0240"/>
    <w:rsid w:val="00FB0A1F"/>
    <w:rsid w:val="00FB0B1A"/>
    <w:rsid w:val="00FB0E55"/>
    <w:rsid w:val="00FB10AA"/>
    <w:rsid w:val="00FB1595"/>
    <w:rsid w:val="00FB19D4"/>
    <w:rsid w:val="00FB1BE0"/>
    <w:rsid w:val="00FB27F8"/>
    <w:rsid w:val="00FB3513"/>
    <w:rsid w:val="00FB368D"/>
    <w:rsid w:val="00FB3E3B"/>
    <w:rsid w:val="00FB429A"/>
    <w:rsid w:val="00FB4847"/>
    <w:rsid w:val="00FB51D9"/>
    <w:rsid w:val="00FB5446"/>
    <w:rsid w:val="00FB5DEF"/>
    <w:rsid w:val="00FB6744"/>
    <w:rsid w:val="00FB674C"/>
    <w:rsid w:val="00FB6AF0"/>
    <w:rsid w:val="00FB7317"/>
    <w:rsid w:val="00FB7FD6"/>
    <w:rsid w:val="00FC04E5"/>
    <w:rsid w:val="00FC07E1"/>
    <w:rsid w:val="00FC0E2E"/>
    <w:rsid w:val="00FC1CB4"/>
    <w:rsid w:val="00FC1EAA"/>
    <w:rsid w:val="00FC26C8"/>
    <w:rsid w:val="00FC2824"/>
    <w:rsid w:val="00FC30C8"/>
    <w:rsid w:val="00FC3728"/>
    <w:rsid w:val="00FC3979"/>
    <w:rsid w:val="00FC3C87"/>
    <w:rsid w:val="00FC3F29"/>
    <w:rsid w:val="00FC4B1D"/>
    <w:rsid w:val="00FC55E3"/>
    <w:rsid w:val="00FC589B"/>
    <w:rsid w:val="00FC5C19"/>
    <w:rsid w:val="00FC618A"/>
    <w:rsid w:val="00FC73A3"/>
    <w:rsid w:val="00FC77D1"/>
    <w:rsid w:val="00FC799F"/>
    <w:rsid w:val="00FC7B15"/>
    <w:rsid w:val="00FC7CD0"/>
    <w:rsid w:val="00FD06B9"/>
    <w:rsid w:val="00FD06DE"/>
    <w:rsid w:val="00FD0985"/>
    <w:rsid w:val="00FD0A66"/>
    <w:rsid w:val="00FD0E21"/>
    <w:rsid w:val="00FD0E6C"/>
    <w:rsid w:val="00FD13E1"/>
    <w:rsid w:val="00FD1450"/>
    <w:rsid w:val="00FD15EB"/>
    <w:rsid w:val="00FD18C4"/>
    <w:rsid w:val="00FD1CD3"/>
    <w:rsid w:val="00FD2B75"/>
    <w:rsid w:val="00FD2E7D"/>
    <w:rsid w:val="00FD2FB2"/>
    <w:rsid w:val="00FD32D7"/>
    <w:rsid w:val="00FD36CA"/>
    <w:rsid w:val="00FD37F2"/>
    <w:rsid w:val="00FD38E9"/>
    <w:rsid w:val="00FD3FA5"/>
    <w:rsid w:val="00FD43D5"/>
    <w:rsid w:val="00FD50B6"/>
    <w:rsid w:val="00FD5414"/>
    <w:rsid w:val="00FD54CD"/>
    <w:rsid w:val="00FD58E3"/>
    <w:rsid w:val="00FD6C05"/>
    <w:rsid w:val="00FD7291"/>
    <w:rsid w:val="00FD74DA"/>
    <w:rsid w:val="00FD756E"/>
    <w:rsid w:val="00FD7878"/>
    <w:rsid w:val="00FD7FC5"/>
    <w:rsid w:val="00FE03B2"/>
    <w:rsid w:val="00FE10AD"/>
    <w:rsid w:val="00FE16E4"/>
    <w:rsid w:val="00FE1824"/>
    <w:rsid w:val="00FE184B"/>
    <w:rsid w:val="00FE1A02"/>
    <w:rsid w:val="00FE1CA2"/>
    <w:rsid w:val="00FE1CD8"/>
    <w:rsid w:val="00FE202D"/>
    <w:rsid w:val="00FE215C"/>
    <w:rsid w:val="00FE23A5"/>
    <w:rsid w:val="00FE277E"/>
    <w:rsid w:val="00FE2A4C"/>
    <w:rsid w:val="00FE3783"/>
    <w:rsid w:val="00FE3B36"/>
    <w:rsid w:val="00FE3E4F"/>
    <w:rsid w:val="00FE3E7A"/>
    <w:rsid w:val="00FE40A6"/>
    <w:rsid w:val="00FE4A7F"/>
    <w:rsid w:val="00FE4DA1"/>
    <w:rsid w:val="00FE5FC7"/>
    <w:rsid w:val="00FE651A"/>
    <w:rsid w:val="00FE697D"/>
    <w:rsid w:val="00FE75FF"/>
    <w:rsid w:val="00FE7A51"/>
    <w:rsid w:val="00FE7BC4"/>
    <w:rsid w:val="00FF06B3"/>
    <w:rsid w:val="00FF0BA5"/>
    <w:rsid w:val="00FF1490"/>
    <w:rsid w:val="00FF14F8"/>
    <w:rsid w:val="00FF16AD"/>
    <w:rsid w:val="00FF2CAC"/>
    <w:rsid w:val="00FF34E8"/>
    <w:rsid w:val="00FF355C"/>
    <w:rsid w:val="00FF43B4"/>
    <w:rsid w:val="00FF46AE"/>
    <w:rsid w:val="00FF4955"/>
    <w:rsid w:val="00FF4A2F"/>
    <w:rsid w:val="00FF4D35"/>
    <w:rsid w:val="00FF50BB"/>
    <w:rsid w:val="00FF5977"/>
    <w:rsid w:val="00FF5D30"/>
    <w:rsid w:val="00FF62F5"/>
    <w:rsid w:val="00FF64F3"/>
    <w:rsid w:val="00FF72C9"/>
    <w:rsid w:val="00FF77FD"/>
    <w:rsid w:val="00FF79F2"/>
    <w:rsid w:val="00FF7DC9"/>
    <w:rsid w:val="01174A31"/>
    <w:rsid w:val="011F02C8"/>
    <w:rsid w:val="012D2680"/>
    <w:rsid w:val="012F9B8F"/>
    <w:rsid w:val="012FF5E1"/>
    <w:rsid w:val="013C31CC"/>
    <w:rsid w:val="0144E268"/>
    <w:rsid w:val="0151D1D5"/>
    <w:rsid w:val="0156C2D2"/>
    <w:rsid w:val="015CF09B"/>
    <w:rsid w:val="015FC5B1"/>
    <w:rsid w:val="0160163A"/>
    <w:rsid w:val="0171F739"/>
    <w:rsid w:val="017B69C6"/>
    <w:rsid w:val="01845E77"/>
    <w:rsid w:val="019019DE"/>
    <w:rsid w:val="019C4F41"/>
    <w:rsid w:val="01A719E1"/>
    <w:rsid w:val="01A768E5"/>
    <w:rsid w:val="01B7E77B"/>
    <w:rsid w:val="01BD6AAD"/>
    <w:rsid w:val="01C004D5"/>
    <w:rsid w:val="01C10339"/>
    <w:rsid w:val="01C4C873"/>
    <w:rsid w:val="01C6B940"/>
    <w:rsid w:val="01CF768F"/>
    <w:rsid w:val="01DCA349"/>
    <w:rsid w:val="01FAAB8B"/>
    <w:rsid w:val="01FAD5EC"/>
    <w:rsid w:val="02060E0E"/>
    <w:rsid w:val="020794FC"/>
    <w:rsid w:val="020EDB94"/>
    <w:rsid w:val="020EF9DC"/>
    <w:rsid w:val="021C6636"/>
    <w:rsid w:val="02454A69"/>
    <w:rsid w:val="0252A162"/>
    <w:rsid w:val="02609A6C"/>
    <w:rsid w:val="0263570B"/>
    <w:rsid w:val="0264D0E8"/>
    <w:rsid w:val="02681488"/>
    <w:rsid w:val="026C7FFE"/>
    <w:rsid w:val="0273F60A"/>
    <w:rsid w:val="027716BD"/>
    <w:rsid w:val="027A3059"/>
    <w:rsid w:val="027CE0DB"/>
    <w:rsid w:val="02927577"/>
    <w:rsid w:val="02A67B55"/>
    <w:rsid w:val="02AA2125"/>
    <w:rsid w:val="02AC78D4"/>
    <w:rsid w:val="02B019D7"/>
    <w:rsid w:val="02B8520D"/>
    <w:rsid w:val="02D2038B"/>
    <w:rsid w:val="02D59870"/>
    <w:rsid w:val="02E037F7"/>
    <w:rsid w:val="02E761AF"/>
    <w:rsid w:val="02EAE8E1"/>
    <w:rsid w:val="02FC17D4"/>
    <w:rsid w:val="030D3579"/>
    <w:rsid w:val="030F5865"/>
    <w:rsid w:val="0311A7FA"/>
    <w:rsid w:val="031913EE"/>
    <w:rsid w:val="0320372B"/>
    <w:rsid w:val="032AC4C4"/>
    <w:rsid w:val="032E7552"/>
    <w:rsid w:val="0333F152"/>
    <w:rsid w:val="033A28D6"/>
    <w:rsid w:val="033B3AC4"/>
    <w:rsid w:val="033D673B"/>
    <w:rsid w:val="033E1F5A"/>
    <w:rsid w:val="0340E1E1"/>
    <w:rsid w:val="0340EB59"/>
    <w:rsid w:val="0344F9F9"/>
    <w:rsid w:val="0348E255"/>
    <w:rsid w:val="034E57F6"/>
    <w:rsid w:val="03554554"/>
    <w:rsid w:val="03583D18"/>
    <w:rsid w:val="0358A537"/>
    <w:rsid w:val="036CF158"/>
    <w:rsid w:val="0380FBFC"/>
    <w:rsid w:val="03848D3A"/>
    <w:rsid w:val="0388228D"/>
    <w:rsid w:val="0394CA5D"/>
    <w:rsid w:val="03A0A9B1"/>
    <w:rsid w:val="03A265AE"/>
    <w:rsid w:val="03B2807C"/>
    <w:rsid w:val="03B295DE"/>
    <w:rsid w:val="03B588A6"/>
    <w:rsid w:val="03BE5188"/>
    <w:rsid w:val="03BF4BF6"/>
    <w:rsid w:val="03C65ED6"/>
    <w:rsid w:val="03CDBA9F"/>
    <w:rsid w:val="03D749B0"/>
    <w:rsid w:val="03DBE887"/>
    <w:rsid w:val="03E02437"/>
    <w:rsid w:val="03F58549"/>
    <w:rsid w:val="0417FACD"/>
    <w:rsid w:val="04294FEC"/>
    <w:rsid w:val="042AAFD8"/>
    <w:rsid w:val="04323049"/>
    <w:rsid w:val="043B0045"/>
    <w:rsid w:val="0447C072"/>
    <w:rsid w:val="044AAA20"/>
    <w:rsid w:val="044B6B8E"/>
    <w:rsid w:val="0465D553"/>
    <w:rsid w:val="046FBA1C"/>
    <w:rsid w:val="0479920B"/>
    <w:rsid w:val="0479B01C"/>
    <w:rsid w:val="048137F3"/>
    <w:rsid w:val="049650D5"/>
    <w:rsid w:val="049B7E32"/>
    <w:rsid w:val="04A094C5"/>
    <w:rsid w:val="04BFA202"/>
    <w:rsid w:val="04CAD40F"/>
    <w:rsid w:val="04CB4F52"/>
    <w:rsid w:val="04CDFC26"/>
    <w:rsid w:val="04DB89FF"/>
    <w:rsid w:val="04E3A26B"/>
    <w:rsid w:val="04F00AC6"/>
    <w:rsid w:val="050ABE3D"/>
    <w:rsid w:val="050C44D3"/>
    <w:rsid w:val="050F4420"/>
    <w:rsid w:val="0510D671"/>
    <w:rsid w:val="051A9514"/>
    <w:rsid w:val="0525ECFE"/>
    <w:rsid w:val="0528701D"/>
    <w:rsid w:val="0528C4A6"/>
    <w:rsid w:val="053E68E0"/>
    <w:rsid w:val="0561CEED"/>
    <w:rsid w:val="0562BC17"/>
    <w:rsid w:val="05691FA3"/>
    <w:rsid w:val="05701CAE"/>
    <w:rsid w:val="0575F8E4"/>
    <w:rsid w:val="05811B8D"/>
    <w:rsid w:val="05893128"/>
    <w:rsid w:val="059EFA96"/>
    <w:rsid w:val="05A029C1"/>
    <w:rsid w:val="05A283D0"/>
    <w:rsid w:val="05A65B92"/>
    <w:rsid w:val="05DB46E5"/>
    <w:rsid w:val="05E7C6F7"/>
    <w:rsid w:val="05F89B4C"/>
    <w:rsid w:val="05FB5C47"/>
    <w:rsid w:val="06033C89"/>
    <w:rsid w:val="060D0B88"/>
    <w:rsid w:val="060E7442"/>
    <w:rsid w:val="0626ACF0"/>
    <w:rsid w:val="0629E792"/>
    <w:rsid w:val="062C1616"/>
    <w:rsid w:val="06332445"/>
    <w:rsid w:val="063DB2FE"/>
    <w:rsid w:val="063DEB3E"/>
    <w:rsid w:val="063EFE51"/>
    <w:rsid w:val="0641430C"/>
    <w:rsid w:val="06454ECB"/>
    <w:rsid w:val="0662748C"/>
    <w:rsid w:val="0666A470"/>
    <w:rsid w:val="066CBA8A"/>
    <w:rsid w:val="066F0AD7"/>
    <w:rsid w:val="0676A8D9"/>
    <w:rsid w:val="068B6917"/>
    <w:rsid w:val="0693A073"/>
    <w:rsid w:val="06BACA6F"/>
    <w:rsid w:val="06C6B58D"/>
    <w:rsid w:val="06CA6217"/>
    <w:rsid w:val="06CBCA58"/>
    <w:rsid w:val="06DA8D02"/>
    <w:rsid w:val="06F7D256"/>
    <w:rsid w:val="06FC1ACB"/>
    <w:rsid w:val="07058481"/>
    <w:rsid w:val="07105CFB"/>
    <w:rsid w:val="07411551"/>
    <w:rsid w:val="074C2DB2"/>
    <w:rsid w:val="076227F4"/>
    <w:rsid w:val="07735631"/>
    <w:rsid w:val="0781E208"/>
    <w:rsid w:val="0786910D"/>
    <w:rsid w:val="079E7B57"/>
    <w:rsid w:val="07A0D2CC"/>
    <w:rsid w:val="07B40504"/>
    <w:rsid w:val="07C503CA"/>
    <w:rsid w:val="07C7AF9E"/>
    <w:rsid w:val="07CBE628"/>
    <w:rsid w:val="07DDDABB"/>
    <w:rsid w:val="07E4ECBF"/>
    <w:rsid w:val="07E56D88"/>
    <w:rsid w:val="07E8A70C"/>
    <w:rsid w:val="07F6FC7F"/>
    <w:rsid w:val="07F93269"/>
    <w:rsid w:val="07FC9F56"/>
    <w:rsid w:val="07FE9449"/>
    <w:rsid w:val="0822697E"/>
    <w:rsid w:val="0826607A"/>
    <w:rsid w:val="08371E21"/>
    <w:rsid w:val="0839C85F"/>
    <w:rsid w:val="083AAB4B"/>
    <w:rsid w:val="0843A21A"/>
    <w:rsid w:val="08447BED"/>
    <w:rsid w:val="0852F0A3"/>
    <w:rsid w:val="0866A6EC"/>
    <w:rsid w:val="0866A85E"/>
    <w:rsid w:val="087C3414"/>
    <w:rsid w:val="08803007"/>
    <w:rsid w:val="088A436E"/>
    <w:rsid w:val="08969C15"/>
    <w:rsid w:val="089DFF77"/>
    <w:rsid w:val="089E523F"/>
    <w:rsid w:val="08A18B92"/>
    <w:rsid w:val="08A2CDAB"/>
    <w:rsid w:val="08ACAC3C"/>
    <w:rsid w:val="08B87C89"/>
    <w:rsid w:val="08BF3714"/>
    <w:rsid w:val="08BF8B77"/>
    <w:rsid w:val="08C15400"/>
    <w:rsid w:val="08DDC8AB"/>
    <w:rsid w:val="08DE27E4"/>
    <w:rsid w:val="08E891DE"/>
    <w:rsid w:val="08E98A07"/>
    <w:rsid w:val="0900C197"/>
    <w:rsid w:val="09115E3B"/>
    <w:rsid w:val="0911F973"/>
    <w:rsid w:val="091B6D73"/>
    <w:rsid w:val="0921DC96"/>
    <w:rsid w:val="09239181"/>
    <w:rsid w:val="09361269"/>
    <w:rsid w:val="09470813"/>
    <w:rsid w:val="09497BCF"/>
    <w:rsid w:val="0952FA1C"/>
    <w:rsid w:val="0960C18C"/>
    <w:rsid w:val="097F4E73"/>
    <w:rsid w:val="0980FBB9"/>
    <w:rsid w:val="09835BBE"/>
    <w:rsid w:val="0984D8A3"/>
    <w:rsid w:val="09868A7A"/>
    <w:rsid w:val="09882327"/>
    <w:rsid w:val="09934D24"/>
    <w:rsid w:val="0997B775"/>
    <w:rsid w:val="09A52537"/>
    <w:rsid w:val="09A7F3D6"/>
    <w:rsid w:val="09AD1960"/>
    <w:rsid w:val="09B17318"/>
    <w:rsid w:val="09B3946F"/>
    <w:rsid w:val="09BAF515"/>
    <w:rsid w:val="09BE79A6"/>
    <w:rsid w:val="09C81B8D"/>
    <w:rsid w:val="09C8210B"/>
    <w:rsid w:val="09CC87DD"/>
    <w:rsid w:val="09D2CFFF"/>
    <w:rsid w:val="09D6763A"/>
    <w:rsid w:val="09D78A07"/>
    <w:rsid w:val="09DA18AE"/>
    <w:rsid w:val="09DE8146"/>
    <w:rsid w:val="09E332AB"/>
    <w:rsid w:val="09E753DB"/>
    <w:rsid w:val="09E9DC20"/>
    <w:rsid w:val="09F49907"/>
    <w:rsid w:val="09F72DEC"/>
    <w:rsid w:val="09FE1001"/>
    <w:rsid w:val="0A206B05"/>
    <w:rsid w:val="0A21AF6C"/>
    <w:rsid w:val="0A3237E9"/>
    <w:rsid w:val="0A34BCC4"/>
    <w:rsid w:val="0A3BA8E1"/>
    <w:rsid w:val="0A3C402C"/>
    <w:rsid w:val="0A3F576A"/>
    <w:rsid w:val="0A43B661"/>
    <w:rsid w:val="0A4CFA6C"/>
    <w:rsid w:val="0A521D5D"/>
    <w:rsid w:val="0A53006B"/>
    <w:rsid w:val="0A64B455"/>
    <w:rsid w:val="0A6F7F00"/>
    <w:rsid w:val="0A70D556"/>
    <w:rsid w:val="0A783225"/>
    <w:rsid w:val="0A784DF7"/>
    <w:rsid w:val="0A8080FE"/>
    <w:rsid w:val="0A995B34"/>
    <w:rsid w:val="0AA4508A"/>
    <w:rsid w:val="0AAA80EE"/>
    <w:rsid w:val="0AAF3541"/>
    <w:rsid w:val="0AB0AC29"/>
    <w:rsid w:val="0AC9B06A"/>
    <w:rsid w:val="0ACDD4B2"/>
    <w:rsid w:val="0AD33187"/>
    <w:rsid w:val="0AD60B77"/>
    <w:rsid w:val="0AD8CCCF"/>
    <w:rsid w:val="0AF17900"/>
    <w:rsid w:val="0AF1C5AE"/>
    <w:rsid w:val="0AF56D20"/>
    <w:rsid w:val="0AFB010F"/>
    <w:rsid w:val="0B0D2C4B"/>
    <w:rsid w:val="0B1F8A7F"/>
    <w:rsid w:val="0B205AD6"/>
    <w:rsid w:val="0B32F7AF"/>
    <w:rsid w:val="0B3F3C43"/>
    <w:rsid w:val="0B402ACD"/>
    <w:rsid w:val="0B4A7360"/>
    <w:rsid w:val="0B4BB4C8"/>
    <w:rsid w:val="0B5B622B"/>
    <w:rsid w:val="0B69C389"/>
    <w:rsid w:val="0B851770"/>
    <w:rsid w:val="0B8705E5"/>
    <w:rsid w:val="0B8BAE24"/>
    <w:rsid w:val="0B934EC8"/>
    <w:rsid w:val="0B97A234"/>
    <w:rsid w:val="0B9C51F5"/>
    <w:rsid w:val="0BA01C15"/>
    <w:rsid w:val="0BA2353C"/>
    <w:rsid w:val="0BB2F7E6"/>
    <w:rsid w:val="0BB94F2C"/>
    <w:rsid w:val="0BBDAF4A"/>
    <w:rsid w:val="0BC98430"/>
    <w:rsid w:val="0BD2A5B9"/>
    <w:rsid w:val="0BD2DD11"/>
    <w:rsid w:val="0BD8B2FC"/>
    <w:rsid w:val="0BDBB571"/>
    <w:rsid w:val="0BEED0CC"/>
    <w:rsid w:val="0BEF2CEF"/>
    <w:rsid w:val="0BFE179E"/>
    <w:rsid w:val="0C2FB2ED"/>
    <w:rsid w:val="0C32CA47"/>
    <w:rsid w:val="0C39BEA6"/>
    <w:rsid w:val="0C414BE9"/>
    <w:rsid w:val="0C41668B"/>
    <w:rsid w:val="0C52D57E"/>
    <w:rsid w:val="0C56D6B8"/>
    <w:rsid w:val="0C5B5444"/>
    <w:rsid w:val="0C7BE9DE"/>
    <w:rsid w:val="0C7C5E4C"/>
    <w:rsid w:val="0C8D49B1"/>
    <w:rsid w:val="0C9250BD"/>
    <w:rsid w:val="0C930312"/>
    <w:rsid w:val="0C983E84"/>
    <w:rsid w:val="0C9AE077"/>
    <w:rsid w:val="0CC47B73"/>
    <w:rsid w:val="0CCB71D4"/>
    <w:rsid w:val="0CDD4A5B"/>
    <w:rsid w:val="0CDDBE29"/>
    <w:rsid w:val="0CE81416"/>
    <w:rsid w:val="0CEAA94C"/>
    <w:rsid w:val="0D08A19E"/>
    <w:rsid w:val="0D0BC2C9"/>
    <w:rsid w:val="0D461B3E"/>
    <w:rsid w:val="0D536E59"/>
    <w:rsid w:val="0D5A1723"/>
    <w:rsid w:val="0D676558"/>
    <w:rsid w:val="0D7FB750"/>
    <w:rsid w:val="0D83684C"/>
    <w:rsid w:val="0D8AA12D"/>
    <w:rsid w:val="0D96F688"/>
    <w:rsid w:val="0D9B90AF"/>
    <w:rsid w:val="0DA7BF59"/>
    <w:rsid w:val="0DAA5122"/>
    <w:rsid w:val="0DC2117D"/>
    <w:rsid w:val="0DD41641"/>
    <w:rsid w:val="0DD60B84"/>
    <w:rsid w:val="0DD85FA4"/>
    <w:rsid w:val="0DE454F9"/>
    <w:rsid w:val="0DE68164"/>
    <w:rsid w:val="0DF67959"/>
    <w:rsid w:val="0DFE82EA"/>
    <w:rsid w:val="0DFECBA7"/>
    <w:rsid w:val="0E107AD5"/>
    <w:rsid w:val="0E14ED63"/>
    <w:rsid w:val="0E18F8F6"/>
    <w:rsid w:val="0E1BD92C"/>
    <w:rsid w:val="0E1C4CE7"/>
    <w:rsid w:val="0E266616"/>
    <w:rsid w:val="0E26AB7B"/>
    <w:rsid w:val="0E275F64"/>
    <w:rsid w:val="0E4FBA95"/>
    <w:rsid w:val="0E6F906C"/>
    <w:rsid w:val="0E6F961F"/>
    <w:rsid w:val="0E9A9ACE"/>
    <w:rsid w:val="0E9B0C65"/>
    <w:rsid w:val="0E9B3271"/>
    <w:rsid w:val="0EB65481"/>
    <w:rsid w:val="0EBF4BE9"/>
    <w:rsid w:val="0EC1EF7F"/>
    <w:rsid w:val="0ECFE456"/>
    <w:rsid w:val="0EDEF86C"/>
    <w:rsid w:val="0F0DDE50"/>
    <w:rsid w:val="0F16272C"/>
    <w:rsid w:val="0F186CE3"/>
    <w:rsid w:val="0F21B509"/>
    <w:rsid w:val="0F2B6A85"/>
    <w:rsid w:val="0F3A3053"/>
    <w:rsid w:val="0F43246B"/>
    <w:rsid w:val="0F4751AD"/>
    <w:rsid w:val="0F502F8E"/>
    <w:rsid w:val="0F5E0563"/>
    <w:rsid w:val="0F602BD8"/>
    <w:rsid w:val="0F64563C"/>
    <w:rsid w:val="0F67D4AE"/>
    <w:rsid w:val="0F71202A"/>
    <w:rsid w:val="0F8716C1"/>
    <w:rsid w:val="0F874041"/>
    <w:rsid w:val="0F87E00F"/>
    <w:rsid w:val="0F8F96EA"/>
    <w:rsid w:val="0F9D3491"/>
    <w:rsid w:val="0F9F57CA"/>
    <w:rsid w:val="0FA44725"/>
    <w:rsid w:val="0FA57EF7"/>
    <w:rsid w:val="0FC7245B"/>
    <w:rsid w:val="0FE5E414"/>
    <w:rsid w:val="0FE712C6"/>
    <w:rsid w:val="0FE8206C"/>
    <w:rsid w:val="0FE916CA"/>
    <w:rsid w:val="0FF1459D"/>
    <w:rsid w:val="0FF3C4F8"/>
    <w:rsid w:val="0FF83ECB"/>
    <w:rsid w:val="0FF86C76"/>
    <w:rsid w:val="10122E77"/>
    <w:rsid w:val="101CFC64"/>
    <w:rsid w:val="102420D3"/>
    <w:rsid w:val="1026479F"/>
    <w:rsid w:val="10267EF3"/>
    <w:rsid w:val="1031999D"/>
    <w:rsid w:val="103C991C"/>
    <w:rsid w:val="103E4841"/>
    <w:rsid w:val="10903E19"/>
    <w:rsid w:val="10A76922"/>
    <w:rsid w:val="10AAB7C6"/>
    <w:rsid w:val="10AD79EE"/>
    <w:rsid w:val="10BB004D"/>
    <w:rsid w:val="10C3C9F6"/>
    <w:rsid w:val="10CC13C4"/>
    <w:rsid w:val="10D714F7"/>
    <w:rsid w:val="10DDA31A"/>
    <w:rsid w:val="10EB324F"/>
    <w:rsid w:val="10EB541B"/>
    <w:rsid w:val="10F9F57B"/>
    <w:rsid w:val="10FD19EA"/>
    <w:rsid w:val="11060C8F"/>
    <w:rsid w:val="1110486C"/>
    <w:rsid w:val="1113AF21"/>
    <w:rsid w:val="1119B08E"/>
    <w:rsid w:val="11249905"/>
    <w:rsid w:val="1124AFE3"/>
    <w:rsid w:val="11378178"/>
    <w:rsid w:val="1152A629"/>
    <w:rsid w:val="115A39A7"/>
    <w:rsid w:val="116BA574"/>
    <w:rsid w:val="118300C7"/>
    <w:rsid w:val="1184CB2F"/>
    <w:rsid w:val="118D001B"/>
    <w:rsid w:val="1194DD32"/>
    <w:rsid w:val="1197F28B"/>
    <w:rsid w:val="1197F98C"/>
    <w:rsid w:val="11A4ED2A"/>
    <w:rsid w:val="11AB02DD"/>
    <w:rsid w:val="11AD2796"/>
    <w:rsid w:val="11BC82BB"/>
    <w:rsid w:val="11C50397"/>
    <w:rsid w:val="11C52B31"/>
    <w:rsid w:val="11CC58E8"/>
    <w:rsid w:val="11E686A3"/>
    <w:rsid w:val="11E89FE6"/>
    <w:rsid w:val="11ECFCA5"/>
    <w:rsid w:val="11F32D1F"/>
    <w:rsid w:val="11F4228F"/>
    <w:rsid w:val="12164E42"/>
    <w:rsid w:val="12231E81"/>
    <w:rsid w:val="1223250F"/>
    <w:rsid w:val="1223981B"/>
    <w:rsid w:val="1224AE39"/>
    <w:rsid w:val="122BDCD2"/>
    <w:rsid w:val="12357F26"/>
    <w:rsid w:val="1241F443"/>
    <w:rsid w:val="1246C25E"/>
    <w:rsid w:val="1246D73F"/>
    <w:rsid w:val="124832DF"/>
    <w:rsid w:val="124E5F23"/>
    <w:rsid w:val="1258E7BF"/>
    <w:rsid w:val="1259BB7F"/>
    <w:rsid w:val="126B63EF"/>
    <w:rsid w:val="1280E309"/>
    <w:rsid w:val="128C600C"/>
    <w:rsid w:val="12A29293"/>
    <w:rsid w:val="12A5A2DA"/>
    <w:rsid w:val="12AB1ECC"/>
    <w:rsid w:val="12AC0C6C"/>
    <w:rsid w:val="12B19BB3"/>
    <w:rsid w:val="12B82BBE"/>
    <w:rsid w:val="12BBDA2E"/>
    <w:rsid w:val="12BCA242"/>
    <w:rsid w:val="12C88FC3"/>
    <w:rsid w:val="12D136E3"/>
    <w:rsid w:val="12D1E09A"/>
    <w:rsid w:val="12D5E28A"/>
    <w:rsid w:val="12DDE028"/>
    <w:rsid w:val="12DE0808"/>
    <w:rsid w:val="12E86F77"/>
    <w:rsid w:val="12E9E759"/>
    <w:rsid w:val="12EC0B1E"/>
    <w:rsid w:val="12F5421D"/>
    <w:rsid w:val="1303D865"/>
    <w:rsid w:val="13269059"/>
    <w:rsid w:val="1331C839"/>
    <w:rsid w:val="1333097B"/>
    <w:rsid w:val="13389578"/>
    <w:rsid w:val="13502B6A"/>
    <w:rsid w:val="1352F5EA"/>
    <w:rsid w:val="1359AD67"/>
    <w:rsid w:val="1360FB92"/>
    <w:rsid w:val="1369ACC5"/>
    <w:rsid w:val="1370AE09"/>
    <w:rsid w:val="137917D7"/>
    <w:rsid w:val="138667EA"/>
    <w:rsid w:val="138C40E1"/>
    <w:rsid w:val="138CE90F"/>
    <w:rsid w:val="138DA6E8"/>
    <w:rsid w:val="139F85A4"/>
    <w:rsid w:val="13A682F0"/>
    <w:rsid w:val="13AEF71B"/>
    <w:rsid w:val="13BA6526"/>
    <w:rsid w:val="13CAD389"/>
    <w:rsid w:val="13D24C42"/>
    <w:rsid w:val="13D7310D"/>
    <w:rsid w:val="13DADF59"/>
    <w:rsid w:val="14266DC8"/>
    <w:rsid w:val="1430E6BA"/>
    <w:rsid w:val="144B7641"/>
    <w:rsid w:val="144BA88A"/>
    <w:rsid w:val="145430AF"/>
    <w:rsid w:val="1455AE5B"/>
    <w:rsid w:val="1459B503"/>
    <w:rsid w:val="145F8769"/>
    <w:rsid w:val="146EC1B0"/>
    <w:rsid w:val="14719836"/>
    <w:rsid w:val="14760328"/>
    <w:rsid w:val="14817648"/>
    <w:rsid w:val="149550F6"/>
    <w:rsid w:val="1495C6C8"/>
    <w:rsid w:val="149C3BE3"/>
    <w:rsid w:val="149FA8C6"/>
    <w:rsid w:val="14A3543E"/>
    <w:rsid w:val="14A41EF8"/>
    <w:rsid w:val="14AB7C76"/>
    <w:rsid w:val="14AC4C6D"/>
    <w:rsid w:val="14CA22A8"/>
    <w:rsid w:val="14CFBA9D"/>
    <w:rsid w:val="14D3FBE3"/>
    <w:rsid w:val="14DA7C0D"/>
    <w:rsid w:val="14E7ED6B"/>
    <w:rsid w:val="14EEBB15"/>
    <w:rsid w:val="150087DF"/>
    <w:rsid w:val="1506E172"/>
    <w:rsid w:val="1526C76A"/>
    <w:rsid w:val="1528FE67"/>
    <w:rsid w:val="1529756E"/>
    <w:rsid w:val="152DB561"/>
    <w:rsid w:val="153B59F5"/>
    <w:rsid w:val="1546D406"/>
    <w:rsid w:val="154FBF69"/>
    <w:rsid w:val="1553D9B8"/>
    <w:rsid w:val="156594C6"/>
    <w:rsid w:val="157BF0E4"/>
    <w:rsid w:val="157D0CFD"/>
    <w:rsid w:val="159B34CC"/>
    <w:rsid w:val="15A4E702"/>
    <w:rsid w:val="15C0E5E0"/>
    <w:rsid w:val="15C26F9D"/>
    <w:rsid w:val="15DD2BDF"/>
    <w:rsid w:val="15DE468F"/>
    <w:rsid w:val="15E07E1F"/>
    <w:rsid w:val="15E3E73A"/>
    <w:rsid w:val="15F3ACC6"/>
    <w:rsid w:val="15F9B00A"/>
    <w:rsid w:val="160A4BA5"/>
    <w:rsid w:val="1626CE12"/>
    <w:rsid w:val="16321C27"/>
    <w:rsid w:val="1635DDDA"/>
    <w:rsid w:val="163605B4"/>
    <w:rsid w:val="163B7927"/>
    <w:rsid w:val="165D75EF"/>
    <w:rsid w:val="1667028D"/>
    <w:rsid w:val="167C1947"/>
    <w:rsid w:val="168887EA"/>
    <w:rsid w:val="168AB22E"/>
    <w:rsid w:val="16ABE1E4"/>
    <w:rsid w:val="16BA52F0"/>
    <w:rsid w:val="16BF4A6B"/>
    <w:rsid w:val="16DEFD4F"/>
    <w:rsid w:val="16E87E6C"/>
    <w:rsid w:val="16E9F743"/>
    <w:rsid w:val="16EC0608"/>
    <w:rsid w:val="16F2EEAD"/>
    <w:rsid w:val="16F4BA14"/>
    <w:rsid w:val="16F6A5F4"/>
    <w:rsid w:val="1719BF35"/>
    <w:rsid w:val="1722B9ED"/>
    <w:rsid w:val="172572A0"/>
    <w:rsid w:val="172BFEAD"/>
    <w:rsid w:val="17353106"/>
    <w:rsid w:val="176346AE"/>
    <w:rsid w:val="1768AA86"/>
    <w:rsid w:val="176B42B9"/>
    <w:rsid w:val="1774AC89"/>
    <w:rsid w:val="177CDFC2"/>
    <w:rsid w:val="177F6566"/>
    <w:rsid w:val="178A0001"/>
    <w:rsid w:val="17A5C3B6"/>
    <w:rsid w:val="17AA06D0"/>
    <w:rsid w:val="17C30E6A"/>
    <w:rsid w:val="17D19FBF"/>
    <w:rsid w:val="17DA4F80"/>
    <w:rsid w:val="17DA958F"/>
    <w:rsid w:val="17EE1F3C"/>
    <w:rsid w:val="17F4EE36"/>
    <w:rsid w:val="17F6B130"/>
    <w:rsid w:val="17F8F158"/>
    <w:rsid w:val="18046975"/>
    <w:rsid w:val="1804DE80"/>
    <w:rsid w:val="1812C65D"/>
    <w:rsid w:val="181420A8"/>
    <w:rsid w:val="181686E5"/>
    <w:rsid w:val="183D055C"/>
    <w:rsid w:val="1848085E"/>
    <w:rsid w:val="184FE3AF"/>
    <w:rsid w:val="18509DA9"/>
    <w:rsid w:val="1856E048"/>
    <w:rsid w:val="186714A8"/>
    <w:rsid w:val="186D14F5"/>
    <w:rsid w:val="18784450"/>
    <w:rsid w:val="18824223"/>
    <w:rsid w:val="188452C4"/>
    <w:rsid w:val="18935DC3"/>
    <w:rsid w:val="189E1D5A"/>
    <w:rsid w:val="18AD4C07"/>
    <w:rsid w:val="18D27504"/>
    <w:rsid w:val="18D622C3"/>
    <w:rsid w:val="18D995F9"/>
    <w:rsid w:val="18E0C613"/>
    <w:rsid w:val="18EB1CF1"/>
    <w:rsid w:val="19079C7A"/>
    <w:rsid w:val="190D5E0C"/>
    <w:rsid w:val="1912F770"/>
    <w:rsid w:val="1923D838"/>
    <w:rsid w:val="1923EDDA"/>
    <w:rsid w:val="19248FED"/>
    <w:rsid w:val="192B6733"/>
    <w:rsid w:val="192EA280"/>
    <w:rsid w:val="1930E366"/>
    <w:rsid w:val="193BF607"/>
    <w:rsid w:val="1945D4AE"/>
    <w:rsid w:val="1947C62E"/>
    <w:rsid w:val="194E7745"/>
    <w:rsid w:val="19520D5B"/>
    <w:rsid w:val="1961DA2E"/>
    <w:rsid w:val="19630097"/>
    <w:rsid w:val="19663C1B"/>
    <w:rsid w:val="196989A4"/>
    <w:rsid w:val="199248E9"/>
    <w:rsid w:val="1993270B"/>
    <w:rsid w:val="1995521A"/>
    <w:rsid w:val="1999BE04"/>
    <w:rsid w:val="19A2AD47"/>
    <w:rsid w:val="19B11B0E"/>
    <w:rsid w:val="19C6BB6C"/>
    <w:rsid w:val="19CC148A"/>
    <w:rsid w:val="19CFFFAD"/>
    <w:rsid w:val="19D22B29"/>
    <w:rsid w:val="19D5A1CE"/>
    <w:rsid w:val="19E72362"/>
    <w:rsid w:val="19EAF042"/>
    <w:rsid w:val="19F56FBE"/>
    <w:rsid w:val="19F6B19E"/>
    <w:rsid w:val="1A0A6F35"/>
    <w:rsid w:val="1A0B3EDD"/>
    <w:rsid w:val="1A1536D0"/>
    <w:rsid w:val="1A1A518E"/>
    <w:rsid w:val="1A1BFD6C"/>
    <w:rsid w:val="1A29F086"/>
    <w:rsid w:val="1A32184E"/>
    <w:rsid w:val="1A3D34B3"/>
    <w:rsid w:val="1A6627DE"/>
    <w:rsid w:val="1A768766"/>
    <w:rsid w:val="1A78710C"/>
    <w:rsid w:val="1A80370F"/>
    <w:rsid w:val="1A911DDF"/>
    <w:rsid w:val="1A939201"/>
    <w:rsid w:val="1A947163"/>
    <w:rsid w:val="1ABD3589"/>
    <w:rsid w:val="1AC1920E"/>
    <w:rsid w:val="1AC1B882"/>
    <w:rsid w:val="1ACAF67D"/>
    <w:rsid w:val="1AD50E2B"/>
    <w:rsid w:val="1ADABDE4"/>
    <w:rsid w:val="1AE04CDA"/>
    <w:rsid w:val="1AE304D7"/>
    <w:rsid w:val="1AE36362"/>
    <w:rsid w:val="1AF49752"/>
    <w:rsid w:val="1AF7DE49"/>
    <w:rsid w:val="1B04A5E7"/>
    <w:rsid w:val="1B072C97"/>
    <w:rsid w:val="1B0A8616"/>
    <w:rsid w:val="1B0F943D"/>
    <w:rsid w:val="1B1295C2"/>
    <w:rsid w:val="1B12D9A6"/>
    <w:rsid w:val="1B273D93"/>
    <w:rsid w:val="1B888A95"/>
    <w:rsid w:val="1B97BBB3"/>
    <w:rsid w:val="1BA8E2DD"/>
    <w:rsid w:val="1BB1AA5D"/>
    <w:rsid w:val="1BC7F559"/>
    <w:rsid w:val="1BDCCB99"/>
    <w:rsid w:val="1BEDA0D5"/>
    <w:rsid w:val="1BF9391B"/>
    <w:rsid w:val="1C074CC4"/>
    <w:rsid w:val="1C0E57FB"/>
    <w:rsid w:val="1C1240C0"/>
    <w:rsid w:val="1C1407F7"/>
    <w:rsid w:val="1C1964CC"/>
    <w:rsid w:val="1C37D262"/>
    <w:rsid w:val="1C3CC2E8"/>
    <w:rsid w:val="1C454D07"/>
    <w:rsid w:val="1C5114BA"/>
    <w:rsid w:val="1C5A927D"/>
    <w:rsid w:val="1C61802F"/>
    <w:rsid w:val="1C62ED5C"/>
    <w:rsid w:val="1C64BB46"/>
    <w:rsid w:val="1C666AFF"/>
    <w:rsid w:val="1C6CF230"/>
    <w:rsid w:val="1C72A15D"/>
    <w:rsid w:val="1C739A28"/>
    <w:rsid w:val="1C77451A"/>
    <w:rsid w:val="1C8C2D4A"/>
    <w:rsid w:val="1CA65565"/>
    <w:rsid w:val="1CA9791C"/>
    <w:rsid w:val="1CAD478C"/>
    <w:rsid w:val="1CB2196C"/>
    <w:rsid w:val="1CB406DC"/>
    <w:rsid w:val="1CB569E7"/>
    <w:rsid w:val="1CD9B98E"/>
    <w:rsid w:val="1CDB0685"/>
    <w:rsid w:val="1CE81E0F"/>
    <w:rsid w:val="1CF975FD"/>
    <w:rsid w:val="1CFC95E0"/>
    <w:rsid w:val="1D1515C9"/>
    <w:rsid w:val="1D209B08"/>
    <w:rsid w:val="1D28AB29"/>
    <w:rsid w:val="1D28E1C9"/>
    <w:rsid w:val="1D2DDE4C"/>
    <w:rsid w:val="1D6274B5"/>
    <w:rsid w:val="1D62D488"/>
    <w:rsid w:val="1D704CC1"/>
    <w:rsid w:val="1D774942"/>
    <w:rsid w:val="1D7CF6BD"/>
    <w:rsid w:val="1D7D5D69"/>
    <w:rsid w:val="1D858B0F"/>
    <w:rsid w:val="1D8EF371"/>
    <w:rsid w:val="1DA63BE3"/>
    <w:rsid w:val="1DBF5B25"/>
    <w:rsid w:val="1DD2B3F9"/>
    <w:rsid w:val="1DEE02F1"/>
    <w:rsid w:val="1DF3A057"/>
    <w:rsid w:val="1DF581F2"/>
    <w:rsid w:val="1E044F98"/>
    <w:rsid w:val="1E07E0BA"/>
    <w:rsid w:val="1E08FBDD"/>
    <w:rsid w:val="1E207820"/>
    <w:rsid w:val="1E26974D"/>
    <w:rsid w:val="1E310E27"/>
    <w:rsid w:val="1E37E15B"/>
    <w:rsid w:val="1E4422C8"/>
    <w:rsid w:val="1E470BE6"/>
    <w:rsid w:val="1E4DCE2F"/>
    <w:rsid w:val="1E57CAF4"/>
    <w:rsid w:val="1E5802D7"/>
    <w:rsid w:val="1E59D19E"/>
    <w:rsid w:val="1E65F96F"/>
    <w:rsid w:val="1E7227B8"/>
    <w:rsid w:val="1E7BFC3E"/>
    <w:rsid w:val="1E8D75A9"/>
    <w:rsid w:val="1E925C12"/>
    <w:rsid w:val="1E933EC7"/>
    <w:rsid w:val="1E9BFCC3"/>
    <w:rsid w:val="1E9ED999"/>
    <w:rsid w:val="1EB558EE"/>
    <w:rsid w:val="1EBCB422"/>
    <w:rsid w:val="1EBDB6B8"/>
    <w:rsid w:val="1ED5C968"/>
    <w:rsid w:val="1EDB015D"/>
    <w:rsid w:val="1EE593BF"/>
    <w:rsid w:val="1F09B7F5"/>
    <w:rsid w:val="1F1CB637"/>
    <w:rsid w:val="1F1E256A"/>
    <w:rsid w:val="1F24BA55"/>
    <w:rsid w:val="1F287679"/>
    <w:rsid w:val="1F310E36"/>
    <w:rsid w:val="1F3E00FE"/>
    <w:rsid w:val="1F3F70AB"/>
    <w:rsid w:val="1F494F12"/>
    <w:rsid w:val="1F4A3CA4"/>
    <w:rsid w:val="1F4AF22F"/>
    <w:rsid w:val="1F52749C"/>
    <w:rsid w:val="1F67F3A2"/>
    <w:rsid w:val="1F755002"/>
    <w:rsid w:val="1F79EC06"/>
    <w:rsid w:val="1F8772EE"/>
    <w:rsid w:val="1F8B139F"/>
    <w:rsid w:val="1F93B64A"/>
    <w:rsid w:val="1F93ECDB"/>
    <w:rsid w:val="1F9A8BB8"/>
    <w:rsid w:val="1F9F0953"/>
    <w:rsid w:val="1FA007AA"/>
    <w:rsid w:val="1FAF64F8"/>
    <w:rsid w:val="1FB0EEED"/>
    <w:rsid w:val="1FC23557"/>
    <w:rsid w:val="1FE47C93"/>
    <w:rsid w:val="1FF4BA9C"/>
    <w:rsid w:val="1FF61057"/>
    <w:rsid w:val="1FFEBD73"/>
    <w:rsid w:val="2006A91E"/>
    <w:rsid w:val="200CA1F2"/>
    <w:rsid w:val="202764D7"/>
    <w:rsid w:val="20277FA2"/>
    <w:rsid w:val="202B64E9"/>
    <w:rsid w:val="20392610"/>
    <w:rsid w:val="204879BF"/>
    <w:rsid w:val="204E8F1F"/>
    <w:rsid w:val="20571D9C"/>
    <w:rsid w:val="205993D3"/>
    <w:rsid w:val="206FC4F5"/>
    <w:rsid w:val="20723141"/>
    <w:rsid w:val="20871129"/>
    <w:rsid w:val="208BE473"/>
    <w:rsid w:val="208E2661"/>
    <w:rsid w:val="208FF83D"/>
    <w:rsid w:val="2092D6F8"/>
    <w:rsid w:val="20A744BD"/>
    <w:rsid w:val="20B31405"/>
    <w:rsid w:val="20B88698"/>
    <w:rsid w:val="20BA076B"/>
    <w:rsid w:val="20BBE2E7"/>
    <w:rsid w:val="20C36F79"/>
    <w:rsid w:val="20C4E36C"/>
    <w:rsid w:val="20CCF006"/>
    <w:rsid w:val="20DC169B"/>
    <w:rsid w:val="20E51F73"/>
    <w:rsid w:val="20E96D78"/>
    <w:rsid w:val="20ED07C8"/>
    <w:rsid w:val="20F0E813"/>
    <w:rsid w:val="20F4DE41"/>
    <w:rsid w:val="2107A02B"/>
    <w:rsid w:val="2107B9F8"/>
    <w:rsid w:val="2110DE20"/>
    <w:rsid w:val="21120376"/>
    <w:rsid w:val="2130B069"/>
    <w:rsid w:val="213383C0"/>
    <w:rsid w:val="21343933"/>
    <w:rsid w:val="2134A16F"/>
    <w:rsid w:val="2134FDB0"/>
    <w:rsid w:val="2138AD04"/>
    <w:rsid w:val="213DE84C"/>
    <w:rsid w:val="213E85FC"/>
    <w:rsid w:val="2158AD74"/>
    <w:rsid w:val="217C81F8"/>
    <w:rsid w:val="2182445E"/>
    <w:rsid w:val="218F61FF"/>
    <w:rsid w:val="219B1CF6"/>
    <w:rsid w:val="21A68F99"/>
    <w:rsid w:val="21AC498B"/>
    <w:rsid w:val="21D748BE"/>
    <w:rsid w:val="21EEF80F"/>
    <w:rsid w:val="2204506E"/>
    <w:rsid w:val="2214CFE4"/>
    <w:rsid w:val="22253133"/>
    <w:rsid w:val="2234B214"/>
    <w:rsid w:val="2237C094"/>
    <w:rsid w:val="22415FD5"/>
    <w:rsid w:val="224F7ED8"/>
    <w:rsid w:val="22511D70"/>
    <w:rsid w:val="22687A9F"/>
    <w:rsid w:val="22787ED2"/>
    <w:rsid w:val="227D4D1E"/>
    <w:rsid w:val="2290B721"/>
    <w:rsid w:val="22A35DF6"/>
    <w:rsid w:val="22B0F2C8"/>
    <w:rsid w:val="22B2EB6D"/>
    <w:rsid w:val="22B60592"/>
    <w:rsid w:val="22D269A0"/>
    <w:rsid w:val="22D504FA"/>
    <w:rsid w:val="22D53F40"/>
    <w:rsid w:val="22DB2491"/>
    <w:rsid w:val="22DD8D09"/>
    <w:rsid w:val="22DF2376"/>
    <w:rsid w:val="22E25560"/>
    <w:rsid w:val="22EAC332"/>
    <w:rsid w:val="22F3C7DB"/>
    <w:rsid w:val="22F52940"/>
    <w:rsid w:val="22FA1E1A"/>
    <w:rsid w:val="2303B946"/>
    <w:rsid w:val="23047F4A"/>
    <w:rsid w:val="2312308E"/>
    <w:rsid w:val="231F92EF"/>
    <w:rsid w:val="231FF93A"/>
    <w:rsid w:val="23276938"/>
    <w:rsid w:val="2329E35B"/>
    <w:rsid w:val="232E631C"/>
    <w:rsid w:val="232F9CA4"/>
    <w:rsid w:val="2331911C"/>
    <w:rsid w:val="233288B6"/>
    <w:rsid w:val="2338C6AD"/>
    <w:rsid w:val="233B1493"/>
    <w:rsid w:val="233C652A"/>
    <w:rsid w:val="233FDF05"/>
    <w:rsid w:val="23416B2D"/>
    <w:rsid w:val="23446DC1"/>
    <w:rsid w:val="2352B114"/>
    <w:rsid w:val="235DB996"/>
    <w:rsid w:val="2360980D"/>
    <w:rsid w:val="23691916"/>
    <w:rsid w:val="238729D6"/>
    <w:rsid w:val="2388FF0E"/>
    <w:rsid w:val="238F8FE9"/>
    <w:rsid w:val="23926AB1"/>
    <w:rsid w:val="23A41C6B"/>
    <w:rsid w:val="23A69523"/>
    <w:rsid w:val="23ADEFB0"/>
    <w:rsid w:val="23BC1F38"/>
    <w:rsid w:val="23BE9043"/>
    <w:rsid w:val="23BF9679"/>
    <w:rsid w:val="23CEDA05"/>
    <w:rsid w:val="23D803F2"/>
    <w:rsid w:val="23E104CE"/>
    <w:rsid w:val="23E3816D"/>
    <w:rsid w:val="23E8A290"/>
    <w:rsid w:val="23EB0ACE"/>
    <w:rsid w:val="23F0889E"/>
    <w:rsid w:val="23F17856"/>
    <w:rsid w:val="23F68831"/>
    <w:rsid w:val="23F9A9DA"/>
    <w:rsid w:val="2408E502"/>
    <w:rsid w:val="240C9CF0"/>
    <w:rsid w:val="242E4682"/>
    <w:rsid w:val="242F6157"/>
    <w:rsid w:val="243A107F"/>
    <w:rsid w:val="243A13EB"/>
    <w:rsid w:val="243D1106"/>
    <w:rsid w:val="244B2D2C"/>
    <w:rsid w:val="245A8341"/>
    <w:rsid w:val="2462E1DB"/>
    <w:rsid w:val="246CDD58"/>
    <w:rsid w:val="246D8A0C"/>
    <w:rsid w:val="247A324B"/>
    <w:rsid w:val="247F7321"/>
    <w:rsid w:val="2481A37E"/>
    <w:rsid w:val="24900A1E"/>
    <w:rsid w:val="24911CC2"/>
    <w:rsid w:val="2491B698"/>
    <w:rsid w:val="24AD9E60"/>
    <w:rsid w:val="24C047B1"/>
    <w:rsid w:val="24C823AE"/>
    <w:rsid w:val="24C872AE"/>
    <w:rsid w:val="24C8AD09"/>
    <w:rsid w:val="24D16B04"/>
    <w:rsid w:val="24DF167F"/>
    <w:rsid w:val="24EBAB67"/>
    <w:rsid w:val="24EDE9FD"/>
    <w:rsid w:val="24EEEE29"/>
    <w:rsid w:val="24F14CFF"/>
    <w:rsid w:val="251E417E"/>
    <w:rsid w:val="2522F989"/>
    <w:rsid w:val="2525314B"/>
    <w:rsid w:val="252E3803"/>
    <w:rsid w:val="253ADA13"/>
    <w:rsid w:val="253E3A54"/>
    <w:rsid w:val="2545F9D3"/>
    <w:rsid w:val="256D2743"/>
    <w:rsid w:val="256E695F"/>
    <w:rsid w:val="25765738"/>
    <w:rsid w:val="2576990E"/>
    <w:rsid w:val="257EB86A"/>
    <w:rsid w:val="25814C20"/>
    <w:rsid w:val="258B6BB1"/>
    <w:rsid w:val="259C8330"/>
    <w:rsid w:val="25AB831B"/>
    <w:rsid w:val="25AEC4F1"/>
    <w:rsid w:val="25AEECF7"/>
    <w:rsid w:val="25B0C0BD"/>
    <w:rsid w:val="25BDE75D"/>
    <w:rsid w:val="25C4D5C4"/>
    <w:rsid w:val="25C749F9"/>
    <w:rsid w:val="25D7BD16"/>
    <w:rsid w:val="25DA1867"/>
    <w:rsid w:val="25DA4F71"/>
    <w:rsid w:val="25DA8F1C"/>
    <w:rsid w:val="25DE99C1"/>
    <w:rsid w:val="25FA8AFC"/>
    <w:rsid w:val="26168736"/>
    <w:rsid w:val="261ED94D"/>
    <w:rsid w:val="261EF52E"/>
    <w:rsid w:val="262932D4"/>
    <w:rsid w:val="26294921"/>
    <w:rsid w:val="26355866"/>
    <w:rsid w:val="263CA413"/>
    <w:rsid w:val="264A2788"/>
    <w:rsid w:val="264DCB5C"/>
    <w:rsid w:val="2659DA5B"/>
    <w:rsid w:val="266205E4"/>
    <w:rsid w:val="2668A222"/>
    <w:rsid w:val="26722598"/>
    <w:rsid w:val="26861E38"/>
    <w:rsid w:val="2692B7DD"/>
    <w:rsid w:val="26960EE3"/>
    <w:rsid w:val="26A1951B"/>
    <w:rsid w:val="26B20A6C"/>
    <w:rsid w:val="26BAC67A"/>
    <w:rsid w:val="26BE8866"/>
    <w:rsid w:val="26C101AC"/>
    <w:rsid w:val="26CB2129"/>
    <w:rsid w:val="26DE7E0C"/>
    <w:rsid w:val="26E9CC5A"/>
    <w:rsid w:val="27012337"/>
    <w:rsid w:val="27035422"/>
    <w:rsid w:val="270952C1"/>
    <w:rsid w:val="271B3589"/>
    <w:rsid w:val="2738E217"/>
    <w:rsid w:val="27489249"/>
    <w:rsid w:val="274A7372"/>
    <w:rsid w:val="274DBD48"/>
    <w:rsid w:val="274F0A84"/>
    <w:rsid w:val="274F3D4F"/>
    <w:rsid w:val="2773C1F2"/>
    <w:rsid w:val="2779004B"/>
    <w:rsid w:val="2792BABE"/>
    <w:rsid w:val="279AA62B"/>
    <w:rsid w:val="27A11566"/>
    <w:rsid w:val="27ABDB99"/>
    <w:rsid w:val="27AE5EC6"/>
    <w:rsid w:val="27B23CB7"/>
    <w:rsid w:val="27BA7F49"/>
    <w:rsid w:val="27C14E7D"/>
    <w:rsid w:val="27C846CF"/>
    <w:rsid w:val="27DB3DC3"/>
    <w:rsid w:val="27E316FD"/>
    <w:rsid w:val="27E84E85"/>
    <w:rsid w:val="27E9B25B"/>
    <w:rsid w:val="27EDC4AC"/>
    <w:rsid w:val="27EE22D8"/>
    <w:rsid w:val="27EEF542"/>
    <w:rsid w:val="27FC2E2B"/>
    <w:rsid w:val="27FE3B2F"/>
    <w:rsid w:val="28036E0E"/>
    <w:rsid w:val="28084E69"/>
    <w:rsid w:val="2814B9F8"/>
    <w:rsid w:val="281630A6"/>
    <w:rsid w:val="28312AB9"/>
    <w:rsid w:val="28333155"/>
    <w:rsid w:val="28440014"/>
    <w:rsid w:val="2844CCB6"/>
    <w:rsid w:val="28463A05"/>
    <w:rsid w:val="2849645A"/>
    <w:rsid w:val="2851DCF2"/>
    <w:rsid w:val="285CD20D"/>
    <w:rsid w:val="286DC977"/>
    <w:rsid w:val="286E2AF2"/>
    <w:rsid w:val="2870DA46"/>
    <w:rsid w:val="28768A15"/>
    <w:rsid w:val="287ED7C1"/>
    <w:rsid w:val="28852C49"/>
    <w:rsid w:val="289C4BD1"/>
    <w:rsid w:val="289CBC0B"/>
    <w:rsid w:val="28A2D3BC"/>
    <w:rsid w:val="28BD2EE3"/>
    <w:rsid w:val="28BF91E4"/>
    <w:rsid w:val="28CE19C6"/>
    <w:rsid w:val="28D6E500"/>
    <w:rsid w:val="28DEBF77"/>
    <w:rsid w:val="28E587C8"/>
    <w:rsid w:val="28EC9D57"/>
    <w:rsid w:val="28F154EE"/>
    <w:rsid w:val="28F3409C"/>
    <w:rsid w:val="28F38F74"/>
    <w:rsid w:val="28FD3EB7"/>
    <w:rsid w:val="29013F9A"/>
    <w:rsid w:val="2904C33D"/>
    <w:rsid w:val="291C4953"/>
    <w:rsid w:val="2935AD3E"/>
    <w:rsid w:val="294967A5"/>
    <w:rsid w:val="2954987F"/>
    <w:rsid w:val="29597D37"/>
    <w:rsid w:val="295E621D"/>
    <w:rsid w:val="2973C0CE"/>
    <w:rsid w:val="2991EFE1"/>
    <w:rsid w:val="299AA940"/>
    <w:rsid w:val="29B8F9AD"/>
    <w:rsid w:val="29BBF1C2"/>
    <w:rsid w:val="29C2F420"/>
    <w:rsid w:val="29C7A08A"/>
    <w:rsid w:val="29CB7269"/>
    <w:rsid w:val="29D0E952"/>
    <w:rsid w:val="29D32503"/>
    <w:rsid w:val="29D86981"/>
    <w:rsid w:val="29DF6726"/>
    <w:rsid w:val="29E2FA98"/>
    <w:rsid w:val="29F50676"/>
    <w:rsid w:val="29FADFF8"/>
    <w:rsid w:val="2A0CE2FA"/>
    <w:rsid w:val="2A221A23"/>
    <w:rsid w:val="2A276F7A"/>
    <w:rsid w:val="2A34D43A"/>
    <w:rsid w:val="2A34F2A1"/>
    <w:rsid w:val="2A3D4DAC"/>
    <w:rsid w:val="2A3F7177"/>
    <w:rsid w:val="2A49DB93"/>
    <w:rsid w:val="2A509868"/>
    <w:rsid w:val="2A564CAD"/>
    <w:rsid w:val="2A6D5615"/>
    <w:rsid w:val="2A6E98B6"/>
    <w:rsid w:val="2A6F8EC4"/>
    <w:rsid w:val="2A766AB6"/>
    <w:rsid w:val="2A87793C"/>
    <w:rsid w:val="2A9446E8"/>
    <w:rsid w:val="2A950349"/>
    <w:rsid w:val="2A965649"/>
    <w:rsid w:val="2A9C9E16"/>
    <w:rsid w:val="2AAA1223"/>
    <w:rsid w:val="2ACD398F"/>
    <w:rsid w:val="2AD0C8E5"/>
    <w:rsid w:val="2AD8D09F"/>
    <w:rsid w:val="2AF547AC"/>
    <w:rsid w:val="2AF878FF"/>
    <w:rsid w:val="2AFF8588"/>
    <w:rsid w:val="2B0490D3"/>
    <w:rsid w:val="2B114EB9"/>
    <w:rsid w:val="2B17B345"/>
    <w:rsid w:val="2B1C8226"/>
    <w:rsid w:val="2B296F3B"/>
    <w:rsid w:val="2B29BD15"/>
    <w:rsid w:val="2B2C3A2A"/>
    <w:rsid w:val="2B30E06F"/>
    <w:rsid w:val="2B33425F"/>
    <w:rsid w:val="2B43E464"/>
    <w:rsid w:val="2B4C458A"/>
    <w:rsid w:val="2B5AC8B3"/>
    <w:rsid w:val="2B5CFF14"/>
    <w:rsid w:val="2B5E355C"/>
    <w:rsid w:val="2B71475A"/>
    <w:rsid w:val="2B721911"/>
    <w:rsid w:val="2B7664F1"/>
    <w:rsid w:val="2B7F625C"/>
    <w:rsid w:val="2B8A8DAA"/>
    <w:rsid w:val="2B9696FB"/>
    <w:rsid w:val="2BAF94DF"/>
    <w:rsid w:val="2BBE81B9"/>
    <w:rsid w:val="2BCEAAE7"/>
    <w:rsid w:val="2BDB42F8"/>
    <w:rsid w:val="2BFCBD94"/>
    <w:rsid w:val="2BFD2A8F"/>
    <w:rsid w:val="2C043447"/>
    <w:rsid w:val="2C0B70C6"/>
    <w:rsid w:val="2C1A2626"/>
    <w:rsid w:val="2C2D5C8D"/>
    <w:rsid w:val="2C2D9FEA"/>
    <w:rsid w:val="2C373503"/>
    <w:rsid w:val="2C3ACC82"/>
    <w:rsid w:val="2C4004BA"/>
    <w:rsid w:val="2C45B076"/>
    <w:rsid w:val="2C4AE240"/>
    <w:rsid w:val="2C4BC99F"/>
    <w:rsid w:val="2C578DEA"/>
    <w:rsid w:val="2C59331D"/>
    <w:rsid w:val="2C60AC50"/>
    <w:rsid w:val="2C632458"/>
    <w:rsid w:val="2C640BBA"/>
    <w:rsid w:val="2C6778CE"/>
    <w:rsid w:val="2C6FE463"/>
    <w:rsid w:val="2C7635BE"/>
    <w:rsid w:val="2C79F28A"/>
    <w:rsid w:val="2C92A953"/>
    <w:rsid w:val="2C9488C8"/>
    <w:rsid w:val="2C9A2C9A"/>
    <w:rsid w:val="2C9BB7F2"/>
    <w:rsid w:val="2CAE3A27"/>
    <w:rsid w:val="2CB44325"/>
    <w:rsid w:val="2CB9B8DF"/>
    <w:rsid w:val="2CBD8E8A"/>
    <w:rsid w:val="2CBE35DF"/>
    <w:rsid w:val="2CDA4007"/>
    <w:rsid w:val="2CE16E60"/>
    <w:rsid w:val="2CE4CF1D"/>
    <w:rsid w:val="2CF6D5BC"/>
    <w:rsid w:val="2D1ECAF0"/>
    <w:rsid w:val="2D273EF9"/>
    <w:rsid w:val="2D38B8EB"/>
    <w:rsid w:val="2D3ADF14"/>
    <w:rsid w:val="2D486DDE"/>
    <w:rsid w:val="2D5DD566"/>
    <w:rsid w:val="2D60EA0C"/>
    <w:rsid w:val="2D68A54A"/>
    <w:rsid w:val="2D6E6F9F"/>
    <w:rsid w:val="2D799A44"/>
    <w:rsid w:val="2D856A8F"/>
    <w:rsid w:val="2D882E54"/>
    <w:rsid w:val="2D90B413"/>
    <w:rsid w:val="2D940596"/>
    <w:rsid w:val="2DBD5953"/>
    <w:rsid w:val="2DC39FC1"/>
    <w:rsid w:val="2DCA0844"/>
    <w:rsid w:val="2DCC6D04"/>
    <w:rsid w:val="2DD9F85E"/>
    <w:rsid w:val="2DDB9B78"/>
    <w:rsid w:val="2DE223DF"/>
    <w:rsid w:val="2DE786E0"/>
    <w:rsid w:val="2DF24D80"/>
    <w:rsid w:val="2DFAFCE3"/>
    <w:rsid w:val="2E2EFA81"/>
    <w:rsid w:val="2E4CC812"/>
    <w:rsid w:val="2E5EAADA"/>
    <w:rsid w:val="2E60F94D"/>
    <w:rsid w:val="2E62CFDD"/>
    <w:rsid w:val="2E674FA0"/>
    <w:rsid w:val="2E7055EB"/>
    <w:rsid w:val="2E81A072"/>
    <w:rsid w:val="2E91A476"/>
    <w:rsid w:val="2E975AE7"/>
    <w:rsid w:val="2E9B0746"/>
    <w:rsid w:val="2E9C2156"/>
    <w:rsid w:val="2EA06C3D"/>
    <w:rsid w:val="2EA12E90"/>
    <w:rsid w:val="2EA60E5E"/>
    <w:rsid w:val="2EB06246"/>
    <w:rsid w:val="2EB5CE27"/>
    <w:rsid w:val="2EBAF222"/>
    <w:rsid w:val="2ECEBF75"/>
    <w:rsid w:val="2ED0CDE3"/>
    <w:rsid w:val="2EE17095"/>
    <w:rsid w:val="2EE30A51"/>
    <w:rsid w:val="2EFF2546"/>
    <w:rsid w:val="2EFF2B7E"/>
    <w:rsid w:val="2F0FAAB3"/>
    <w:rsid w:val="2F1227FB"/>
    <w:rsid w:val="2F198FEB"/>
    <w:rsid w:val="2F26AFAF"/>
    <w:rsid w:val="2F2BE1A2"/>
    <w:rsid w:val="2F32328A"/>
    <w:rsid w:val="2F33FCA8"/>
    <w:rsid w:val="2F35774C"/>
    <w:rsid w:val="2F38806E"/>
    <w:rsid w:val="2F4D4608"/>
    <w:rsid w:val="2F52950E"/>
    <w:rsid w:val="2F54121E"/>
    <w:rsid w:val="2F68AEA7"/>
    <w:rsid w:val="2F6CB30C"/>
    <w:rsid w:val="2F827E8B"/>
    <w:rsid w:val="2F91B7D1"/>
    <w:rsid w:val="2F953695"/>
    <w:rsid w:val="2F97F43B"/>
    <w:rsid w:val="2FA6113C"/>
    <w:rsid w:val="2FB2042D"/>
    <w:rsid w:val="2FB2803F"/>
    <w:rsid w:val="2FB57B97"/>
    <w:rsid w:val="2FBDC163"/>
    <w:rsid w:val="2FD2F6AB"/>
    <w:rsid w:val="2FD50E09"/>
    <w:rsid w:val="2FE6BB89"/>
    <w:rsid w:val="2FEDC43B"/>
    <w:rsid w:val="2FFD4B54"/>
    <w:rsid w:val="300134CB"/>
    <w:rsid w:val="301073FE"/>
    <w:rsid w:val="3024ACC0"/>
    <w:rsid w:val="303C3C9E"/>
    <w:rsid w:val="303E009C"/>
    <w:rsid w:val="3040D5EA"/>
    <w:rsid w:val="306265E7"/>
    <w:rsid w:val="3062E9A9"/>
    <w:rsid w:val="3067FE5F"/>
    <w:rsid w:val="306B15D3"/>
    <w:rsid w:val="3072B370"/>
    <w:rsid w:val="30780A12"/>
    <w:rsid w:val="307DD1B0"/>
    <w:rsid w:val="30802272"/>
    <w:rsid w:val="308BB946"/>
    <w:rsid w:val="30A043EE"/>
    <w:rsid w:val="30A32A0B"/>
    <w:rsid w:val="30A51FB9"/>
    <w:rsid w:val="30B889FF"/>
    <w:rsid w:val="30C374E6"/>
    <w:rsid w:val="30C937CF"/>
    <w:rsid w:val="30CE0D8B"/>
    <w:rsid w:val="30D3B50B"/>
    <w:rsid w:val="30D46057"/>
    <w:rsid w:val="30DE0D08"/>
    <w:rsid w:val="30E78D6D"/>
    <w:rsid w:val="30F439EC"/>
    <w:rsid w:val="312651CA"/>
    <w:rsid w:val="3127FD48"/>
    <w:rsid w:val="3134C3DF"/>
    <w:rsid w:val="3139DB2A"/>
    <w:rsid w:val="314D478B"/>
    <w:rsid w:val="3154D5EA"/>
    <w:rsid w:val="3155EF0B"/>
    <w:rsid w:val="315949A4"/>
    <w:rsid w:val="315BA6E5"/>
    <w:rsid w:val="31675D4D"/>
    <w:rsid w:val="316A45A7"/>
    <w:rsid w:val="3179BA95"/>
    <w:rsid w:val="317F42ED"/>
    <w:rsid w:val="3183D73D"/>
    <w:rsid w:val="3192A146"/>
    <w:rsid w:val="3193222A"/>
    <w:rsid w:val="31AA9ED0"/>
    <w:rsid w:val="31AE73A1"/>
    <w:rsid w:val="31AE967F"/>
    <w:rsid w:val="31C058DE"/>
    <w:rsid w:val="31C26529"/>
    <w:rsid w:val="31C627C2"/>
    <w:rsid w:val="31C69704"/>
    <w:rsid w:val="31D58880"/>
    <w:rsid w:val="31E588D9"/>
    <w:rsid w:val="31EC95CF"/>
    <w:rsid w:val="31FDDEF1"/>
    <w:rsid w:val="320F68CC"/>
    <w:rsid w:val="321A58FA"/>
    <w:rsid w:val="32266809"/>
    <w:rsid w:val="3234E059"/>
    <w:rsid w:val="323A5871"/>
    <w:rsid w:val="32462C4B"/>
    <w:rsid w:val="3247C19E"/>
    <w:rsid w:val="324E1E76"/>
    <w:rsid w:val="325B3EF9"/>
    <w:rsid w:val="3267B81B"/>
    <w:rsid w:val="32693B2D"/>
    <w:rsid w:val="326C770A"/>
    <w:rsid w:val="32729D04"/>
    <w:rsid w:val="328507D3"/>
    <w:rsid w:val="32A2423E"/>
    <w:rsid w:val="32A65287"/>
    <w:rsid w:val="32A84EE2"/>
    <w:rsid w:val="32A9DEFB"/>
    <w:rsid w:val="32C1B5FB"/>
    <w:rsid w:val="32D0D627"/>
    <w:rsid w:val="32D4BBDC"/>
    <w:rsid w:val="32EE6B63"/>
    <w:rsid w:val="32F0154E"/>
    <w:rsid w:val="32FF3190"/>
    <w:rsid w:val="33007281"/>
    <w:rsid w:val="330ADE91"/>
    <w:rsid w:val="331231E8"/>
    <w:rsid w:val="331465BD"/>
    <w:rsid w:val="3315239A"/>
    <w:rsid w:val="33271957"/>
    <w:rsid w:val="33281EAB"/>
    <w:rsid w:val="332C6737"/>
    <w:rsid w:val="3335CF85"/>
    <w:rsid w:val="33461829"/>
    <w:rsid w:val="3355DDEB"/>
    <w:rsid w:val="33595FA8"/>
    <w:rsid w:val="3365F4BB"/>
    <w:rsid w:val="336D6BE2"/>
    <w:rsid w:val="337705F3"/>
    <w:rsid w:val="339C634B"/>
    <w:rsid w:val="33B4EDC4"/>
    <w:rsid w:val="33B8FCF5"/>
    <w:rsid w:val="33BB8E80"/>
    <w:rsid w:val="33C107E2"/>
    <w:rsid w:val="33C3A55B"/>
    <w:rsid w:val="33C80007"/>
    <w:rsid w:val="33CCFE0A"/>
    <w:rsid w:val="33D69664"/>
    <w:rsid w:val="33E582F9"/>
    <w:rsid w:val="33ECDC2E"/>
    <w:rsid w:val="33ED5FBD"/>
    <w:rsid w:val="33F77757"/>
    <w:rsid w:val="3403BE39"/>
    <w:rsid w:val="34122318"/>
    <w:rsid w:val="3419A064"/>
    <w:rsid w:val="342F2BB3"/>
    <w:rsid w:val="34313DE7"/>
    <w:rsid w:val="344D2267"/>
    <w:rsid w:val="345A3DFF"/>
    <w:rsid w:val="3468A264"/>
    <w:rsid w:val="3468E4DA"/>
    <w:rsid w:val="346CDBAF"/>
    <w:rsid w:val="3479A464"/>
    <w:rsid w:val="34880900"/>
    <w:rsid w:val="348B8E4C"/>
    <w:rsid w:val="348F0D79"/>
    <w:rsid w:val="34B0F5DD"/>
    <w:rsid w:val="34BA8972"/>
    <w:rsid w:val="34BB1054"/>
    <w:rsid w:val="34C28CE5"/>
    <w:rsid w:val="34CF15C9"/>
    <w:rsid w:val="34E8E7B7"/>
    <w:rsid w:val="34EA9E2F"/>
    <w:rsid w:val="34FA1AB1"/>
    <w:rsid w:val="34FC5639"/>
    <w:rsid w:val="3509D5A7"/>
    <w:rsid w:val="350D7993"/>
    <w:rsid w:val="35124AB2"/>
    <w:rsid w:val="35545E6A"/>
    <w:rsid w:val="35575EE1"/>
    <w:rsid w:val="355E2B63"/>
    <w:rsid w:val="35650DE6"/>
    <w:rsid w:val="356DD2E0"/>
    <w:rsid w:val="356E825A"/>
    <w:rsid w:val="357D4AF4"/>
    <w:rsid w:val="357DDB39"/>
    <w:rsid w:val="357E9993"/>
    <w:rsid w:val="357FBCE4"/>
    <w:rsid w:val="35829C92"/>
    <w:rsid w:val="3596B3DB"/>
    <w:rsid w:val="35A000A9"/>
    <w:rsid w:val="35AC21B0"/>
    <w:rsid w:val="35B0FC85"/>
    <w:rsid w:val="35B223EE"/>
    <w:rsid w:val="35B5214E"/>
    <w:rsid w:val="35B63933"/>
    <w:rsid w:val="35B8EA1F"/>
    <w:rsid w:val="35B92B50"/>
    <w:rsid w:val="35C216F2"/>
    <w:rsid w:val="35CEB7C7"/>
    <w:rsid w:val="35D80C46"/>
    <w:rsid w:val="35DDD963"/>
    <w:rsid w:val="35DDE58C"/>
    <w:rsid w:val="35DEEC9A"/>
    <w:rsid w:val="35E04961"/>
    <w:rsid w:val="35EA4698"/>
    <w:rsid w:val="35EEC540"/>
    <w:rsid w:val="35F95226"/>
    <w:rsid w:val="35FAB2EC"/>
    <w:rsid w:val="36018C35"/>
    <w:rsid w:val="36098134"/>
    <w:rsid w:val="360CAE14"/>
    <w:rsid w:val="360E7962"/>
    <w:rsid w:val="3613851E"/>
    <w:rsid w:val="361A2EE8"/>
    <w:rsid w:val="361D51F9"/>
    <w:rsid w:val="362227BC"/>
    <w:rsid w:val="36365447"/>
    <w:rsid w:val="36435CC2"/>
    <w:rsid w:val="36505ECD"/>
    <w:rsid w:val="36521987"/>
    <w:rsid w:val="365A315C"/>
    <w:rsid w:val="3675ADC5"/>
    <w:rsid w:val="367F1A5D"/>
    <w:rsid w:val="36883284"/>
    <w:rsid w:val="368F36FE"/>
    <w:rsid w:val="369513E6"/>
    <w:rsid w:val="36964D44"/>
    <w:rsid w:val="36991E80"/>
    <w:rsid w:val="369E9930"/>
    <w:rsid w:val="36B45CD3"/>
    <w:rsid w:val="36B7C9A4"/>
    <w:rsid w:val="36BD12F2"/>
    <w:rsid w:val="36C4DDF2"/>
    <w:rsid w:val="36D0D86D"/>
    <w:rsid w:val="36D79554"/>
    <w:rsid w:val="36D7AEA6"/>
    <w:rsid w:val="36EC38D8"/>
    <w:rsid w:val="36EF8998"/>
    <w:rsid w:val="36F17722"/>
    <w:rsid w:val="36F7B481"/>
    <w:rsid w:val="36F82C0C"/>
    <w:rsid w:val="36FD7122"/>
    <w:rsid w:val="3706A760"/>
    <w:rsid w:val="371DF60F"/>
    <w:rsid w:val="3735DF05"/>
    <w:rsid w:val="3744FE7D"/>
    <w:rsid w:val="374843E6"/>
    <w:rsid w:val="37488218"/>
    <w:rsid w:val="3754BA80"/>
    <w:rsid w:val="3757DAC0"/>
    <w:rsid w:val="375843A0"/>
    <w:rsid w:val="37590016"/>
    <w:rsid w:val="375A92C6"/>
    <w:rsid w:val="37603790"/>
    <w:rsid w:val="376815AA"/>
    <w:rsid w:val="377AB0BD"/>
    <w:rsid w:val="378FAC50"/>
    <w:rsid w:val="379483BB"/>
    <w:rsid w:val="379EF981"/>
    <w:rsid w:val="37A8D28F"/>
    <w:rsid w:val="37AB990E"/>
    <w:rsid w:val="37B3A57C"/>
    <w:rsid w:val="37B4BD47"/>
    <w:rsid w:val="37B90DEC"/>
    <w:rsid w:val="37C23428"/>
    <w:rsid w:val="37C5927C"/>
    <w:rsid w:val="37DC7DF1"/>
    <w:rsid w:val="37E5AE99"/>
    <w:rsid w:val="37E66905"/>
    <w:rsid w:val="37F0E078"/>
    <w:rsid w:val="37F34A11"/>
    <w:rsid w:val="37F56233"/>
    <w:rsid w:val="37FAE10F"/>
    <w:rsid w:val="37FF7C2E"/>
    <w:rsid w:val="38118072"/>
    <w:rsid w:val="381422DB"/>
    <w:rsid w:val="381DCCB7"/>
    <w:rsid w:val="3822ED10"/>
    <w:rsid w:val="382ACEE2"/>
    <w:rsid w:val="3832BF72"/>
    <w:rsid w:val="383907B2"/>
    <w:rsid w:val="3849D84C"/>
    <w:rsid w:val="384A91E1"/>
    <w:rsid w:val="38539085"/>
    <w:rsid w:val="385EF1CE"/>
    <w:rsid w:val="387097A0"/>
    <w:rsid w:val="3877BBD3"/>
    <w:rsid w:val="38815B3C"/>
    <w:rsid w:val="3890A15D"/>
    <w:rsid w:val="3890BCB5"/>
    <w:rsid w:val="38912F58"/>
    <w:rsid w:val="389E56E9"/>
    <w:rsid w:val="389EE6D4"/>
    <w:rsid w:val="38B503C6"/>
    <w:rsid w:val="38B52886"/>
    <w:rsid w:val="38B5D558"/>
    <w:rsid w:val="38BF35EF"/>
    <w:rsid w:val="38C55EA8"/>
    <w:rsid w:val="38C574F7"/>
    <w:rsid w:val="38D0CBB4"/>
    <w:rsid w:val="38D2E660"/>
    <w:rsid w:val="38D410A8"/>
    <w:rsid w:val="38E37248"/>
    <w:rsid w:val="38ED0DB9"/>
    <w:rsid w:val="38F03F30"/>
    <w:rsid w:val="38FB03CC"/>
    <w:rsid w:val="3902B22B"/>
    <w:rsid w:val="39069226"/>
    <w:rsid w:val="390C30E6"/>
    <w:rsid w:val="3912D7C2"/>
    <w:rsid w:val="3919D162"/>
    <w:rsid w:val="39274CAE"/>
    <w:rsid w:val="392C3EC1"/>
    <w:rsid w:val="39358CFD"/>
    <w:rsid w:val="393D5B74"/>
    <w:rsid w:val="395214E2"/>
    <w:rsid w:val="395E4567"/>
    <w:rsid w:val="39705FD2"/>
    <w:rsid w:val="397C54F6"/>
    <w:rsid w:val="399E5660"/>
    <w:rsid w:val="39B92D91"/>
    <w:rsid w:val="39BE7280"/>
    <w:rsid w:val="39C8A41F"/>
    <w:rsid w:val="39C91765"/>
    <w:rsid w:val="39CF41C9"/>
    <w:rsid w:val="39F032BE"/>
    <w:rsid w:val="39F3365E"/>
    <w:rsid w:val="39F818A1"/>
    <w:rsid w:val="39FA155B"/>
    <w:rsid w:val="3A10A890"/>
    <w:rsid w:val="3A158AD6"/>
    <w:rsid w:val="3A17057A"/>
    <w:rsid w:val="3A23C6DA"/>
    <w:rsid w:val="3A378112"/>
    <w:rsid w:val="3A404102"/>
    <w:rsid w:val="3A469338"/>
    <w:rsid w:val="3A4F6236"/>
    <w:rsid w:val="3A583D5C"/>
    <w:rsid w:val="3A5EAB52"/>
    <w:rsid w:val="3A64C752"/>
    <w:rsid w:val="3A65A8DE"/>
    <w:rsid w:val="3A77D02E"/>
    <w:rsid w:val="3A80A46A"/>
    <w:rsid w:val="3A832F61"/>
    <w:rsid w:val="3A851BFE"/>
    <w:rsid w:val="3A86CAE6"/>
    <w:rsid w:val="3A883365"/>
    <w:rsid w:val="3A8BCACF"/>
    <w:rsid w:val="3AB02E99"/>
    <w:rsid w:val="3ABB2337"/>
    <w:rsid w:val="3ACADE4A"/>
    <w:rsid w:val="3AD41BF5"/>
    <w:rsid w:val="3AD6CF44"/>
    <w:rsid w:val="3AE47B4D"/>
    <w:rsid w:val="3AF1B39A"/>
    <w:rsid w:val="3AF2DB09"/>
    <w:rsid w:val="3AF357C8"/>
    <w:rsid w:val="3AFD12D4"/>
    <w:rsid w:val="3B02E4FF"/>
    <w:rsid w:val="3B09D108"/>
    <w:rsid w:val="3B0D9915"/>
    <w:rsid w:val="3B170F0E"/>
    <w:rsid w:val="3B3F540B"/>
    <w:rsid w:val="3B4A577A"/>
    <w:rsid w:val="3B541BC3"/>
    <w:rsid w:val="3B6617C7"/>
    <w:rsid w:val="3B6B32E8"/>
    <w:rsid w:val="3B74034D"/>
    <w:rsid w:val="3B86DCCB"/>
    <w:rsid w:val="3B89ED18"/>
    <w:rsid w:val="3B9DE343"/>
    <w:rsid w:val="3BAA257F"/>
    <w:rsid w:val="3BAD7808"/>
    <w:rsid w:val="3BB92D0D"/>
    <w:rsid w:val="3BBA6612"/>
    <w:rsid w:val="3BC217FF"/>
    <w:rsid w:val="3BC6F681"/>
    <w:rsid w:val="3BC75D46"/>
    <w:rsid w:val="3BCB5F19"/>
    <w:rsid w:val="3BCE7E65"/>
    <w:rsid w:val="3BD4F17A"/>
    <w:rsid w:val="3BE0B7E3"/>
    <w:rsid w:val="3BE2940C"/>
    <w:rsid w:val="3C089F47"/>
    <w:rsid w:val="3C1C38DE"/>
    <w:rsid w:val="3C246B3E"/>
    <w:rsid w:val="3C26B645"/>
    <w:rsid w:val="3C3387E5"/>
    <w:rsid w:val="3C3F91C6"/>
    <w:rsid w:val="3C5B03A3"/>
    <w:rsid w:val="3C638A1A"/>
    <w:rsid w:val="3C65CFC4"/>
    <w:rsid w:val="3C66ABA6"/>
    <w:rsid w:val="3C689156"/>
    <w:rsid w:val="3C724C82"/>
    <w:rsid w:val="3C82DA52"/>
    <w:rsid w:val="3C84916A"/>
    <w:rsid w:val="3C972AD2"/>
    <w:rsid w:val="3C978E9F"/>
    <w:rsid w:val="3CA4F92F"/>
    <w:rsid w:val="3CA645A4"/>
    <w:rsid w:val="3CB0B7AC"/>
    <w:rsid w:val="3CB1B917"/>
    <w:rsid w:val="3CC23904"/>
    <w:rsid w:val="3CC2BAC5"/>
    <w:rsid w:val="3CC78A81"/>
    <w:rsid w:val="3CD68868"/>
    <w:rsid w:val="3CE47FD5"/>
    <w:rsid w:val="3CEFC33B"/>
    <w:rsid w:val="3D2FEC77"/>
    <w:rsid w:val="3D3E4E1A"/>
    <w:rsid w:val="3D5295DF"/>
    <w:rsid w:val="3D5D3036"/>
    <w:rsid w:val="3D64B118"/>
    <w:rsid w:val="3D6AD013"/>
    <w:rsid w:val="3D743D23"/>
    <w:rsid w:val="3D771E7C"/>
    <w:rsid w:val="3D8208F2"/>
    <w:rsid w:val="3D930CB4"/>
    <w:rsid w:val="3D950B27"/>
    <w:rsid w:val="3D95A3AE"/>
    <w:rsid w:val="3D95B6B2"/>
    <w:rsid w:val="3D974266"/>
    <w:rsid w:val="3DA04BBF"/>
    <w:rsid w:val="3DA40D76"/>
    <w:rsid w:val="3DAB41C6"/>
    <w:rsid w:val="3DAD870E"/>
    <w:rsid w:val="3DC4AC72"/>
    <w:rsid w:val="3DCFCE00"/>
    <w:rsid w:val="3DD01CE5"/>
    <w:rsid w:val="3DD2E48E"/>
    <w:rsid w:val="3DD9973A"/>
    <w:rsid w:val="3DE4E93B"/>
    <w:rsid w:val="3DE7FD4F"/>
    <w:rsid w:val="3DEFAFB2"/>
    <w:rsid w:val="3DF3E513"/>
    <w:rsid w:val="3DF834C3"/>
    <w:rsid w:val="3DFA1E79"/>
    <w:rsid w:val="3DFAB5F1"/>
    <w:rsid w:val="3E077C72"/>
    <w:rsid w:val="3E10970A"/>
    <w:rsid w:val="3E1CCEE9"/>
    <w:rsid w:val="3E1FD39D"/>
    <w:rsid w:val="3E211E22"/>
    <w:rsid w:val="3E240F23"/>
    <w:rsid w:val="3E25A6C9"/>
    <w:rsid w:val="3E307A26"/>
    <w:rsid w:val="3E3ADE78"/>
    <w:rsid w:val="3E483352"/>
    <w:rsid w:val="3E5930D9"/>
    <w:rsid w:val="3E5EFC29"/>
    <w:rsid w:val="3E6546E7"/>
    <w:rsid w:val="3E6964F9"/>
    <w:rsid w:val="3E79A3B1"/>
    <w:rsid w:val="3E7C845F"/>
    <w:rsid w:val="3E823C63"/>
    <w:rsid w:val="3EA2EBA9"/>
    <w:rsid w:val="3EB58E10"/>
    <w:rsid w:val="3EB92896"/>
    <w:rsid w:val="3EB94EDE"/>
    <w:rsid w:val="3EBB0B04"/>
    <w:rsid w:val="3EBF7FF7"/>
    <w:rsid w:val="3EC03F7D"/>
    <w:rsid w:val="3EC4D52F"/>
    <w:rsid w:val="3ED8787E"/>
    <w:rsid w:val="3EE7B9AF"/>
    <w:rsid w:val="3EFACB0B"/>
    <w:rsid w:val="3F0FDED0"/>
    <w:rsid w:val="3F1134D3"/>
    <w:rsid w:val="3F28E0C1"/>
    <w:rsid w:val="3F430866"/>
    <w:rsid w:val="3F4DCD4D"/>
    <w:rsid w:val="3F54F08A"/>
    <w:rsid w:val="3F576452"/>
    <w:rsid w:val="3F5E634E"/>
    <w:rsid w:val="3F6919A2"/>
    <w:rsid w:val="3F71D74A"/>
    <w:rsid w:val="3F72BC70"/>
    <w:rsid w:val="3F87A5EB"/>
    <w:rsid w:val="3F99CCAE"/>
    <w:rsid w:val="3F9C4FAE"/>
    <w:rsid w:val="3FC7929E"/>
    <w:rsid w:val="3FD45965"/>
    <w:rsid w:val="3FD60464"/>
    <w:rsid w:val="3FD997BE"/>
    <w:rsid w:val="3FE83C7B"/>
    <w:rsid w:val="3FEF7B09"/>
    <w:rsid w:val="3FEFDC5E"/>
    <w:rsid w:val="3FFA99FC"/>
    <w:rsid w:val="3FFD43A5"/>
    <w:rsid w:val="3FFFD714"/>
    <w:rsid w:val="401E5BDC"/>
    <w:rsid w:val="4027C01D"/>
    <w:rsid w:val="402BBB24"/>
    <w:rsid w:val="403DE575"/>
    <w:rsid w:val="4051B6F0"/>
    <w:rsid w:val="4055A086"/>
    <w:rsid w:val="40578314"/>
    <w:rsid w:val="405A297B"/>
    <w:rsid w:val="405A4DEE"/>
    <w:rsid w:val="405E8087"/>
    <w:rsid w:val="406930D7"/>
    <w:rsid w:val="406D9E16"/>
    <w:rsid w:val="40844BED"/>
    <w:rsid w:val="408CF5D3"/>
    <w:rsid w:val="4093CF97"/>
    <w:rsid w:val="409F494C"/>
    <w:rsid w:val="40A3F6DA"/>
    <w:rsid w:val="40A5E015"/>
    <w:rsid w:val="40AF0712"/>
    <w:rsid w:val="40AF9964"/>
    <w:rsid w:val="40C44473"/>
    <w:rsid w:val="40C7B0EB"/>
    <w:rsid w:val="40C8841E"/>
    <w:rsid w:val="40CD55B5"/>
    <w:rsid w:val="40D8B429"/>
    <w:rsid w:val="40D974DE"/>
    <w:rsid w:val="40EB96A3"/>
    <w:rsid w:val="40EF9D8E"/>
    <w:rsid w:val="40FA4F05"/>
    <w:rsid w:val="40FCA6BD"/>
    <w:rsid w:val="40FCE7A6"/>
    <w:rsid w:val="410DE940"/>
    <w:rsid w:val="4111EDD9"/>
    <w:rsid w:val="4119A04F"/>
    <w:rsid w:val="411E4259"/>
    <w:rsid w:val="4122820B"/>
    <w:rsid w:val="41368B3E"/>
    <w:rsid w:val="413E6EAE"/>
    <w:rsid w:val="4142723D"/>
    <w:rsid w:val="41460C7A"/>
    <w:rsid w:val="41523950"/>
    <w:rsid w:val="41552763"/>
    <w:rsid w:val="418B2AEA"/>
    <w:rsid w:val="418ECB21"/>
    <w:rsid w:val="419AC792"/>
    <w:rsid w:val="41B21B92"/>
    <w:rsid w:val="41B30397"/>
    <w:rsid w:val="41B314AD"/>
    <w:rsid w:val="41CB361E"/>
    <w:rsid w:val="41CDA2F3"/>
    <w:rsid w:val="41D0BE80"/>
    <w:rsid w:val="41D3B1CB"/>
    <w:rsid w:val="41D4096B"/>
    <w:rsid w:val="41DE14FC"/>
    <w:rsid w:val="41F537FF"/>
    <w:rsid w:val="4207D77E"/>
    <w:rsid w:val="423632DF"/>
    <w:rsid w:val="423E088C"/>
    <w:rsid w:val="42452BC9"/>
    <w:rsid w:val="4246E82F"/>
    <w:rsid w:val="4279E35E"/>
    <w:rsid w:val="427E9E66"/>
    <w:rsid w:val="4289ED46"/>
    <w:rsid w:val="42962197"/>
    <w:rsid w:val="42A20776"/>
    <w:rsid w:val="42A22445"/>
    <w:rsid w:val="42A9FF94"/>
    <w:rsid w:val="42AE41C9"/>
    <w:rsid w:val="42BC4108"/>
    <w:rsid w:val="42C07A1A"/>
    <w:rsid w:val="42C2F520"/>
    <w:rsid w:val="42CF8836"/>
    <w:rsid w:val="42D664D5"/>
    <w:rsid w:val="42DCE1B3"/>
    <w:rsid w:val="42E48387"/>
    <w:rsid w:val="42FD1077"/>
    <w:rsid w:val="42FFD52D"/>
    <w:rsid w:val="4334AF7C"/>
    <w:rsid w:val="4337BC75"/>
    <w:rsid w:val="435711CA"/>
    <w:rsid w:val="435AFB04"/>
    <w:rsid w:val="4370C7E6"/>
    <w:rsid w:val="43749AB3"/>
    <w:rsid w:val="4379DB68"/>
    <w:rsid w:val="437E2D4D"/>
    <w:rsid w:val="437EBE8D"/>
    <w:rsid w:val="437FE914"/>
    <w:rsid w:val="4387D50C"/>
    <w:rsid w:val="43896F3D"/>
    <w:rsid w:val="438EE6D7"/>
    <w:rsid w:val="438FB33B"/>
    <w:rsid w:val="43AAC73A"/>
    <w:rsid w:val="43AFB216"/>
    <w:rsid w:val="43B29A46"/>
    <w:rsid w:val="43C03617"/>
    <w:rsid w:val="43C22BFB"/>
    <w:rsid w:val="43E19261"/>
    <w:rsid w:val="43EEEC6F"/>
    <w:rsid w:val="43F440EE"/>
    <w:rsid w:val="4403C0F0"/>
    <w:rsid w:val="44134EFA"/>
    <w:rsid w:val="44144309"/>
    <w:rsid w:val="44160ACF"/>
    <w:rsid w:val="4418E97B"/>
    <w:rsid w:val="4419E95D"/>
    <w:rsid w:val="441C1889"/>
    <w:rsid w:val="4422E027"/>
    <w:rsid w:val="44234770"/>
    <w:rsid w:val="44313B1F"/>
    <w:rsid w:val="443485CA"/>
    <w:rsid w:val="44362070"/>
    <w:rsid w:val="443FEF5C"/>
    <w:rsid w:val="4467BACA"/>
    <w:rsid w:val="448656FD"/>
    <w:rsid w:val="449A3B53"/>
    <w:rsid w:val="449B5BB5"/>
    <w:rsid w:val="44A991E9"/>
    <w:rsid w:val="44B5294C"/>
    <w:rsid w:val="44BE30FD"/>
    <w:rsid w:val="44E14240"/>
    <w:rsid w:val="44EBECB0"/>
    <w:rsid w:val="44EC272E"/>
    <w:rsid w:val="44ED64FE"/>
    <w:rsid w:val="44F11F5C"/>
    <w:rsid w:val="44FA74E1"/>
    <w:rsid w:val="44FAFE62"/>
    <w:rsid w:val="4533B24F"/>
    <w:rsid w:val="454BE4A9"/>
    <w:rsid w:val="4550617A"/>
    <w:rsid w:val="455069D5"/>
    <w:rsid w:val="455A4BA3"/>
    <w:rsid w:val="455B272C"/>
    <w:rsid w:val="457905F4"/>
    <w:rsid w:val="457ABBA9"/>
    <w:rsid w:val="457D2E91"/>
    <w:rsid w:val="45852491"/>
    <w:rsid w:val="45870D11"/>
    <w:rsid w:val="45902BB3"/>
    <w:rsid w:val="45A0929F"/>
    <w:rsid w:val="45AAA58C"/>
    <w:rsid w:val="45ADA2B8"/>
    <w:rsid w:val="45AE344F"/>
    <w:rsid w:val="45AF1F5B"/>
    <w:rsid w:val="45B51471"/>
    <w:rsid w:val="45B87C78"/>
    <w:rsid w:val="45BCD5A1"/>
    <w:rsid w:val="45C7B742"/>
    <w:rsid w:val="45CB1494"/>
    <w:rsid w:val="45D455FB"/>
    <w:rsid w:val="45DF6597"/>
    <w:rsid w:val="45E9B6DE"/>
    <w:rsid w:val="45F308BA"/>
    <w:rsid w:val="4611F5B9"/>
    <w:rsid w:val="461350C0"/>
    <w:rsid w:val="4618A2F7"/>
    <w:rsid w:val="461CBA4C"/>
    <w:rsid w:val="46352299"/>
    <w:rsid w:val="46366731"/>
    <w:rsid w:val="465C62BA"/>
    <w:rsid w:val="4668BBFD"/>
    <w:rsid w:val="4672267F"/>
    <w:rsid w:val="46893C67"/>
    <w:rsid w:val="46896355"/>
    <w:rsid w:val="469584BC"/>
    <w:rsid w:val="46984B25"/>
    <w:rsid w:val="46AAF35F"/>
    <w:rsid w:val="46B5142C"/>
    <w:rsid w:val="46B89109"/>
    <w:rsid w:val="46E3D337"/>
    <w:rsid w:val="46EA5D48"/>
    <w:rsid w:val="46F15EBB"/>
    <w:rsid w:val="46F17F08"/>
    <w:rsid w:val="470B3687"/>
    <w:rsid w:val="4711A8F7"/>
    <w:rsid w:val="4714017C"/>
    <w:rsid w:val="472D26F7"/>
    <w:rsid w:val="4746D6A4"/>
    <w:rsid w:val="475412BE"/>
    <w:rsid w:val="4757216B"/>
    <w:rsid w:val="47749A16"/>
    <w:rsid w:val="4778F49D"/>
    <w:rsid w:val="477CD764"/>
    <w:rsid w:val="477FAA01"/>
    <w:rsid w:val="4781B45A"/>
    <w:rsid w:val="478B5122"/>
    <w:rsid w:val="4791C169"/>
    <w:rsid w:val="47B79A13"/>
    <w:rsid w:val="47C4285D"/>
    <w:rsid w:val="47D14F71"/>
    <w:rsid w:val="47D3F60E"/>
    <w:rsid w:val="47D533F6"/>
    <w:rsid w:val="47D8058B"/>
    <w:rsid w:val="47D84AC8"/>
    <w:rsid w:val="47D8E119"/>
    <w:rsid w:val="47DB2A61"/>
    <w:rsid w:val="47DB3C9D"/>
    <w:rsid w:val="47EA2D73"/>
    <w:rsid w:val="47F30BF3"/>
    <w:rsid w:val="47F59E4F"/>
    <w:rsid w:val="47FDBC77"/>
    <w:rsid w:val="4813F9C1"/>
    <w:rsid w:val="481737AB"/>
    <w:rsid w:val="4827DC05"/>
    <w:rsid w:val="483999BE"/>
    <w:rsid w:val="4845FED2"/>
    <w:rsid w:val="4848DB5C"/>
    <w:rsid w:val="484D3987"/>
    <w:rsid w:val="48586C21"/>
    <w:rsid w:val="485CBA6D"/>
    <w:rsid w:val="4861303D"/>
    <w:rsid w:val="4866668A"/>
    <w:rsid w:val="48675A15"/>
    <w:rsid w:val="4875AB68"/>
    <w:rsid w:val="488249D3"/>
    <w:rsid w:val="488464A1"/>
    <w:rsid w:val="488D7216"/>
    <w:rsid w:val="4891C4CE"/>
    <w:rsid w:val="48ACE080"/>
    <w:rsid w:val="48ACFB35"/>
    <w:rsid w:val="48AF2537"/>
    <w:rsid w:val="48B46D4D"/>
    <w:rsid w:val="48B6F395"/>
    <w:rsid w:val="48BB2DF2"/>
    <w:rsid w:val="48C76352"/>
    <w:rsid w:val="48D918A2"/>
    <w:rsid w:val="48FE9557"/>
    <w:rsid w:val="48FF9573"/>
    <w:rsid w:val="4901D3C2"/>
    <w:rsid w:val="4907E724"/>
    <w:rsid w:val="49136A0B"/>
    <w:rsid w:val="491743C2"/>
    <w:rsid w:val="491E6B32"/>
    <w:rsid w:val="491EF406"/>
    <w:rsid w:val="4927480B"/>
    <w:rsid w:val="492B9B2F"/>
    <w:rsid w:val="49338871"/>
    <w:rsid w:val="4934F830"/>
    <w:rsid w:val="493B83F5"/>
    <w:rsid w:val="493BFEA3"/>
    <w:rsid w:val="494ACFCB"/>
    <w:rsid w:val="494F6DC9"/>
    <w:rsid w:val="495BF9AE"/>
    <w:rsid w:val="495C7A3F"/>
    <w:rsid w:val="4961E635"/>
    <w:rsid w:val="4963750F"/>
    <w:rsid w:val="497ECC77"/>
    <w:rsid w:val="4991EB8D"/>
    <w:rsid w:val="499A040E"/>
    <w:rsid w:val="49AFEE3F"/>
    <w:rsid w:val="49C4342E"/>
    <w:rsid w:val="49D2682D"/>
    <w:rsid w:val="49D2BC07"/>
    <w:rsid w:val="49DA8310"/>
    <w:rsid w:val="49E96846"/>
    <w:rsid w:val="49F3B1F9"/>
    <w:rsid w:val="49F40967"/>
    <w:rsid w:val="49F50B44"/>
    <w:rsid w:val="49F9269E"/>
    <w:rsid w:val="4A01F5D2"/>
    <w:rsid w:val="4A042276"/>
    <w:rsid w:val="4A0F04C7"/>
    <w:rsid w:val="4A12FED3"/>
    <w:rsid w:val="4A14AD3C"/>
    <w:rsid w:val="4A25D1F8"/>
    <w:rsid w:val="4A376FB9"/>
    <w:rsid w:val="4A3A1C28"/>
    <w:rsid w:val="4A3A963A"/>
    <w:rsid w:val="4A4E1274"/>
    <w:rsid w:val="4A5423EB"/>
    <w:rsid w:val="4A5801EF"/>
    <w:rsid w:val="4A6F11F8"/>
    <w:rsid w:val="4A76670B"/>
    <w:rsid w:val="4A7F1B9D"/>
    <w:rsid w:val="4A94E6D4"/>
    <w:rsid w:val="4AA06AC7"/>
    <w:rsid w:val="4AB9551C"/>
    <w:rsid w:val="4ABAB20C"/>
    <w:rsid w:val="4ACB9C5F"/>
    <w:rsid w:val="4AD33109"/>
    <w:rsid w:val="4AD9C71F"/>
    <w:rsid w:val="4AE34816"/>
    <w:rsid w:val="4AE7508A"/>
    <w:rsid w:val="4AFEAE97"/>
    <w:rsid w:val="4B02A078"/>
    <w:rsid w:val="4B031433"/>
    <w:rsid w:val="4B08F96C"/>
    <w:rsid w:val="4B0B1399"/>
    <w:rsid w:val="4B138318"/>
    <w:rsid w:val="4B143F1B"/>
    <w:rsid w:val="4B2B4772"/>
    <w:rsid w:val="4B2B4E57"/>
    <w:rsid w:val="4B2E31E4"/>
    <w:rsid w:val="4B522B28"/>
    <w:rsid w:val="4B5DAE7C"/>
    <w:rsid w:val="4B6F2260"/>
    <w:rsid w:val="4B705133"/>
    <w:rsid w:val="4B76F3EC"/>
    <w:rsid w:val="4B83DD43"/>
    <w:rsid w:val="4B8FF968"/>
    <w:rsid w:val="4B94EAA6"/>
    <w:rsid w:val="4B9AEE60"/>
    <w:rsid w:val="4B9D2EDF"/>
    <w:rsid w:val="4BB5F526"/>
    <w:rsid w:val="4BBEB173"/>
    <w:rsid w:val="4BC06837"/>
    <w:rsid w:val="4BD54E2A"/>
    <w:rsid w:val="4BEFA47C"/>
    <w:rsid w:val="4BF0D91E"/>
    <w:rsid w:val="4BFAEC98"/>
    <w:rsid w:val="4C0180B3"/>
    <w:rsid w:val="4C096B68"/>
    <w:rsid w:val="4C0ED804"/>
    <w:rsid w:val="4C128DE0"/>
    <w:rsid w:val="4C35D9C8"/>
    <w:rsid w:val="4C40E59E"/>
    <w:rsid w:val="4C46DC49"/>
    <w:rsid w:val="4C491775"/>
    <w:rsid w:val="4C528561"/>
    <w:rsid w:val="4C5A6021"/>
    <w:rsid w:val="4C62EE4F"/>
    <w:rsid w:val="4C67EEEB"/>
    <w:rsid w:val="4C713631"/>
    <w:rsid w:val="4C7352B9"/>
    <w:rsid w:val="4C75A033"/>
    <w:rsid w:val="4C8B1C49"/>
    <w:rsid w:val="4C8DFF8A"/>
    <w:rsid w:val="4C98834A"/>
    <w:rsid w:val="4CA22F26"/>
    <w:rsid w:val="4CA389A4"/>
    <w:rsid w:val="4CB7830B"/>
    <w:rsid w:val="4CBABAD5"/>
    <w:rsid w:val="4CBCC58C"/>
    <w:rsid w:val="4CEE2C3A"/>
    <w:rsid w:val="4CF29F11"/>
    <w:rsid w:val="4CFF8B6A"/>
    <w:rsid w:val="4D0D6F48"/>
    <w:rsid w:val="4D208B39"/>
    <w:rsid w:val="4D27D28D"/>
    <w:rsid w:val="4D397370"/>
    <w:rsid w:val="4D4880B3"/>
    <w:rsid w:val="4D49BCF5"/>
    <w:rsid w:val="4D4ED732"/>
    <w:rsid w:val="4D572949"/>
    <w:rsid w:val="4D687076"/>
    <w:rsid w:val="4D7A7EAB"/>
    <w:rsid w:val="4D7D365F"/>
    <w:rsid w:val="4D8388AB"/>
    <w:rsid w:val="4D8914A1"/>
    <w:rsid w:val="4D8971A8"/>
    <w:rsid w:val="4D90E3D3"/>
    <w:rsid w:val="4D9CCA5F"/>
    <w:rsid w:val="4DA97B9B"/>
    <w:rsid w:val="4DB6BC86"/>
    <w:rsid w:val="4DBDDB63"/>
    <w:rsid w:val="4DBF29B1"/>
    <w:rsid w:val="4DC0F4EC"/>
    <w:rsid w:val="4DCDE33B"/>
    <w:rsid w:val="4DCF78AE"/>
    <w:rsid w:val="4DD00052"/>
    <w:rsid w:val="4DD5215A"/>
    <w:rsid w:val="4DD9A3D3"/>
    <w:rsid w:val="4DDF360A"/>
    <w:rsid w:val="4DE0C0FF"/>
    <w:rsid w:val="4DE61A1A"/>
    <w:rsid w:val="4DEDC267"/>
    <w:rsid w:val="4DF998C9"/>
    <w:rsid w:val="4DFA41DD"/>
    <w:rsid w:val="4DFCAA55"/>
    <w:rsid w:val="4DFD2B49"/>
    <w:rsid w:val="4DFF16EA"/>
    <w:rsid w:val="4E0BD3D2"/>
    <w:rsid w:val="4E0C76BA"/>
    <w:rsid w:val="4E130117"/>
    <w:rsid w:val="4E15D7F1"/>
    <w:rsid w:val="4E17BDFA"/>
    <w:rsid w:val="4E1AF21E"/>
    <w:rsid w:val="4E2BC53A"/>
    <w:rsid w:val="4E302D21"/>
    <w:rsid w:val="4E354612"/>
    <w:rsid w:val="4E4ACEB1"/>
    <w:rsid w:val="4E4D606B"/>
    <w:rsid w:val="4E5243DA"/>
    <w:rsid w:val="4E616961"/>
    <w:rsid w:val="4E6737A5"/>
    <w:rsid w:val="4E72CDA6"/>
    <w:rsid w:val="4E78C90A"/>
    <w:rsid w:val="4E883662"/>
    <w:rsid w:val="4E932BD7"/>
    <w:rsid w:val="4E952370"/>
    <w:rsid w:val="4E9F3CE5"/>
    <w:rsid w:val="4EA3B4A3"/>
    <w:rsid w:val="4EA5453F"/>
    <w:rsid w:val="4EB7793B"/>
    <w:rsid w:val="4EBC3AF0"/>
    <w:rsid w:val="4EBC8902"/>
    <w:rsid w:val="4ECB4253"/>
    <w:rsid w:val="4ECD2D51"/>
    <w:rsid w:val="4ED9173D"/>
    <w:rsid w:val="4EDE6566"/>
    <w:rsid w:val="4EE3DB35"/>
    <w:rsid w:val="4EEF0D57"/>
    <w:rsid w:val="4EF36E2E"/>
    <w:rsid w:val="4EF9F337"/>
    <w:rsid w:val="4EFE5E13"/>
    <w:rsid w:val="4F032A1A"/>
    <w:rsid w:val="4F0ABF2D"/>
    <w:rsid w:val="4F21B6A7"/>
    <w:rsid w:val="4F2DEF57"/>
    <w:rsid w:val="4F2E1341"/>
    <w:rsid w:val="4F3D2A7A"/>
    <w:rsid w:val="4F49F4D4"/>
    <w:rsid w:val="4F65AFFD"/>
    <w:rsid w:val="4F8B5FD8"/>
    <w:rsid w:val="4F9222A1"/>
    <w:rsid w:val="4F95FE59"/>
    <w:rsid w:val="4F9682E5"/>
    <w:rsid w:val="4F9CD0D4"/>
    <w:rsid w:val="4F9D90DC"/>
    <w:rsid w:val="4FA19BD4"/>
    <w:rsid w:val="4FA908C9"/>
    <w:rsid w:val="4FAB1315"/>
    <w:rsid w:val="4FB0FD08"/>
    <w:rsid w:val="4FB44999"/>
    <w:rsid w:val="4FB5AAB0"/>
    <w:rsid w:val="4FBC7F2B"/>
    <w:rsid w:val="4FCCE85D"/>
    <w:rsid w:val="4FE14B3F"/>
    <w:rsid w:val="4FE512AE"/>
    <w:rsid w:val="4FE9CF20"/>
    <w:rsid w:val="4FE9E524"/>
    <w:rsid w:val="4FEBDCE7"/>
    <w:rsid w:val="4FF411C4"/>
    <w:rsid w:val="4FF5FB17"/>
    <w:rsid w:val="500F63D4"/>
    <w:rsid w:val="50180AB5"/>
    <w:rsid w:val="50278280"/>
    <w:rsid w:val="5027C05D"/>
    <w:rsid w:val="503BA2A0"/>
    <w:rsid w:val="503DC67C"/>
    <w:rsid w:val="5041BC2C"/>
    <w:rsid w:val="5049C494"/>
    <w:rsid w:val="504E9E23"/>
    <w:rsid w:val="505377EC"/>
    <w:rsid w:val="50568E95"/>
    <w:rsid w:val="5062A8DB"/>
    <w:rsid w:val="5062D313"/>
    <w:rsid w:val="50692275"/>
    <w:rsid w:val="5071786F"/>
    <w:rsid w:val="50773184"/>
    <w:rsid w:val="507A0AD0"/>
    <w:rsid w:val="50858D55"/>
    <w:rsid w:val="50908130"/>
    <w:rsid w:val="5091870A"/>
    <w:rsid w:val="5091CDB5"/>
    <w:rsid w:val="509684C0"/>
    <w:rsid w:val="509A0966"/>
    <w:rsid w:val="509A324E"/>
    <w:rsid w:val="509B9FCF"/>
    <w:rsid w:val="50A0F0E4"/>
    <w:rsid w:val="50AA0885"/>
    <w:rsid w:val="50B04C2D"/>
    <w:rsid w:val="50B5CC3F"/>
    <w:rsid w:val="50B883EF"/>
    <w:rsid w:val="50BEF252"/>
    <w:rsid w:val="50C0D6DC"/>
    <w:rsid w:val="50C26898"/>
    <w:rsid w:val="50C55C70"/>
    <w:rsid w:val="50D7E79B"/>
    <w:rsid w:val="50D89D78"/>
    <w:rsid w:val="50E0F203"/>
    <w:rsid w:val="50E302AE"/>
    <w:rsid w:val="50E72E51"/>
    <w:rsid w:val="50EDDD1A"/>
    <w:rsid w:val="50F539A9"/>
    <w:rsid w:val="50F8981F"/>
    <w:rsid w:val="50FF23A1"/>
    <w:rsid w:val="5106C80F"/>
    <w:rsid w:val="5107CB01"/>
    <w:rsid w:val="510C9F65"/>
    <w:rsid w:val="51120E56"/>
    <w:rsid w:val="511410AE"/>
    <w:rsid w:val="5116944B"/>
    <w:rsid w:val="51367320"/>
    <w:rsid w:val="5139613D"/>
    <w:rsid w:val="513F64D9"/>
    <w:rsid w:val="5145ADC8"/>
    <w:rsid w:val="515FA8E1"/>
    <w:rsid w:val="516526A6"/>
    <w:rsid w:val="5167D9B9"/>
    <w:rsid w:val="516FFC51"/>
    <w:rsid w:val="5175D31A"/>
    <w:rsid w:val="5175ED1F"/>
    <w:rsid w:val="5180B45B"/>
    <w:rsid w:val="5180D956"/>
    <w:rsid w:val="5185D3C7"/>
    <w:rsid w:val="518B70CB"/>
    <w:rsid w:val="518ED6E1"/>
    <w:rsid w:val="51979C47"/>
    <w:rsid w:val="519D4B4B"/>
    <w:rsid w:val="51A911B4"/>
    <w:rsid w:val="51AB2BB6"/>
    <w:rsid w:val="51B3E0CB"/>
    <w:rsid w:val="51B3F2A7"/>
    <w:rsid w:val="51C30EA3"/>
    <w:rsid w:val="51D81562"/>
    <w:rsid w:val="51DB2316"/>
    <w:rsid w:val="51DD5718"/>
    <w:rsid w:val="51E794BA"/>
    <w:rsid w:val="51ED52C7"/>
    <w:rsid w:val="51FB43B0"/>
    <w:rsid w:val="51FE700D"/>
    <w:rsid w:val="52048D0C"/>
    <w:rsid w:val="520A8D63"/>
    <w:rsid w:val="520AA8C7"/>
    <w:rsid w:val="522C4C9A"/>
    <w:rsid w:val="522FE724"/>
    <w:rsid w:val="523051D9"/>
    <w:rsid w:val="52419235"/>
    <w:rsid w:val="52429664"/>
    <w:rsid w:val="5243B8D5"/>
    <w:rsid w:val="5255B2F7"/>
    <w:rsid w:val="525B4CF2"/>
    <w:rsid w:val="525CD169"/>
    <w:rsid w:val="525EEA4F"/>
    <w:rsid w:val="527DF8C5"/>
    <w:rsid w:val="52867405"/>
    <w:rsid w:val="528DA263"/>
    <w:rsid w:val="5293AFA3"/>
    <w:rsid w:val="5295278F"/>
    <w:rsid w:val="529AD91B"/>
    <w:rsid w:val="52A44C1D"/>
    <w:rsid w:val="52A8E051"/>
    <w:rsid w:val="52B70A0F"/>
    <w:rsid w:val="52BA6BB1"/>
    <w:rsid w:val="52BFBCDC"/>
    <w:rsid w:val="52BFF7EA"/>
    <w:rsid w:val="52CDE67F"/>
    <w:rsid w:val="52CED5F4"/>
    <w:rsid w:val="52D1B653"/>
    <w:rsid w:val="52EC5F3D"/>
    <w:rsid w:val="52EDB38C"/>
    <w:rsid w:val="52EEC884"/>
    <w:rsid w:val="52F5A4A4"/>
    <w:rsid w:val="52FA8925"/>
    <w:rsid w:val="52FEFCE7"/>
    <w:rsid w:val="53012F51"/>
    <w:rsid w:val="53083211"/>
    <w:rsid w:val="53105BBF"/>
    <w:rsid w:val="5318D1EC"/>
    <w:rsid w:val="53198893"/>
    <w:rsid w:val="531B1406"/>
    <w:rsid w:val="531F3CEE"/>
    <w:rsid w:val="5329E6BE"/>
    <w:rsid w:val="5341EE68"/>
    <w:rsid w:val="534F368E"/>
    <w:rsid w:val="53683CF9"/>
    <w:rsid w:val="53742A7C"/>
    <w:rsid w:val="53763CAB"/>
    <w:rsid w:val="5378DBB8"/>
    <w:rsid w:val="5383BE88"/>
    <w:rsid w:val="5388CFEC"/>
    <w:rsid w:val="538E8F9B"/>
    <w:rsid w:val="53A5CD90"/>
    <w:rsid w:val="53C53B5C"/>
    <w:rsid w:val="53C9C820"/>
    <w:rsid w:val="53CB1B48"/>
    <w:rsid w:val="53CC223A"/>
    <w:rsid w:val="53CC2AFA"/>
    <w:rsid w:val="53CE36ED"/>
    <w:rsid w:val="53D963FF"/>
    <w:rsid w:val="53DA124F"/>
    <w:rsid w:val="53F7F7AD"/>
    <w:rsid w:val="5403B6E4"/>
    <w:rsid w:val="5406A79D"/>
    <w:rsid w:val="5414BD63"/>
    <w:rsid w:val="5425E056"/>
    <w:rsid w:val="542C3A31"/>
    <w:rsid w:val="54462561"/>
    <w:rsid w:val="54574BA2"/>
    <w:rsid w:val="545E868F"/>
    <w:rsid w:val="54770F85"/>
    <w:rsid w:val="548BA24A"/>
    <w:rsid w:val="548FD31F"/>
    <w:rsid w:val="54981207"/>
    <w:rsid w:val="549E0F01"/>
    <w:rsid w:val="54A9873A"/>
    <w:rsid w:val="54ABCA73"/>
    <w:rsid w:val="54B27596"/>
    <w:rsid w:val="54B515C5"/>
    <w:rsid w:val="54BB79AD"/>
    <w:rsid w:val="54C0999F"/>
    <w:rsid w:val="54D1F06C"/>
    <w:rsid w:val="54DBB72C"/>
    <w:rsid w:val="54E67854"/>
    <w:rsid w:val="54EE7CA8"/>
    <w:rsid w:val="54F5E071"/>
    <w:rsid w:val="54F65DBE"/>
    <w:rsid w:val="55063AB4"/>
    <w:rsid w:val="550A3ECE"/>
    <w:rsid w:val="550BA3DC"/>
    <w:rsid w:val="55110CEE"/>
    <w:rsid w:val="55116665"/>
    <w:rsid w:val="551A6F7D"/>
    <w:rsid w:val="551C7744"/>
    <w:rsid w:val="552B141A"/>
    <w:rsid w:val="5540B182"/>
    <w:rsid w:val="5549C6C2"/>
    <w:rsid w:val="554EF95F"/>
    <w:rsid w:val="55552C37"/>
    <w:rsid w:val="5557E97F"/>
    <w:rsid w:val="555CB2A7"/>
    <w:rsid w:val="5561A641"/>
    <w:rsid w:val="5588B2CE"/>
    <w:rsid w:val="559391B5"/>
    <w:rsid w:val="559DAF03"/>
    <w:rsid w:val="55A92A20"/>
    <w:rsid w:val="55B545C6"/>
    <w:rsid w:val="55CA982A"/>
    <w:rsid w:val="55CC0FA2"/>
    <w:rsid w:val="55D200E3"/>
    <w:rsid w:val="55D2B14E"/>
    <w:rsid w:val="55D60646"/>
    <w:rsid w:val="55E23589"/>
    <w:rsid w:val="55E921BC"/>
    <w:rsid w:val="55F0BB98"/>
    <w:rsid w:val="55F2F684"/>
    <w:rsid w:val="55F42002"/>
    <w:rsid w:val="55FAA724"/>
    <w:rsid w:val="5605C819"/>
    <w:rsid w:val="5606D1CA"/>
    <w:rsid w:val="561DAEC2"/>
    <w:rsid w:val="5629AA20"/>
    <w:rsid w:val="5630D057"/>
    <w:rsid w:val="563361BD"/>
    <w:rsid w:val="56434F91"/>
    <w:rsid w:val="5650738E"/>
    <w:rsid w:val="5650C732"/>
    <w:rsid w:val="565995D4"/>
    <w:rsid w:val="565AD35B"/>
    <w:rsid w:val="566F38CA"/>
    <w:rsid w:val="5686D9CA"/>
    <w:rsid w:val="5698A1B5"/>
    <w:rsid w:val="56AAD838"/>
    <w:rsid w:val="56B20589"/>
    <w:rsid w:val="56B80645"/>
    <w:rsid w:val="56B9A3CA"/>
    <w:rsid w:val="56BEDA6B"/>
    <w:rsid w:val="56CA2D4B"/>
    <w:rsid w:val="56D01FDA"/>
    <w:rsid w:val="56E54D9A"/>
    <w:rsid w:val="56E91512"/>
    <w:rsid w:val="56E991B3"/>
    <w:rsid w:val="56EA9EA8"/>
    <w:rsid w:val="56F1847C"/>
    <w:rsid w:val="56F5FC10"/>
    <w:rsid w:val="56F94285"/>
    <w:rsid w:val="56FF4A5C"/>
    <w:rsid w:val="56FF8376"/>
    <w:rsid w:val="57153216"/>
    <w:rsid w:val="572178D2"/>
    <w:rsid w:val="5729E219"/>
    <w:rsid w:val="57340502"/>
    <w:rsid w:val="5736D478"/>
    <w:rsid w:val="57484280"/>
    <w:rsid w:val="575169E8"/>
    <w:rsid w:val="5752D387"/>
    <w:rsid w:val="5778BBE7"/>
    <w:rsid w:val="577EFDD0"/>
    <w:rsid w:val="578DF162"/>
    <w:rsid w:val="57958F2A"/>
    <w:rsid w:val="57987300"/>
    <w:rsid w:val="579D4556"/>
    <w:rsid w:val="57ABAB2E"/>
    <w:rsid w:val="57ADE8B5"/>
    <w:rsid w:val="57BA4DD2"/>
    <w:rsid w:val="57C3B1ED"/>
    <w:rsid w:val="57C43E98"/>
    <w:rsid w:val="57D0C55A"/>
    <w:rsid w:val="57D16CAC"/>
    <w:rsid w:val="57E2C145"/>
    <w:rsid w:val="57E3254D"/>
    <w:rsid w:val="57F27B40"/>
    <w:rsid w:val="57F412FF"/>
    <w:rsid w:val="5802AFE2"/>
    <w:rsid w:val="5805D178"/>
    <w:rsid w:val="580ADF4F"/>
    <w:rsid w:val="580F06F6"/>
    <w:rsid w:val="58149410"/>
    <w:rsid w:val="58166275"/>
    <w:rsid w:val="583692A0"/>
    <w:rsid w:val="5839234C"/>
    <w:rsid w:val="583D2913"/>
    <w:rsid w:val="585BBA08"/>
    <w:rsid w:val="58666B89"/>
    <w:rsid w:val="5877AE1E"/>
    <w:rsid w:val="58898AFD"/>
    <w:rsid w:val="5899DB69"/>
    <w:rsid w:val="589AB842"/>
    <w:rsid w:val="58A29B50"/>
    <w:rsid w:val="58A79682"/>
    <w:rsid w:val="58AAC1FD"/>
    <w:rsid w:val="58B0E555"/>
    <w:rsid w:val="58B29926"/>
    <w:rsid w:val="58C2734D"/>
    <w:rsid w:val="58C332DC"/>
    <w:rsid w:val="58ECEEFE"/>
    <w:rsid w:val="58F8035B"/>
    <w:rsid w:val="59053C93"/>
    <w:rsid w:val="5909E9C5"/>
    <w:rsid w:val="590A1265"/>
    <w:rsid w:val="590B9DA6"/>
    <w:rsid w:val="591634D5"/>
    <w:rsid w:val="592149F5"/>
    <w:rsid w:val="592791C1"/>
    <w:rsid w:val="59284774"/>
    <w:rsid w:val="5935592F"/>
    <w:rsid w:val="594F42AC"/>
    <w:rsid w:val="59591181"/>
    <w:rsid w:val="595A2579"/>
    <w:rsid w:val="595F900D"/>
    <w:rsid w:val="595FA45D"/>
    <w:rsid w:val="59769A94"/>
    <w:rsid w:val="59882DD4"/>
    <w:rsid w:val="598F414C"/>
    <w:rsid w:val="59C2FD74"/>
    <w:rsid w:val="59D3424D"/>
    <w:rsid w:val="59DBC12A"/>
    <w:rsid w:val="59EDEBDA"/>
    <w:rsid w:val="59F28BA7"/>
    <w:rsid w:val="5A071A53"/>
    <w:rsid w:val="5A2961DB"/>
    <w:rsid w:val="5A2EB4E4"/>
    <w:rsid w:val="5A3664B9"/>
    <w:rsid w:val="5A396DDE"/>
    <w:rsid w:val="5A3D7C09"/>
    <w:rsid w:val="5A4760A8"/>
    <w:rsid w:val="5A487647"/>
    <w:rsid w:val="5A4EC484"/>
    <w:rsid w:val="5A5E930F"/>
    <w:rsid w:val="5A626C3D"/>
    <w:rsid w:val="5A7154F4"/>
    <w:rsid w:val="5A730E93"/>
    <w:rsid w:val="5A796DA8"/>
    <w:rsid w:val="5A7FB0FB"/>
    <w:rsid w:val="5A888C84"/>
    <w:rsid w:val="5A9C1DC5"/>
    <w:rsid w:val="5AA480FF"/>
    <w:rsid w:val="5AA725D0"/>
    <w:rsid w:val="5AA955AB"/>
    <w:rsid w:val="5AAC5602"/>
    <w:rsid w:val="5AADC6FB"/>
    <w:rsid w:val="5AAE897D"/>
    <w:rsid w:val="5AB0BEDB"/>
    <w:rsid w:val="5AB814D6"/>
    <w:rsid w:val="5ABB5B32"/>
    <w:rsid w:val="5ABC9E2F"/>
    <w:rsid w:val="5AD12590"/>
    <w:rsid w:val="5AD3A144"/>
    <w:rsid w:val="5AD5162F"/>
    <w:rsid w:val="5AE96066"/>
    <w:rsid w:val="5AF9D629"/>
    <w:rsid w:val="5AFFE984"/>
    <w:rsid w:val="5B0A96C2"/>
    <w:rsid w:val="5B13DAA2"/>
    <w:rsid w:val="5B150FE6"/>
    <w:rsid w:val="5B313E2A"/>
    <w:rsid w:val="5B399FB4"/>
    <w:rsid w:val="5B4CD69E"/>
    <w:rsid w:val="5B539B2E"/>
    <w:rsid w:val="5B6D7F5A"/>
    <w:rsid w:val="5B751E6F"/>
    <w:rsid w:val="5B78621D"/>
    <w:rsid w:val="5B79FF6C"/>
    <w:rsid w:val="5B8006A5"/>
    <w:rsid w:val="5B8B9981"/>
    <w:rsid w:val="5B977EC7"/>
    <w:rsid w:val="5B99C002"/>
    <w:rsid w:val="5BA7A945"/>
    <w:rsid w:val="5BB85455"/>
    <w:rsid w:val="5BC01F20"/>
    <w:rsid w:val="5BCF9B95"/>
    <w:rsid w:val="5BD8EB37"/>
    <w:rsid w:val="5BF64023"/>
    <w:rsid w:val="5BF9E6C3"/>
    <w:rsid w:val="5C1668E7"/>
    <w:rsid w:val="5C19AE7A"/>
    <w:rsid w:val="5C32329F"/>
    <w:rsid w:val="5C324B35"/>
    <w:rsid w:val="5C552963"/>
    <w:rsid w:val="5C56F286"/>
    <w:rsid w:val="5C6158A3"/>
    <w:rsid w:val="5C62F787"/>
    <w:rsid w:val="5C631D49"/>
    <w:rsid w:val="5C67C4C4"/>
    <w:rsid w:val="5C69F0AA"/>
    <w:rsid w:val="5C7C5FD2"/>
    <w:rsid w:val="5C7DDD17"/>
    <w:rsid w:val="5CAAA052"/>
    <w:rsid w:val="5CB5681F"/>
    <w:rsid w:val="5CC529CA"/>
    <w:rsid w:val="5CD4B6E3"/>
    <w:rsid w:val="5CEFDF5D"/>
    <w:rsid w:val="5CF7387C"/>
    <w:rsid w:val="5CF752EC"/>
    <w:rsid w:val="5CFB1ED0"/>
    <w:rsid w:val="5CFD1A27"/>
    <w:rsid w:val="5D044433"/>
    <w:rsid w:val="5D0E9665"/>
    <w:rsid w:val="5D14AF5D"/>
    <w:rsid w:val="5D1C4FA8"/>
    <w:rsid w:val="5D29E94B"/>
    <w:rsid w:val="5D3455F4"/>
    <w:rsid w:val="5D41F66F"/>
    <w:rsid w:val="5D50ACBA"/>
    <w:rsid w:val="5D593D7A"/>
    <w:rsid w:val="5D5DD7BF"/>
    <w:rsid w:val="5D650DCB"/>
    <w:rsid w:val="5D6B6D64"/>
    <w:rsid w:val="5D72DBD4"/>
    <w:rsid w:val="5D7A31CC"/>
    <w:rsid w:val="5D8146DB"/>
    <w:rsid w:val="5D91F5B6"/>
    <w:rsid w:val="5DAD293C"/>
    <w:rsid w:val="5DB31EE8"/>
    <w:rsid w:val="5DBEF600"/>
    <w:rsid w:val="5DC6E360"/>
    <w:rsid w:val="5DCC972D"/>
    <w:rsid w:val="5DCFD04D"/>
    <w:rsid w:val="5DDABCC8"/>
    <w:rsid w:val="5DDFB096"/>
    <w:rsid w:val="5DE2F00D"/>
    <w:rsid w:val="5DE74FDE"/>
    <w:rsid w:val="5DF6F7C3"/>
    <w:rsid w:val="5E04503A"/>
    <w:rsid w:val="5E0C6AD6"/>
    <w:rsid w:val="5E101F65"/>
    <w:rsid w:val="5E265BC0"/>
    <w:rsid w:val="5E2A1CA3"/>
    <w:rsid w:val="5E2F6983"/>
    <w:rsid w:val="5E39619A"/>
    <w:rsid w:val="5E411505"/>
    <w:rsid w:val="5E47E7BF"/>
    <w:rsid w:val="5E4A1DC1"/>
    <w:rsid w:val="5E4D3A26"/>
    <w:rsid w:val="5E58B3D0"/>
    <w:rsid w:val="5E65EFC1"/>
    <w:rsid w:val="5E7D6618"/>
    <w:rsid w:val="5E8A96F9"/>
    <w:rsid w:val="5E9231CB"/>
    <w:rsid w:val="5E9A0D43"/>
    <w:rsid w:val="5EA5A4D9"/>
    <w:rsid w:val="5EAA3D6D"/>
    <w:rsid w:val="5EB373EA"/>
    <w:rsid w:val="5EBCFB65"/>
    <w:rsid w:val="5EC02A57"/>
    <w:rsid w:val="5EC71F50"/>
    <w:rsid w:val="5ED2CAFE"/>
    <w:rsid w:val="5EEFC774"/>
    <w:rsid w:val="5EF9C287"/>
    <w:rsid w:val="5F1121E7"/>
    <w:rsid w:val="5F13EE71"/>
    <w:rsid w:val="5F15BE5F"/>
    <w:rsid w:val="5F1B7960"/>
    <w:rsid w:val="5F1D6C06"/>
    <w:rsid w:val="5F2C748C"/>
    <w:rsid w:val="5F33F33B"/>
    <w:rsid w:val="5F3406C3"/>
    <w:rsid w:val="5F342B4B"/>
    <w:rsid w:val="5F368F7A"/>
    <w:rsid w:val="5F3A5DC0"/>
    <w:rsid w:val="5F3D864A"/>
    <w:rsid w:val="5F41715D"/>
    <w:rsid w:val="5F443E7C"/>
    <w:rsid w:val="5F4B8FFA"/>
    <w:rsid w:val="5F4D59F7"/>
    <w:rsid w:val="5F4DAC0F"/>
    <w:rsid w:val="5F65C7F8"/>
    <w:rsid w:val="5F6D2DE6"/>
    <w:rsid w:val="5F787037"/>
    <w:rsid w:val="5F7B11FB"/>
    <w:rsid w:val="5F9697B0"/>
    <w:rsid w:val="5FAADFAE"/>
    <w:rsid w:val="5FC55FB7"/>
    <w:rsid w:val="5FCB9520"/>
    <w:rsid w:val="5FD89C84"/>
    <w:rsid w:val="5FDBDD51"/>
    <w:rsid w:val="5FDC83E7"/>
    <w:rsid w:val="5FDEB194"/>
    <w:rsid w:val="5FE02D2B"/>
    <w:rsid w:val="6004F8C2"/>
    <w:rsid w:val="600816D4"/>
    <w:rsid w:val="600B83C8"/>
    <w:rsid w:val="600C9CED"/>
    <w:rsid w:val="600D56BE"/>
    <w:rsid w:val="600F2A61"/>
    <w:rsid w:val="6010F963"/>
    <w:rsid w:val="601F3648"/>
    <w:rsid w:val="60226070"/>
    <w:rsid w:val="602381CE"/>
    <w:rsid w:val="6026881D"/>
    <w:rsid w:val="602D30C7"/>
    <w:rsid w:val="603100C9"/>
    <w:rsid w:val="6043524A"/>
    <w:rsid w:val="60436565"/>
    <w:rsid w:val="60586214"/>
    <w:rsid w:val="60635FB0"/>
    <w:rsid w:val="606D4991"/>
    <w:rsid w:val="6072FB79"/>
    <w:rsid w:val="60736D6F"/>
    <w:rsid w:val="60891669"/>
    <w:rsid w:val="6091F701"/>
    <w:rsid w:val="6099C5F4"/>
    <w:rsid w:val="60A61866"/>
    <w:rsid w:val="60AFBED2"/>
    <w:rsid w:val="60B84A29"/>
    <w:rsid w:val="60BB885F"/>
    <w:rsid w:val="60C10E26"/>
    <w:rsid w:val="60D5B8C8"/>
    <w:rsid w:val="60E704C2"/>
    <w:rsid w:val="60F236C6"/>
    <w:rsid w:val="61032AE4"/>
    <w:rsid w:val="610401E9"/>
    <w:rsid w:val="61044F16"/>
    <w:rsid w:val="61086606"/>
    <w:rsid w:val="610F2CE9"/>
    <w:rsid w:val="61184692"/>
    <w:rsid w:val="6119891D"/>
    <w:rsid w:val="6119B7D1"/>
    <w:rsid w:val="61326461"/>
    <w:rsid w:val="613950D2"/>
    <w:rsid w:val="6143599A"/>
    <w:rsid w:val="6148C89A"/>
    <w:rsid w:val="6150C60C"/>
    <w:rsid w:val="61586D1F"/>
    <w:rsid w:val="61603E91"/>
    <w:rsid w:val="6169947C"/>
    <w:rsid w:val="616BF61F"/>
    <w:rsid w:val="61779833"/>
    <w:rsid w:val="618EFA28"/>
    <w:rsid w:val="61A395FF"/>
    <w:rsid w:val="61B123DF"/>
    <w:rsid w:val="61B298D1"/>
    <w:rsid w:val="61B3FF8C"/>
    <w:rsid w:val="61B48A94"/>
    <w:rsid w:val="61B9A1E1"/>
    <w:rsid w:val="61C5D5C8"/>
    <w:rsid w:val="61CDE77A"/>
    <w:rsid w:val="61E68ADC"/>
    <w:rsid w:val="61E97E59"/>
    <w:rsid w:val="61EA0A3E"/>
    <w:rsid w:val="61EC18A6"/>
    <w:rsid w:val="61F3DD47"/>
    <w:rsid w:val="62057BED"/>
    <w:rsid w:val="6207B5EC"/>
    <w:rsid w:val="62093CD0"/>
    <w:rsid w:val="620E1818"/>
    <w:rsid w:val="6224DA6E"/>
    <w:rsid w:val="6227D887"/>
    <w:rsid w:val="623129FA"/>
    <w:rsid w:val="623B290B"/>
    <w:rsid w:val="625224DD"/>
    <w:rsid w:val="6252BAFC"/>
    <w:rsid w:val="6255C69A"/>
    <w:rsid w:val="625EAE7B"/>
    <w:rsid w:val="6265C78A"/>
    <w:rsid w:val="627272CD"/>
    <w:rsid w:val="627EEF8E"/>
    <w:rsid w:val="628B625B"/>
    <w:rsid w:val="6293BA86"/>
    <w:rsid w:val="629BFD2D"/>
    <w:rsid w:val="62A05AE2"/>
    <w:rsid w:val="62AB92BE"/>
    <w:rsid w:val="62B8A70A"/>
    <w:rsid w:val="62BB63F9"/>
    <w:rsid w:val="62C1BEC2"/>
    <w:rsid w:val="62C3FB60"/>
    <w:rsid w:val="62C76718"/>
    <w:rsid w:val="62C90642"/>
    <w:rsid w:val="62D991E3"/>
    <w:rsid w:val="62E24EAA"/>
    <w:rsid w:val="62E31EDD"/>
    <w:rsid w:val="62FA3E98"/>
    <w:rsid w:val="6300B42B"/>
    <w:rsid w:val="63023CEF"/>
    <w:rsid w:val="630F20D1"/>
    <w:rsid w:val="63147420"/>
    <w:rsid w:val="631975D4"/>
    <w:rsid w:val="6319C672"/>
    <w:rsid w:val="631A73CE"/>
    <w:rsid w:val="6323198C"/>
    <w:rsid w:val="63260167"/>
    <w:rsid w:val="6332905C"/>
    <w:rsid w:val="63387C53"/>
    <w:rsid w:val="634E5A93"/>
    <w:rsid w:val="635568DB"/>
    <w:rsid w:val="63579B72"/>
    <w:rsid w:val="6359C40C"/>
    <w:rsid w:val="63686992"/>
    <w:rsid w:val="636A31F7"/>
    <w:rsid w:val="636C9312"/>
    <w:rsid w:val="6370FD85"/>
    <w:rsid w:val="637682D6"/>
    <w:rsid w:val="63779F75"/>
    <w:rsid w:val="63786049"/>
    <w:rsid w:val="637D81F5"/>
    <w:rsid w:val="638CCFEB"/>
    <w:rsid w:val="6390D660"/>
    <w:rsid w:val="639233D2"/>
    <w:rsid w:val="6394BF56"/>
    <w:rsid w:val="63967413"/>
    <w:rsid w:val="63A5346F"/>
    <w:rsid w:val="63AC2C7A"/>
    <w:rsid w:val="63B71BC4"/>
    <w:rsid w:val="63BB4036"/>
    <w:rsid w:val="63BB4F90"/>
    <w:rsid w:val="63C9E645"/>
    <w:rsid w:val="63D116E2"/>
    <w:rsid w:val="63D4A3F8"/>
    <w:rsid w:val="63D95A9E"/>
    <w:rsid w:val="63EA4D76"/>
    <w:rsid w:val="63F20345"/>
    <w:rsid w:val="63F5537F"/>
    <w:rsid w:val="63FF739A"/>
    <w:rsid w:val="640149C9"/>
    <w:rsid w:val="64063123"/>
    <w:rsid w:val="640DBEAA"/>
    <w:rsid w:val="6421E725"/>
    <w:rsid w:val="6423ED19"/>
    <w:rsid w:val="6427C8BE"/>
    <w:rsid w:val="643B2C65"/>
    <w:rsid w:val="644D8566"/>
    <w:rsid w:val="6459939A"/>
    <w:rsid w:val="646ABA37"/>
    <w:rsid w:val="646C6502"/>
    <w:rsid w:val="647F1886"/>
    <w:rsid w:val="6486EB9D"/>
    <w:rsid w:val="648719C3"/>
    <w:rsid w:val="648C7B1B"/>
    <w:rsid w:val="648CCE65"/>
    <w:rsid w:val="64902857"/>
    <w:rsid w:val="649124DD"/>
    <w:rsid w:val="6496DDA9"/>
    <w:rsid w:val="649AA67E"/>
    <w:rsid w:val="64A3363A"/>
    <w:rsid w:val="64AA2CE1"/>
    <w:rsid w:val="64AD93BE"/>
    <w:rsid w:val="64B4F994"/>
    <w:rsid w:val="64C37490"/>
    <w:rsid w:val="64C864EF"/>
    <w:rsid w:val="64E33310"/>
    <w:rsid w:val="64E6D7C3"/>
    <w:rsid w:val="64E9CD76"/>
    <w:rsid w:val="64EA1F2F"/>
    <w:rsid w:val="64EE23CC"/>
    <w:rsid w:val="64EFB8EA"/>
    <w:rsid w:val="64F45EBF"/>
    <w:rsid w:val="64F93A07"/>
    <w:rsid w:val="650AA2D7"/>
    <w:rsid w:val="651710CD"/>
    <w:rsid w:val="652549D7"/>
    <w:rsid w:val="652569A6"/>
    <w:rsid w:val="6530406E"/>
    <w:rsid w:val="6532B3BE"/>
    <w:rsid w:val="6533B064"/>
    <w:rsid w:val="653C866B"/>
    <w:rsid w:val="6542E886"/>
    <w:rsid w:val="65611BFD"/>
    <w:rsid w:val="656914AE"/>
    <w:rsid w:val="656AFC2A"/>
    <w:rsid w:val="656B7718"/>
    <w:rsid w:val="657D43A2"/>
    <w:rsid w:val="6585E4BF"/>
    <w:rsid w:val="6587B16E"/>
    <w:rsid w:val="6588E05E"/>
    <w:rsid w:val="6589D411"/>
    <w:rsid w:val="658EC4CE"/>
    <w:rsid w:val="659A0927"/>
    <w:rsid w:val="65A7449B"/>
    <w:rsid w:val="65AD8EDA"/>
    <w:rsid w:val="65BD40B2"/>
    <w:rsid w:val="65E1AF99"/>
    <w:rsid w:val="65F3E9E3"/>
    <w:rsid w:val="65F6A184"/>
    <w:rsid w:val="66178647"/>
    <w:rsid w:val="66271C74"/>
    <w:rsid w:val="662A22AD"/>
    <w:rsid w:val="663A2299"/>
    <w:rsid w:val="6640C813"/>
    <w:rsid w:val="6644CB30"/>
    <w:rsid w:val="6649D6CF"/>
    <w:rsid w:val="66585E0D"/>
    <w:rsid w:val="6659C801"/>
    <w:rsid w:val="6674C6DE"/>
    <w:rsid w:val="667DE30D"/>
    <w:rsid w:val="6681AEA7"/>
    <w:rsid w:val="668B20C7"/>
    <w:rsid w:val="66B16E4D"/>
    <w:rsid w:val="66B3090B"/>
    <w:rsid w:val="66B94813"/>
    <w:rsid w:val="66BAABD7"/>
    <w:rsid w:val="66C619C8"/>
    <w:rsid w:val="66D1152A"/>
    <w:rsid w:val="66D7AC50"/>
    <w:rsid w:val="66E0C950"/>
    <w:rsid w:val="66E74C88"/>
    <w:rsid w:val="66EE4D71"/>
    <w:rsid w:val="66F6506A"/>
    <w:rsid w:val="66FD90C0"/>
    <w:rsid w:val="6701182A"/>
    <w:rsid w:val="671050A4"/>
    <w:rsid w:val="6718613D"/>
    <w:rsid w:val="671AA926"/>
    <w:rsid w:val="671B02F2"/>
    <w:rsid w:val="671B1F3F"/>
    <w:rsid w:val="672046D4"/>
    <w:rsid w:val="672ECB80"/>
    <w:rsid w:val="67321BEB"/>
    <w:rsid w:val="6737EB18"/>
    <w:rsid w:val="673AE325"/>
    <w:rsid w:val="674A2275"/>
    <w:rsid w:val="67525E10"/>
    <w:rsid w:val="6753396C"/>
    <w:rsid w:val="6767CD79"/>
    <w:rsid w:val="67712848"/>
    <w:rsid w:val="67713D4E"/>
    <w:rsid w:val="677F595C"/>
    <w:rsid w:val="67888138"/>
    <w:rsid w:val="678936BE"/>
    <w:rsid w:val="678F4D32"/>
    <w:rsid w:val="6791515E"/>
    <w:rsid w:val="6794FC34"/>
    <w:rsid w:val="679E78A4"/>
    <w:rsid w:val="67B0A8B7"/>
    <w:rsid w:val="67B2C3CD"/>
    <w:rsid w:val="67B8C866"/>
    <w:rsid w:val="67BD000F"/>
    <w:rsid w:val="67BEA62C"/>
    <w:rsid w:val="67BFE08A"/>
    <w:rsid w:val="67D17853"/>
    <w:rsid w:val="67D35BCE"/>
    <w:rsid w:val="67EB9701"/>
    <w:rsid w:val="67F152A4"/>
    <w:rsid w:val="67F7660E"/>
    <w:rsid w:val="67F85B48"/>
    <w:rsid w:val="67FAEAC9"/>
    <w:rsid w:val="67FB9F61"/>
    <w:rsid w:val="67FC7544"/>
    <w:rsid w:val="68193494"/>
    <w:rsid w:val="681D371E"/>
    <w:rsid w:val="682EFF85"/>
    <w:rsid w:val="682FDD0A"/>
    <w:rsid w:val="6839261F"/>
    <w:rsid w:val="6845ECD7"/>
    <w:rsid w:val="68470595"/>
    <w:rsid w:val="684B438C"/>
    <w:rsid w:val="684D7170"/>
    <w:rsid w:val="6855518E"/>
    <w:rsid w:val="685B8264"/>
    <w:rsid w:val="6871719C"/>
    <w:rsid w:val="6880A6D1"/>
    <w:rsid w:val="68810F38"/>
    <w:rsid w:val="68A279E7"/>
    <w:rsid w:val="68AEA787"/>
    <w:rsid w:val="68D3BC7B"/>
    <w:rsid w:val="68EC4F59"/>
    <w:rsid w:val="68EDFBD1"/>
    <w:rsid w:val="68F4F121"/>
    <w:rsid w:val="68FD7BA2"/>
    <w:rsid w:val="69165C72"/>
    <w:rsid w:val="6916F575"/>
    <w:rsid w:val="691812B6"/>
    <w:rsid w:val="691AA603"/>
    <w:rsid w:val="6921966F"/>
    <w:rsid w:val="69245199"/>
    <w:rsid w:val="693A05F3"/>
    <w:rsid w:val="695860E9"/>
    <w:rsid w:val="696C8FC3"/>
    <w:rsid w:val="698F37FE"/>
    <w:rsid w:val="6991F491"/>
    <w:rsid w:val="69933157"/>
    <w:rsid w:val="6995CF19"/>
    <w:rsid w:val="69A16489"/>
    <w:rsid w:val="69A23EF3"/>
    <w:rsid w:val="69A2D47A"/>
    <w:rsid w:val="69A35ADF"/>
    <w:rsid w:val="69AE1BE3"/>
    <w:rsid w:val="69B4BA96"/>
    <w:rsid w:val="69E6F6C8"/>
    <w:rsid w:val="69F5098B"/>
    <w:rsid w:val="6A0060AE"/>
    <w:rsid w:val="6A02CB25"/>
    <w:rsid w:val="6A02F021"/>
    <w:rsid w:val="6A05A68F"/>
    <w:rsid w:val="6A06BE77"/>
    <w:rsid w:val="6A0D3236"/>
    <w:rsid w:val="6A1EA7AE"/>
    <w:rsid w:val="6A295988"/>
    <w:rsid w:val="6A2DB316"/>
    <w:rsid w:val="6A34CF20"/>
    <w:rsid w:val="6A37C1D7"/>
    <w:rsid w:val="6A3D1FE4"/>
    <w:rsid w:val="6A48A1EC"/>
    <w:rsid w:val="6A54DA00"/>
    <w:rsid w:val="6A60B75D"/>
    <w:rsid w:val="6A68E2A6"/>
    <w:rsid w:val="6A6A5CF2"/>
    <w:rsid w:val="6A6DDB17"/>
    <w:rsid w:val="6A769B93"/>
    <w:rsid w:val="6A7CADFC"/>
    <w:rsid w:val="6A7E0FBD"/>
    <w:rsid w:val="6A80152C"/>
    <w:rsid w:val="6A87889B"/>
    <w:rsid w:val="6A8CB8F8"/>
    <w:rsid w:val="6A8E6BCC"/>
    <w:rsid w:val="6A8F35FE"/>
    <w:rsid w:val="6A9440E7"/>
    <w:rsid w:val="6AA56A70"/>
    <w:rsid w:val="6AB16633"/>
    <w:rsid w:val="6AB18E6C"/>
    <w:rsid w:val="6ABB3F41"/>
    <w:rsid w:val="6ABED3AF"/>
    <w:rsid w:val="6AC88717"/>
    <w:rsid w:val="6AD66C92"/>
    <w:rsid w:val="6AD91EE3"/>
    <w:rsid w:val="6AF0B65B"/>
    <w:rsid w:val="6AF7A01F"/>
    <w:rsid w:val="6AFA1B01"/>
    <w:rsid w:val="6B07B634"/>
    <w:rsid w:val="6B0F8609"/>
    <w:rsid w:val="6B16A641"/>
    <w:rsid w:val="6B197143"/>
    <w:rsid w:val="6B1F08D5"/>
    <w:rsid w:val="6B232A50"/>
    <w:rsid w:val="6B2A6768"/>
    <w:rsid w:val="6B405842"/>
    <w:rsid w:val="6B4554A0"/>
    <w:rsid w:val="6B6004A7"/>
    <w:rsid w:val="6B68142A"/>
    <w:rsid w:val="6B694182"/>
    <w:rsid w:val="6B761085"/>
    <w:rsid w:val="6B77A122"/>
    <w:rsid w:val="6B77D53C"/>
    <w:rsid w:val="6B7CD5DA"/>
    <w:rsid w:val="6B891C89"/>
    <w:rsid w:val="6B8C21BE"/>
    <w:rsid w:val="6B8FD820"/>
    <w:rsid w:val="6B9042B6"/>
    <w:rsid w:val="6B95F383"/>
    <w:rsid w:val="6BA6FC57"/>
    <w:rsid w:val="6BC60A5D"/>
    <w:rsid w:val="6BD72F09"/>
    <w:rsid w:val="6BE0D563"/>
    <w:rsid w:val="6BE6CF32"/>
    <w:rsid w:val="6BEDAA0F"/>
    <w:rsid w:val="6BEF6B0E"/>
    <w:rsid w:val="6BFFECC9"/>
    <w:rsid w:val="6C0522A2"/>
    <w:rsid w:val="6C08E92B"/>
    <w:rsid w:val="6C104433"/>
    <w:rsid w:val="6C167B87"/>
    <w:rsid w:val="6C35E5C1"/>
    <w:rsid w:val="6C551D9B"/>
    <w:rsid w:val="6C571FC8"/>
    <w:rsid w:val="6C59EFF2"/>
    <w:rsid w:val="6C5ABCDC"/>
    <w:rsid w:val="6C5FFDBE"/>
    <w:rsid w:val="6C67DDF2"/>
    <w:rsid w:val="6C68F94F"/>
    <w:rsid w:val="6C6A5035"/>
    <w:rsid w:val="6C7101E6"/>
    <w:rsid w:val="6C7303FE"/>
    <w:rsid w:val="6C8CCFD9"/>
    <w:rsid w:val="6C91FD82"/>
    <w:rsid w:val="6CA22E09"/>
    <w:rsid w:val="6CA3FDF7"/>
    <w:rsid w:val="6CB01466"/>
    <w:rsid w:val="6CB21F0E"/>
    <w:rsid w:val="6CB788C7"/>
    <w:rsid w:val="6CBA3AC1"/>
    <w:rsid w:val="6CBB25C1"/>
    <w:rsid w:val="6CCA874D"/>
    <w:rsid w:val="6CCF781E"/>
    <w:rsid w:val="6CD65B24"/>
    <w:rsid w:val="6CDC944B"/>
    <w:rsid w:val="6CE23DD9"/>
    <w:rsid w:val="6CE9445D"/>
    <w:rsid w:val="6CFAF8AA"/>
    <w:rsid w:val="6D01CAB6"/>
    <w:rsid w:val="6D0F223D"/>
    <w:rsid w:val="6D15996B"/>
    <w:rsid w:val="6D170E9D"/>
    <w:rsid w:val="6D17A830"/>
    <w:rsid w:val="6D19FD6A"/>
    <w:rsid w:val="6D1DA397"/>
    <w:rsid w:val="6D2D308F"/>
    <w:rsid w:val="6D2F6283"/>
    <w:rsid w:val="6D30E474"/>
    <w:rsid w:val="6D449D5F"/>
    <w:rsid w:val="6D4E6CDF"/>
    <w:rsid w:val="6D54B6BE"/>
    <w:rsid w:val="6D58D9E3"/>
    <w:rsid w:val="6D5D9DDE"/>
    <w:rsid w:val="6D792672"/>
    <w:rsid w:val="6D795BCE"/>
    <w:rsid w:val="6D7BF364"/>
    <w:rsid w:val="6D7D29F2"/>
    <w:rsid w:val="6D84EB55"/>
    <w:rsid w:val="6D89AF1C"/>
    <w:rsid w:val="6D99870F"/>
    <w:rsid w:val="6D9BC376"/>
    <w:rsid w:val="6DA10EF3"/>
    <w:rsid w:val="6DA9E9A4"/>
    <w:rsid w:val="6DAADB0C"/>
    <w:rsid w:val="6DABA37D"/>
    <w:rsid w:val="6DACA5AA"/>
    <w:rsid w:val="6DAF7673"/>
    <w:rsid w:val="6DB11EB7"/>
    <w:rsid w:val="6DB47225"/>
    <w:rsid w:val="6DB7E7CF"/>
    <w:rsid w:val="6DD3D984"/>
    <w:rsid w:val="6DDAB408"/>
    <w:rsid w:val="6DE68F42"/>
    <w:rsid w:val="6DFA5FF8"/>
    <w:rsid w:val="6DFD9436"/>
    <w:rsid w:val="6E0D2CE0"/>
    <w:rsid w:val="6E13EA9A"/>
    <w:rsid w:val="6E15911B"/>
    <w:rsid w:val="6E1591EE"/>
    <w:rsid w:val="6E162791"/>
    <w:rsid w:val="6E1B43C6"/>
    <w:rsid w:val="6E246221"/>
    <w:rsid w:val="6E34D13D"/>
    <w:rsid w:val="6E4AF1C1"/>
    <w:rsid w:val="6E5D5946"/>
    <w:rsid w:val="6E6388DE"/>
    <w:rsid w:val="6E69DA4E"/>
    <w:rsid w:val="6E70B924"/>
    <w:rsid w:val="6E7271C7"/>
    <w:rsid w:val="6E743E8E"/>
    <w:rsid w:val="6E7D5051"/>
    <w:rsid w:val="6E8083C7"/>
    <w:rsid w:val="6E85E0DD"/>
    <w:rsid w:val="6E86125B"/>
    <w:rsid w:val="6E976579"/>
    <w:rsid w:val="6EA03583"/>
    <w:rsid w:val="6EA54651"/>
    <w:rsid w:val="6EB1AF3C"/>
    <w:rsid w:val="6ECCC25E"/>
    <w:rsid w:val="6ECD4190"/>
    <w:rsid w:val="6EE70843"/>
    <w:rsid w:val="6EFBCF48"/>
    <w:rsid w:val="6EFDCCF2"/>
    <w:rsid w:val="6F01B265"/>
    <w:rsid w:val="6F064BC8"/>
    <w:rsid w:val="6F07BFBF"/>
    <w:rsid w:val="6F1E451F"/>
    <w:rsid w:val="6F26F251"/>
    <w:rsid w:val="6F3C8C2A"/>
    <w:rsid w:val="6F4C11FA"/>
    <w:rsid w:val="6F58FE2C"/>
    <w:rsid w:val="6F6719C0"/>
    <w:rsid w:val="6F6BFB75"/>
    <w:rsid w:val="6F6DD488"/>
    <w:rsid w:val="6F788232"/>
    <w:rsid w:val="6F7CF6DB"/>
    <w:rsid w:val="6F8A187D"/>
    <w:rsid w:val="6F8BA9A0"/>
    <w:rsid w:val="6F8CC413"/>
    <w:rsid w:val="6F9E57A4"/>
    <w:rsid w:val="6F9F70C5"/>
    <w:rsid w:val="6FBBD679"/>
    <w:rsid w:val="6FC5BD28"/>
    <w:rsid w:val="6FC92DB8"/>
    <w:rsid w:val="6FD0E6EA"/>
    <w:rsid w:val="6FD6DCF6"/>
    <w:rsid w:val="6FD7F816"/>
    <w:rsid w:val="6FDA301E"/>
    <w:rsid w:val="6FDFEA65"/>
    <w:rsid w:val="6FE0152D"/>
    <w:rsid w:val="6FE9F92E"/>
    <w:rsid w:val="6FEDA7F3"/>
    <w:rsid w:val="6FF6F337"/>
    <w:rsid w:val="7003BE71"/>
    <w:rsid w:val="7004C09E"/>
    <w:rsid w:val="700A0C44"/>
    <w:rsid w:val="700B193E"/>
    <w:rsid w:val="700E4E12"/>
    <w:rsid w:val="70134C4E"/>
    <w:rsid w:val="70256655"/>
    <w:rsid w:val="70277359"/>
    <w:rsid w:val="704AFEBD"/>
    <w:rsid w:val="705ECF13"/>
    <w:rsid w:val="70654B3A"/>
    <w:rsid w:val="7067DF42"/>
    <w:rsid w:val="708694CC"/>
    <w:rsid w:val="70923779"/>
    <w:rsid w:val="70A25937"/>
    <w:rsid w:val="70A8C86E"/>
    <w:rsid w:val="70AA4B4C"/>
    <w:rsid w:val="70B02C0F"/>
    <w:rsid w:val="70BE480B"/>
    <w:rsid w:val="70C39A81"/>
    <w:rsid w:val="70DB7064"/>
    <w:rsid w:val="70F4F3DA"/>
    <w:rsid w:val="70F9AC73"/>
    <w:rsid w:val="710A7C68"/>
    <w:rsid w:val="7115D4FE"/>
    <w:rsid w:val="711C2F19"/>
    <w:rsid w:val="713F39DF"/>
    <w:rsid w:val="714C8AB5"/>
    <w:rsid w:val="71697E0C"/>
    <w:rsid w:val="716E42FF"/>
    <w:rsid w:val="7172D34F"/>
    <w:rsid w:val="717BF87C"/>
    <w:rsid w:val="717DE6A8"/>
    <w:rsid w:val="717F49E5"/>
    <w:rsid w:val="7189F2BF"/>
    <w:rsid w:val="7191AE1E"/>
    <w:rsid w:val="71A9F19A"/>
    <w:rsid w:val="71B5B723"/>
    <w:rsid w:val="71B77985"/>
    <w:rsid w:val="71D2E885"/>
    <w:rsid w:val="71E74E64"/>
    <w:rsid w:val="71F98DF3"/>
    <w:rsid w:val="720272B2"/>
    <w:rsid w:val="72085A94"/>
    <w:rsid w:val="720A33E2"/>
    <w:rsid w:val="7218B959"/>
    <w:rsid w:val="721D214A"/>
    <w:rsid w:val="72255659"/>
    <w:rsid w:val="7227CE72"/>
    <w:rsid w:val="722C2C3F"/>
    <w:rsid w:val="723291B0"/>
    <w:rsid w:val="7233A7C0"/>
    <w:rsid w:val="723C3E28"/>
    <w:rsid w:val="723DDAEF"/>
    <w:rsid w:val="725CCB65"/>
    <w:rsid w:val="725CE62A"/>
    <w:rsid w:val="725D9076"/>
    <w:rsid w:val="7260184C"/>
    <w:rsid w:val="726126E6"/>
    <w:rsid w:val="72684DB8"/>
    <w:rsid w:val="7268EC30"/>
    <w:rsid w:val="726A254E"/>
    <w:rsid w:val="726C1D8C"/>
    <w:rsid w:val="7274987F"/>
    <w:rsid w:val="727A46C6"/>
    <w:rsid w:val="727B8D6B"/>
    <w:rsid w:val="727C6CA1"/>
    <w:rsid w:val="72814FE2"/>
    <w:rsid w:val="728193A5"/>
    <w:rsid w:val="729821BA"/>
    <w:rsid w:val="72A29698"/>
    <w:rsid w:val="72A70818"/>
    <w:rsid w:val="72A7F375"/>
    <w:rsid w:val="72C1A992"/>
    <w:rsid w:val="72C274B4"/>
    <w:rsid w:val="72DF5785"/>
    <w:rsid w:val="72E1DD03"/>
    <w:rsid w:val="72F3D630"/>
    <w:rsid w:val="73018FC7"/>
    <w:rsid w:val="73044FC9"/>
    <w:rsid w:val="73086806"/>
    <w:rsid w:val="730C5A5F"/>
    <w:rsid w:val="731B0978"/>
    <w:rsid w:val="73233BBD"/>
    <w:rsid w:val="73288F80"/>
    <w:rsid w:val="7330AAFA"/>
    <w:rsid w:val="73564265"/>
    <w:rsid w:val="73580980"/>
    <w:rsid w:val="7359C77A"/>
    <w:rsid w:val="736B5829"/>
    <w:rsid w:val="738329BC"/>
    <w:rsid w:val="73966FD5"/>
    <w:rsid w:val="73A5A42D"/>
    <w:rsid w:val="73B0C92A"/>
    <w:rsid w:val="73B5BDFB"/>
    <w:rsid w:val="73B924B0"/>
    <w:rsid w:val="73CC116A"/>
    <w:rsid w:val="73E67729"/>
    <w:rsid w:val="73E7FC4E"/>
    <w:rsid w:val="73F1EB9E"/>
    <w:rsid w:val="740558B8"/>
    <w:rsid w:val="740C4D51"/>
    <w:rsid w:val="74120435"/>
    <w:rsid w:val="7428C40A"/>
    <w:rsid w:val="742D1723"/>
    <w:rsid w:val="7441264B"/>
    <w:rsid w:val="7444EBAF"/>
    <w:rsid w:val="7448EFE7"/>
    <w:rsid w:val="744C7E1A"/>
    <w:rsid w:val="745508C5"/>
    <w:rsid w:val="74645208"/>
    <w:rsid w:val="746D40D3"/>
    <w:rsid w:val="748852E1"/>
    <w:rsid w:val="7491A7A8"/>
    <w:rsid w:val="74939D1B"/>
    <w:rsid w:val="7497362B"/>
    <w:rsid w:val="7497D0F0"/>
    <w:rsid w:val="749D1F29"/>
    <w:rsid w:val="749E9179"/>
    <w:rsid w:val="749F6A77"/>
    <w:rsid w:val="74A539E4"/>
    <w:rsid w:val="74AFA711"/>
    <w:rsid w:val="74AFB55C"/>
    <w:rsid w:val="74B1DBA2"/>
    <w:rsid w:val="74B4517D"/>
    <w:rsid w:val="74BA58F0"/>
    <w:rsid w:val="74C00583"/>
    <w:rsid w:val="74DAC603"/>
    <w:rsid w:val="74DCFAE1"/>
    <w:rsid w:val="74E1BF35"/>
    <w:rsid w:val="74EA6DB6"/>
    <w:rsid w:val="74EB572A"/>
    <w:rsid w:val="74FBEE49"/>
    <w:rsid w:val="74FCB0FF"/>
    <w:rsid w:val="74FD9768"/>
    <w:rsid w:val="74FE9AC6"/>
    <w:rsid w:val="750CA594"/>
    <w:rsid w:val="752607A4"/>
    <w:rsid w:val="7536AFA6"/>
    <w:rsid w:val="75384274"/>
    <w:rsid w:val="75485EC4"/>
    <w:rsid w:val="7549D1A8"/>
    <w:rsid w:val="754BBA36"/>
    <w:rsid w:val="754D232F"/>
    <w:rsid w:val="7554ECD2"/>
    <w:rsid w:val="7555E205"/>
    <w:rsid w:val="75631F36"/>
    <w:rsid w:val="756AB7DC"/>
    <w:rsid w:val="756F1892"/>
    <w:rsid w:val="7570A36A"/>
    <w:rsid w:val="75736CD5"/>
    <w:rsid w:val="7573AC19"/>
    <w:rsid w:val="758454B1"/>
    <w:rsid w:val="7589986E"/>
    <w:rsid w:val="758FA233"/>
    <w:rsid w:val="7596B93F"/>
    <w:rsid w:val="75992D9C"/>
    <w:rsid w:val="759ED2BB"/>
    <w:rsid w:val="75A01DB6"/>
    <w:rsid w:val="75A4019D"/>
    <w:rsid w:val="75B81A77"/>
    <w:rsid w:val="75C1506C"/>
    <w:rsid w:val="75C27ACF"/>
    <w:rsid w:val="75C2B35E"/>
    <w:rsid w:val="75C5AC04"/>
    <w:rsid w:val="75D21E6A"/>
    <w:rsid w:val="75D8B659"/>
    <w:rsid w:val="75DE4186"/>
    <w:rsid w:val="75F7C075"/>
    <w:rsid w:val="7600D46F"/>
    <w:rsid w:val="7603D8A3"/>
    <w:rsid w:val="760A4E3D"/>
    <w:rsid w:val="76245197"/>
    <w:rsid w:val="7626A786"/>
    <w:rsid w:val="7627121F"/>
    <w:rsid w:val="76392A94"/>
    <w:rsid w:val="76396523"/>
    <w:rsid w:val="7641B422"/>
    <w:rsid w:val="764216AE"/>
    <w:rsid w:val="76469CA0"/>
    <w:rsid w:val="76520555"/>
    <w:rsid w:val="7660721E"/>
    <w:rsid w:val="7668C31C"/>
    <w:rsid w:val="766F3DAA"/>
    <w:rsid w:val="7676CEE5"/>
    <w:rsid w:val="769151D0"/>
    <w:rsid w:val="76ACFD3C"/>
    <w:rsid w:val="76BA1402"/>
    <w:rsid w:val="76BB72C4"/>
    <w:rsid w:val="76BD7CE8"/>
    <w:rsid w:val="76CCCEED"/>
    <w:rsid w:val="76D412D5"/>
    <w:rsid w:val="76D5956A"/>
    <w:rsid w:val="76DBDC12"/>
    <w:rsid w:val="76DC55FF"/>
    <w:rsid w:val="770363B2"/>
    <w:rsid w:val="7706BE62"/>
    <w:rsid w:val="7708EE6E"/>
    <w:rsid w:val="77237576"/>
    <w:rsid w:val="7724CAF4"/>
    <w:rsid w:val="772523F8"/>
    <w:rsid w:val="772839CF"/>
    <w:rsid w:val="772C22E7"/>
    <w:rsid w:val="7731E961"/>
    <w:rsid w:val="77348D01"/>
    <w:rsid w:val="77416F0C"/>
    <w:rsid w:val="774CEDFD"/>
    <w:rsid w:val="775A4078"/>
    <w:rsid w:val="7760ACDD"/>
    <w:rsid w:val="776C0BCB"/>
    <w:rsid w:val="778581FE"/>
    <w:rsid w:val="77951D56"/>
    <w:rsid w:val="77976687"/>
    <w:rsid w:val="779822CD"/>
    <w:rsid w:val="779EF547"/>
    <w:rsid w:val="77AE5008"/>
    <w:rsid w:val="77B7C9AF"/>
    <w:rsid w:val="77B9A3E1"/>
    <w:rsid w:val="77C118ED"/>
    <w:rsid w:val="77C23520"/>
    <w:rsid w:val="77C2BC38"/>
    <w:rsid w:val="77C354B7"/>
    <w:rsid w:val="77C96316"/>
    <w:rsid w:val="77CCD9B8"/>
    <w:rsid w:val="77D5F42D"/>
    <w:rsid w:val="77DC8B2F"/>
    <w:rsid w:val="77DCE121"/>
    <w:rsid w:val="77E40FD5"/>
    <w:rsid w:val="77EF0DF9"/>
    <w:rsid w:val="77FBE21B"/>
    <w:rsid w:val="780363E2"/>
    <w:rsid w:val="78049E15"/>
    <w:rsid w:val="78059A34"/>
    <w:rsid w:val="7818FF3D"/>
    <w:rsid w:val="781FEB49"/>
    <w:rsid w:val="782C7044"/>
    <w:rsid w:val="782CE671"/>
    <w:rsid w:val="78384C9B"/>
    <w:rsid w:val="783930E4"/>
    <w:rsid w:val="7849BC42"/>
    <w:rsid w:val="784DA6A2"/>
    <w:rsid w:val="7850F5ED"/>
    <w:rsid w:val="785760EF"/>
    <w:rsid w:val="7858D277"/>
    <w:rsid w:val="7864DB3D"/>
    <w:rsid w:val="7864ECD0"/>
    <w:rsid w:val="7866FDC1"/>
    <w:rsid w:val="7878A4E5"/>
    <w:rsid w:val="787974C7"/>
    <w:rsid w:val="788342B0"/>
    <w:rsid w:val="788A3711"/>
    <w:rsid w:val="788A5E51"/>
    <w:rsid w:val="788CB360"/>
    <w:rsid w:val="789057A5"/>
    <w:rsid w:val="78938DF6"/>
    <w:rsid w:val="7896015F"/>
    <w:rsid w:val="78991C60"/>
    <w:rsid w:val="78991F01"/>
    <w:rsid w:val="78AC42C1"/>
    <w:rsid w:val="78ADB52E"/>
    <w:rsid w:val="78AEB4D1"/>
    <w:rsid w:val="78B3BF7D"/>
    <w:rsid w:val="78C292D1"/>
    <w:rsid w:val="78C2F8A9"/>
    <w:rsid w:val="78EF9AC0"/>
    <w:rsid w:val="79194E3A"/>
    <w:rsid w:val="791AEF83"/>
    <w:rsid w:val="792583C9"/>
    <w:rsid w:val="7925B899"/>
    <w:rsid w:val="792DB2D5"/>
    <w:rsid w:val="794DC980"/>
    <w:rsid w:val="7957582D"/>
    <w:rsid w:val="7959E60E"/>
    <w:rsid w:val="7968649D"/>
    <w:rsid w:val="79796672"/>
    <w:rsid w:val="7982DAB8"/>
    <w:rsid w:val="798753CA"/>
    <w:rsid w:val="7989134C"/>
    <w:rsid w:val="79AEFA38"/>
    <w:rsid w:val="79B84BDF"/>
    <w:rsid w:val="79BB99A9"/>
    <w:rsid w:val="79CDE54B"/>
    <w:rsid w:val="79E37802"/>
    <w:rsid w:val="7A04DB38"/>
    <w:rsid w:val="7A0C8EF3"/>
    <w:rsid w:val="7A1CF64E"/>
    <w:rsid w:val="7A473149"/>
    <w:rsid w:val="7A6037DE"/>
    <w:rsid w:val="7A639D59"/>
    <w:rsid w:val="7A6CA94B"/>
    <w:rsid w:val="7A724168"/>
    <w:rsid w:val="7A892FA7"/>
    <w:rsid w:val="7A8E7818"/>
    <w:rsid w:val="7A9367C0"/>
    <w:rsid w:val="7A952FA6"/>
    <w:rsid w:val="7A95E127"/>
    <w:rsid w:val="7A9D90DE"/>
    <w:rsid w:val="7AA9F235"/>
    <w:rsid w:val="7AC07E80"/>
    <w:rsid w:val="7AD58966"/>
    <w:rsid w:val="7ADAC6CD"/>
    <w:rsid w:val="7AE9DAD9"/>
    <w:rsid w:val="7AF79465"/>
    <w:rsid w:val="7AFA84D5"/>
    <w:rsid w:val="7AFBC596"/>
    <w:rsid w:val="7B066DDB"/>
    <w:rsid w:val="7B0E792A"/>
    <w:rsid w:val="7B10B8E8"/>
    <w:rsid w:val="7B2AC318"/>
    <w:rsid w:val="7B2C4812"/>
    <w:rsid w:val="7B46BA3B"/>
    <w:rsid w:val="7B509799"/>
    <w:rsid w:val="7B510046"/>
    <w:rsid w:val="7B5E38AA"/>
    <w:rsid w:val="7B6250F0"/>
    <w:rsid w:val="7B6818FC"/>
    <w:rsid w:val="7B69EC0A"/>
    <w:rsid w:val="7B73A67E"/>
    <w:rsid w:val="7B74A405"/>
    <w:rsid w:val="7B76D0D0"/>
    <w:rsid w:val="7B86626E"/>
    <w:rsid w:val="7B8DC465"/>
    <w:rsid w:val="7B96CC89"/>
    <w:rsid w:val="7B972FA1"/>
    <w:rsid w:val="7BA26A68"/>
    <w:rsid w:val="7BBAA905"/>
    <w:rsid w:val="7BBDCD05"/>
    <w:rsid w:val="7BBF4976"/>
    <w:rsid w:val="7BC1D22E"/>
    <w:rsid w:val="7BC37E86"/>
    <w:rsid w:val="7BC4A460"/>
    <w:rsid w:val="7BCA4E03"/>
    <w:rsid w:val="7BCC4641"/>
    <w:rsid w:val="7BD0AA4B"/>
    <w:rsid w:val="7BD579E6"/>
    <w:rsid w:val="7BDB64B8"/>
    <w:rsid w:val="7BE42A0D"/>
    <w:rsid w:val="7BE741CC"/>
    <w:rsid w:val="7BF096E9"/>
    <w:rsid w:val="7BF52D2A"/>
    <w:rsid w:val="7BF7DF37"/>
    <w:rsid w:val="7C095816"/>
    <w:rsid w:val="7C14231B"/>
    <w:rsid w:val="7C1694FF"/>
    <w:rsid w:val="7C1C4277"/>
    <w:rsid w:val="7C275BFB"/>
    <w:rsid w:val="7C2D4E57"/>
    <w:rsid w:val="7C522F4D"/>
    <w:rsid w:val="7C559CCE"/>
    <w:rsid w:val="7C58F0F1"/>
    <w:rsid w:val="7C619F89"/>
    <w:rsid w:val="7C6B57EF"/>
    <w:rsid w:val="7C71D3C7"/>
    <w:rsid w:val="7C75849E"/>
    <w:rsid w:val="7C777085"/>
    <w:rsid w:val="7C82E84E"/>
    <w:rsid w:val="7C86CB08"/>
    <w:rsid w:val="7C97B903"/>
    <w:rsid w:val="7C98F2CB"/>
    <w:rsid w:val="7CAB9579"/>
    <w:rsid w:val="7CAD96E8"/>
    <w:rsid w:val="7CB2AF6C"/>
    <w:rsid w:val="7CB7EE84"/>
    <w:rsid w:val="7CC604ED"/>
    <w:rsid w:val="7CEBB91D"/>
    <w:rsid w:val="7CF27DD3"/>
    <w:rsid w:val="7CF5250D"/>
    <w:rsid w:val="7CFFDEB8"/>
    <w:rsid w:val="7D0219B2"/>
    <w:rsid w:val="7D16D590"/>
    <w:rsid w:val="7D24BBB6"/>
    <w:rsid w:val="7D2FF359"/>
    <w:rsid w:val="7D340ACF"/>
    <w:rsid w:val="7D364E3E"/>
    <w:rsid w:val="7D436B74"/>
    <w:rsid w:val="7D4FCC9B"/>
    <w:rsid w:val="7D6CB19A"/>
    <w:rsid w:val="7D7F0D57"/>
    <w:rsid w:val="7D7FEAD0"/>
    <w:rsid w:val="7D900B7D"/>
    <w:rsid w:val="7D94598B"/>
    <w:rsid w:val="7DA7EDB2"/>
    <w:rsid w:val="7DAC4642"/>
    <w:rsid w:val="7DAD7FCA"/>
    <w:rsid w:val="7DB080E7"/>
    <w:rsid w:val="7DB2A154"/>
    <w:rsid w:val="7DBA2542"/>
    <w:rsid w:val="7DDD5FB6"/>
    <w:rsid w:val="7DF19BB4"/>
    <w:rsid w:val="7DF6A6BC"/>
    <w:rsid w:val="7DF700CB"/>
    <w:rsid w:val="7E008A62"/>
    <w:rsid w:val="7E034B2E"/>
    <w:rsid w:val="7E0730BD"/>
    <w:rsid w:val="7E0B462A"/>
    <w:rsid w:val="7E13A067"/>
    <w:rsid w:val="7E1DF2E0"/>
    <w:rsid w:val="7E216753"/>
    <w:rsid w:val="7E27CAAF"/>
    <w:rsid w:val="7E289681"/>
    <w:rsid w:val="7E2C6782"/>
    <w:rsid w:val="7E33DBB2"/>
    <w:rsid w:val="7E35B4FA"/>
    <w:rsid w:val="7E38E2A3"/>
    <w:rsid w:val="7E396F3E"/>
    <w:rsid w:val="7E3AB4FD"/>
    <w:rsid w:val="7E43B69B"/>
    <w:rsid w:val="7E449274"/>
    <w:rsid w:val="7E6B0B16"/>
    <w:rsid w:val="7E718F6A"/>
    <w:rsid w:val="7E784E67"/>
    <w:rsid w:val="7E8790AA"/>
    <w:rsid w:val="7E8A9529"/>
    <w:rsid w:val="7E970C04"/>
    <w:rsid w:val="7EC15C08"/>
    <w:rsid w:val="7EC25072"/>
    <w:rsid w:val="7EC7CD5D"/>
    <w:rsid w:val="7EDA0C92"/>
    <w:rsid w:val="7EEA9B85"/>
    <w:rsid w:val="7EEF785A"/>
    <w:rsid w:val="7EF4FF03"/>
    <w:rsid w:val="7F0F9143"/>
    <w:rsid w:val="7F191351"/>
    <w:rsid w:val="7F1E8C43"/>
    <w:rsid w:val="7F3F7935"/>
    <w:rsid w:val="7F6F00CC"/>
    <w:rsid w:val="7F772681"/>
    <w:rsid w:val="7F78BEBE"/>
    <w:rsid w:val="7F8092F2"/>
    <w:rsid w:val="7F8F9216"/>
    <w:rsid w:val="7F967450"/>
    <w:rsid w:val="7F979F4C"/>
    <w:rsid w:val="7FA704AF"/>
    <w:rsid w:val="7FA7E8E4"/>
    <w:rsid w:val="7FAF2D0E"/>
    <w:rsid w:val="7FB961ED"/>
    <w:rsid w:val="7FBF749F"/>
    <w:rsid w:val="7FC98AE0"/>
    <w:rsid w:val="7FD9E6A1"/>
    <w:rsid w:val="7FDDC700"/>
    <w:rsid w:val="7FE844DA"/>
    <w:rsid w:val="7FF4EBA6"/>
    <w:rsid w:val="7FFC076B"/>
    <w:rsid w:val="7FFDA34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6479"/>
  <w15:chartTrackingRefBased/>
  <w15:docId w15:val="{F0AA0392-2347-4B5E-8F8D-93902245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01C12"/>
  </w:style>
  <w:style w:type="paragraph" w:styleId="Heading1">
    <w:name w:val="heading 1"/>
    <w:basedOn w:val="Normal"/>
    <w:next w:val="BodyText"/>
    <w:link w:val="Heading1Char"/>
    <w:qFormat/>
    <w:rsid w:val="00E811F0"/>
    <w:pPr>
      <w:keepNext/>
      <w:tabs>
        <w:tab w:val="left" w:pos="851"/>
      </w:tabs>
      <w:spacing w:after="360" w:line="600" w:lineRule="atLeast"/>
      <w:outlineLvl w:val="0"/>
    </w:pPr>
    <w:rPr>
      <w:rFonts w:ascii="Georgia" w:eastAsiaTheme="majorEastAsia" w:hAnsi="Georgia" w:cstheme="majorBidi"/>
      <w:b/>
      <w:bCs/>
      <w:color w:val="1B556B"/>
      <w:sz w:val="48"/>
      <w:szCs w:val="28"/>
      <w:lang w:eastAsia="en-NZ"/>
    </w:rPr>
  </w:style>
  <w:style w:type="paragraph" w:styleId="Heading2">
    <w:name w:val="heading 2"/>
    <w:basedOn w:val="Normal"/>
    <w:next w:val="BodyText"/>
    <w:link w:val="Heading2Char"/>
    <w:qFormat/>
    <w:rsid w:val="00E811F0"/>
    <w:pPr>
      <w:keepNext/>
      <w:tabs>
        <w:tab w:val="left" w:pos="851"/>
      </w:tabs>
      <w:spacing w:before="360" w:after="0" w:line="440" w:lineRule="exact"/>
      <w:outlineLvl w:val="1"/>
    </w:pPr>
    <w:rPr>
      <w:rFonts w:ascii="Georgia" w:eastAsiaTheme="majorEastAsia" w:hAnsi="Georgia" w:cstheme="majorBidi"/>
      <w:b/>
      <w:bCs/>
      <w:color w:val="1B556B"/>
      <w:sz w:val="36"/>
      <w:szCs w:val="26"/>
      <w:lang w:eastAsia="en-NZ"/>
    </w:rPr>
  </w:style>
  <w:style w:type="paragraph" w:styleId="Heading3">
    <w:name w:val="heading 3"/>
    <w:basedOn w:val="Normal"/>
    <w:next w:val="BodyText"/>
    <w:link w:val="Heading3Char"/>
    <w:qFormat/>
    <w:rsid w:val="00E811F0"/>
    <w:pPr>
      <w:keepNext/>
      <w:tabs>
        <w:tab w:val="left" w:pos="851"/>
      </w:tabs>
      <w:spacing w:before="360" w:after="0" w:line="360" w:lineRule="exact"/>
      <w:outlineLvl w:val="2"/>
    </w:pPr>
    <w:rPr>
      <w:rFonts w:ascii="Georgia" w:eastAsiaTheme="majorEastAsia" w:hAnsi="Georgia" w:cstheme="majorBidi"/>
      <w:b/>
      <w:bCs/>
      <w:sz w:val="28"/>
      <w:lang w:eastAsia="en-NZ"/>
    </w:rPr>
  </w:style>
  <w:style w:type="paragraph" w:styleId="Heading4">
    <w:name w:val="heading 4"/>
    <w:basedOn w:val="Heading3"/>
    <w:next w:val="BodyText"/>
    <w:link w:val="Heading4Char"/>
    <w:qFormat/>
    <w:rsid w:val="00E811F0"/>
    <w:pPr>
      <w:outlineLvl w:val="3"/>
    </w:pPr>
    <w:rPr>
      <w:sz w:val="24"/>
    </w:rPr>
  </w:style>
  <w:style w:type="paragraph" w:styleId="Heading5">
    <w:name w:val="heading 5"/>
    <w:basedOn w:val="Normal"/>
    <w:next w:val="BodyText"/>
    <w:link w:val="Heading5Char"/>
    <w:qFormat/>
    <w:rsid w:val="00E811F0"/>
    <w:pPr>
      <w:keepNext/>
      <w:spacing w:before="320" w:after="0" w:line="240" w:lineRule="auto"/>
      <w:outlineLvl w:val="4"/>
    </w:pPr>
    <w:rPr>
      <w:rFonts w:ascii="Calibri" w:eastAsiaTheme="majorEastAsia" w:hAnsi="Calibri" w:cstheme="majorBidi"/>
      <w:i/>
      <w:sz w:val="24"/>
      <w:lang w:eastAsia="en-NZ"/>
    </w:rPr>
  </w:style>
  <w:style w:type="paragraph" w:styleId="Heading6">
    <w:name w:val="heading 6"/>
    <w:basedOn w:val="Normal"/>
    <w:next w:val="Normal"/>
    <w:link w:val="Heading6Char"/>
    <w:semiHidden/>
    <w:rsid w:val="00E811F0"/>
    <w:pPr>
      <w:numPr>
        <w:ilvl w:val="5"/>
        <w:numId w:val="7"/>
      </w:numPr>
      <w:spacing w:before="240" w:after="120" w:line="288" w:lineRule="auto"/>
      <w:outlineLvl w:val="5"/>
    </w:pPr>
    <w:rPr>
      <w:rFonts w:ascii="Times New Roman" w:eastAsia="Times New Roman" w:hAnsi="Times New Roman"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qFormat/>
    <w:rsid w:val="001B0E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C6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1B0E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C6810"/>
    <w:rPr>
      <w:rFonts w:eastAsiaTheme="minorEastAsia"/>
      <w:color w:val="5A5A5A" w:themeColor="text1" w:themeTint="A5"/>
      <w:spacing w:val="15"/>
    </w:rPr>
  </w:style>
  <w:style w:type="character" w:customStyle="1" w:styleId="Heading1Char">
    <w:name w:val="Heading 1 Char"/>
    <w:basedOn w:val="DefaultParagraphFont"/>
    <w:link w:val="Heading1"/>
    <w:rsid w:val="00E811F0"/>
    <w:rPr>
      <w:rFonts w:ascii="Georgia" w:eastAsiaTheme="majorEastAsia" w:hAnsi="Georgia" w:cstheme="majorBidi"/>
      <w:b/>
      <w:bCs/>
      <w:color w:val="1B556B"/>
      <w:sz w:val="48"/>
      <w:szCs w:val="28"/>
      <w:lang w:eastAsia="en-NZ"/>
    </w:rPr>
  </w:style>
  <w:style w:type="character" w:styleId="Hyperlink">
    <w:name w:val="Hyperlink"/>
    <w:uiPriority w:val="99"/>
    <w:qFormat/>
    <w:rsid w:val="00E811F0"/>
    <w:rPr>
      <w:color w:val="32809C"/>
      <w:u w:val="none"/>
    </w:rPr>
  </w:style>
  <w:style w:type="paragraph" w:customStyle="1" w:styleId="Boxtext">
    <w:name w:val="Box text"/>
    <w:basedOn w:val="Normal"/>
    <w:uiPriority w:val="1"/>
    <w:semiHidden/>
    <w:qFormat/>
    <w:rsid w:val="00E811F0"/>
    <w:pPr>
      <w:spacing w:before="120" w:after="120" w:line="260" w:lineRule="atLeast"/>
      <w:ind w:left="284" w:right="284"/>
    </w:pPr>
    <w:rPr>
      <w:rFonts w:ascii="Calibri" w:eastAsiaTheme="minorEastAsia" w:hAnsi="Calibri"/>
      <w:color w:val="1B556B"/>
      <w:sz w:val="20"/>
      <w:lang w:eastAsia="en-NZ"/>
    </w:rPr>
  </w:style>
  <w:style w:type="table" w:styleId="TableGrid">
    <w:name w:val="Table Grid"/>
    <w:basedOn w:val="TableNormal"/>
    <w:uiPriority w:val="39"/>
    <w:rsid w:val="0079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A43"/>
    <w:rPr>
      <w:sz w:val="16"/>
      <w:szCs w:val="16"/>
    </w:rPr>
  </w:style>
  <w:style w:type="paragraph" w:styleId="CommentText">
    <w:name w:val="annotation text"/>
    <w:basedOn w:val="Normal"/>
    <w:link w:val="CommentTextChar"/>
    <w:uiPriority w:val="99"/>
    <w:semiHidden/>
    <w:rsid w:val="00094A43"/>
    <w:pPr>
      <w:spacing w:line="240" w:lineRule="auto"/>
    </w:pPr>
    <w:rPr>
      <w:sz w:val="20"/>
      <w:szCs w:val="20"/>
    </w:rPr>
  </w:style>
  <w:style w:type="character" w:customStyle="1" w:styleId="CommentTextChar">
    <w:name w:val="Comment Text Char"/>
    <w:basedOn w:val="DefaultParagraphFont"/>
    <w:link w:val="CommentText"/>
    <w:uiPriority w:val="99"/>
    <w:semiHidden/>
    <w:rsid w:val="00E811F0"/>
    <w:rPr>
      <w:sz w:val="20"/>
      <w:szCs w:val="20"/>
    </w:rPr>
  </w:style>
  <w:style w:type="paragraph" w:styleId="CommentSubject">
    <w:name w:val="annotation subject"/>
    <w:basedOn w:val="CommentText"/>
    <w:next w:val="CommentText"/>
    <w:link w:val="CommentSubjectChar"/>
    <w:uiPriority w:val="99"/>
    <w:semiHidden/>
    <w:unhideWhenUsed/>
    <w:rsid w:val="00094A43"/>
    <w:rPr>
      <w:b/>
      <w:bCs/>
    </w:rPr>
  </w:style>
  <w:style w:type="character" w:customStyle="1" w:styleId="CommentSubjectChar">
    <w:name w:val="Comment Subject Char"/>
    <w:basedOn w:val="CommentTextChar"/>
    <w:link w:val="CommentSubject"/>
    <w:uiPriority w:val="99"/>
    <w:semiHidden/>
    <w:rsid w:val="00094A43"/>
    <w:rPr>
      <w:b/>
      <w:bCs/>
      <w:sz w:val="20"/>
      <w:szCs w:val="20"/>
    </w:rPr>
  </w:style>
  <w:style w:type="paragraph" w:styleId="ListParagraph">
    <w:name w:val="List Paragraph"/>
    <w:basedOn w:val="Normal"/>
    <w:uiPriority w:val="34"/>
    <w:semiHidden/>
    <w:qFormat/>
    <w:rsid w:val="00400067"/>
    <w:pPr>
      <w:ind w:left="720"/>
      <w:contextualSpacing/>
    </w:pPr>
  </w:style>
  <w:style w:type="paragraph" w:styleId="Header">
    <w:name w:val="header"/>
    <w:basedOn w:val="Normal"/>
    <w:link w:val="HeaderChar"/>
    <w:uiPriority w:val="99"/>
    <w:semiHidden/>
    <w:rsid w:val="00F74D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1F0"/>
  </w:style>
  <w:style w:type="paragraph" w:styleId="Footer">
    <w:name w:val="footer"/>
    <w:basedOn w:val="Normal"/>
    <w:link w:val="FooterChar"/>
    <w:uiPriority w:val="99"/>
    <w:semiHidden/>
    <w:rsid w:val="00F74D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11F0"/>
  </w:style>
  <w:style w:type="character" w:customStyle="1" w:styleId="Heading2Char">
    <w:name w:val="Heading 2 Char"/>
    <w:basedOn w:val="DefaultParagraphFont"/>
    <w:link w:val="Heading2"/>
    <w:rsid w:val="00E811F0"/>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E811F0"/>
    <w:rPr>
      <w:rFonts w:ascii="Georgia" w:eastAsiaTheme="majorEastAsia" w:hAnsi="Georgia" w:cstheme="majorBidi"/>
      <w:b/>
      <w:bCs/>
      <w:sz w:val="28"/>
      <w:lang w:eastAsia="en-NZ"/>
    </w:rPr>
  </w:style>
  <w:style w:type="paragraph" w:customStyle="1" w:styleId="Default">
    <w:name w:val="Default"/>
    <w:semiHidden/>
    <w:rsid w:val="00DF21EF"/>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qFormat/>
    <w:rsid w:val="00AC3040"/>
    <w:pPr>
      <w:spacing w:before="240" w:after="0"/>
      <w:outlineLvl w:val="9"/>
    </w:pPr>
    <w:rPr>
      <w:lang w:val="en-US"/>
    </w:rPr>
  </w:style>
  <w:style w:type="paragraph" w:styleId="TOC1">
    <w:name w:val="toc 1"/>
    <w:basedOn w:val="Normal"/>
    <w:next w:val="Normal"/>
    <w:autoRedefine/>
    <w:uiPriority w:val="39"/>
    <w:unhideWhenUsed/>
    <w:rsid w:val="00C1630D"/>
    <w:pPr>
      <w:tabs>
        <w:tab w:val="right" w:pos="8448"/>
      </w:tabs>
      <w:spacing w:before="240" w:after="0" w:line="240" w:lineRule="auto"/>
      <w:ind w:right="567"/>
    </w:pPr>
    <w:rPr>
      <w:rFonts w:ascii="Calibri" w:hAnsi="Calibri" w:cs="Calibri"/>
      <w:noProof/>
    </w:rPr>
  </w:style>
  <w:style w:type="paragraph" w:styleId="TOC2">
    <w:name w:val="toc 2"/>
    <w:basedOn w:val="Normal"/>
    <w:next w:val="Normal"/>
    <w:autoRedefine/>
    <w:uiPriority w:val="39"/>
    <w:unhideWhenUsed/>
    <w:rsid w:val="004867B0"/>
    <w:pPr>
      <w:tabs>
        <w:tab w:val="right" w:pos="8448"/>
      </w:tabs>
      <w:spacing w:before="40" w:after="40" w:line="240" w:lineRule="auto"/>
      <w:ind w:left="567" w:right="567"/>
    </w:pPr>
    <w:rPr>
      <w:rFonts w:ascii="Calibri" w:hAnsi="Calibri" w:cs="Calibri"/>
      <w:noProof/>
    </w:rPr>
  </w:style>
  <w:style w:type="paragraph" w:styleId="FootnoteText">
    <w:name w:val="footnote text"/>
    <w:basedOn w:val="Normal"/>
    <w:link w:val="FootnoteTextChar"/>
    <w:uiPriority w:val="99"/>
    <w:rsid w:val="00E811F0"/>
    <w:pPr>
      <w:spacing w:after="60" w:line="240" w:lineRule="atLeast"/>
      <w:ind w:left="284" w:hanging="284"/>
    </w:pPr>
    <w:rPr>
      <w:rFonts w:ascii="Calibri" w:eastAsiaTheme="minorEastAsia" w:hAnsi="Calibri"/>
      <w:sz w:val="19"/>
      <w:lang w:eastAsia="en-NZ"/>
    </w:rPr>
  </w:style>
  <w:style w:type="character" w:customStyle="1" w:styleId="FootnoteTextChar">
    <w:name w:val="Footnote Text Char"/>
    <w:basedOn w:val="DefaultParagraphFont"/>
    <w:link w:val="FootnoteText"/>
    <w:uiPriority w:val="99"/>
    <w:rsid w:val="00E811F0"/>
    <w:rPr>
      <w:rFonts w:ascii="Calibri" w:eastAsiaTheme="minorEastAsia" w:hAnsi="Calibri"/>
      <w:sz w:val="19"/>
      <w:lang w:eastAsia="en-NZ"/>
    </w:rPr>
  </w:style>
  <w:style w:type="character" w:styleId="FootnoteReference">
    <w:name w:val="footnote reference"/>
    <w:semiHidden/>
    <w:rsid w:val="00E811F0"/>
    <w:rPr>
      <w:rFonts w:ascii="Calibri" w:hAnsi="Calibri"/>
      <w:color w:val="183C47"/>
      <w:sz w:val="22"/>
      <w:vertAlign w:val="superscript"/>
    </w:rPr>
  </w:style>
  <w:style w:type="paragraph" w:customStyle="1" w:styleId="TableText">
    <w:name w:val="TableText"/>
    <w:basedOn w:val="Normal"/>
    <w:qFormat/>
    <w:rsid w:val="00E811F0"/>
    <w:pPr>
      <w:spacing w:before="60" w:after="60" w:line="240" w:lineRule="atLeast"/>
    </w:pPr>
    <w:rPr>
      <w:rFonts w:ascii="Calibri" w:eastAsiaTheme="minorEastAsia" w:hAnsi="Calibri"/>
      <w:sz w:val="18"/>
      <w:lang w:eastAsia="en-NZ"/>
    </w:rPr>
  </w:style>
  <w:style w:type="paragraph" w:customStyle="1" w:styleId="Boxbullet">
    <w:name w:val="Box bullet"/>
    <w:basedOn w:val="Boxtext"/>
    <w:uiPriority w:val="1"/>
    <w:semiHidden/>
    <w:qFormat/>
    <w:rsid w:val="00E811F0"/>
    <w:pPr>
      <w:numPr>
        <w:numId w:val="5"/>
      </w:numPr>
      <w:tabs>
        <w:tab w:val="left" w:pos="680"/>
      </w:tabs>
      <w:spacing w:before="0"/>
    </w:pPr>
    <w:rPr>
      <w:rFonts w:cs="Times New Roman"/>
      <w:szCs w:val="20"/>
    </w:rPr>
  </w:style>
  <w:style w:type="paragraph" w:customStyle="1" w:styleId="Bullet">
    <w:name w:val="Bullet"/>
    <w:basedOn w:val="Normal"/>
    <w:link w:val="BulletChar"/>
    <w:qFormat/>
    <w:rsid w:val="007C6810"/>
    <w:pPr>
      <w:numPr>
        <w:numId w:val="4"/>
      </w:numPr>
      <w:tabs>
        <w:tab w:val="left" w:pos="397"/>
      </w:tabs>
      <w:spacing w:after="120" w:line="280" w:lineRule="atLeast"/>
    </w:pPr>
    <w:rPr>
      <w:rFonts w:ascii="Calibri" w:eastAsia="Times New Roman" w:hAnsi="Calibri" w:cs="Times New Roman"/>
      <w:szCs w:val="20"/>
      <w:lang w:eastAsia="en-NZ"/>
    </w:rPr>
  </w:style>
  <w:style w:type="character" w:customStyle="1" w:styleId="BulletChar">
    <w:name w:val="Bullet Char"/>
    <w:basedOn w:val="DefaultParagraphFont"/>
    <w:link w:val="Bullet"/>
    <w:rsid w:val="007C6810"/>
    <w:rPr>
      <w:rFonts w:ascii="Calibri" w:eastAsia="Times New Roman" w:hAnsi="Calibri" w:cs="Times New Roman"/>
      <w:szCs w:val="20"/>
      <w:lang w:eastAsia="en-NZ"/>
    </w:rPr>
  </w:style>
  <w:style w:type="paragraph" w:customStyle="1" w:styleId="Boxheading">
    <w:name w:val="Box heading"/>
    <w:basedOn w:val="Boxtext"/>
    <w:next w:val="Boxtext"/>
    <w:uiPriority w:val="1"/>
    <w:semiHidden/>
    <w:qFormat/>
    <w:rsid w:val="00E811F0"/>
    <w:pPr>
      <w:keepNext/>
      <w:spacing w:before="240" w:after="0"/>
    </w:pPr>
    <w:rPr>
      <w:rFonts w:cs="Times New Roman"/>
      <w:b/>
      <w:sz w:val="22"/>
      <w:szCs w:val="20"/>
    </w:rPr>
  </w:style>
  <w:style w:type="paragraph" w:customStyle="1" w:styleId="Boxsub-bullet">
    <w:name w:val="Box sub-bullet"/>
    <w:basedOn w:val="Boxtext"/>
    <w:uiPriority w:val="1"/>
    <w:semiHidden/>
    <w:qFormat/>
    <w:rsid w:val="00E811F0"/>
    <w:pPr>
      <w:numPr>
        <w:numId w:val="6"/>
      </w:numPr>
      <w:spacing w:before="0"/>
    </w:pPr>
    <w:rPr>
      <w:rFonts w:cs="Times New Roman"/>
      <w:szCs w:val="20"/>
    </w:rPr>
  </w:style>
  <w:style w:type="paragraph" w:customStyle="1" w:styleId="Figureheading">
    <w:name w:val="Figure heading"/>
    <w:basedOn w:val="Normal"/>
    <w:next w:val="BodyText"/>
    <w:qFormat/>
    <w:rsid w:val="00E811F0"/>
    <w:pPr>
      <w:keepNext/>
      <w:spacing w:before="120" w:after="120" w:line="280" w:lineRule="atLeast"/>
      <w:ind w:left="1134" w:hanging="1134"/>
    </w:pPr>
    <w:rPr>
      <w:rFonts w:ascii="Calibri" w:eastAsiaTheme="minorEastAsia" w:hAnsi="Calibri"/>
      <w:b/>
      <w:sz w:val="20"/>
      <w:lang w:eastAsia="en-NZ"/>
    </w:rPr>
  </w:style>
  <w:style w:type="paragraph" w:styleId="BodyText">
    <w:name w:val="Body Text"/>
    <w:basedOn w:val="Normal"/>
    <w:link w:val="BodyTextChar"/>
    <w:qFormat/>
    <w:rsid w:val="00E811F0"/>
    <w:pPr>
      <w:spacing w:before="120" w:after="120" w:line="280" w:lineRule="atLeast"/>
    </w:pPr>
    <w:rPr>
      <w:rFonts w:ascii="Calibri" w:eastAsiaTheme="minorEastAsia" w:hAnsi="Calibri"/>
      <w:lang w:eastAsia="en-NZ"/>
    </w:rPr>
  </w:style>
  <w:style w:type="character" w:customStyle="1" w:styleId="BodyTextChar">
    <w:name w:val="Body Text Char"/>
    <w:basedOn w:val="DefaultParagraphFont"/>
    <w:link w:val="BodyText"/>
    <w:rsid w:val="00E811F0"/>
    <w:rPr>
      <w:rFonts w:ascii="Calibri" w:eastAsiaTheme="minorEastAsia" w:hAnsi="Calibri"/>
      <w:lang w:eastAsia="en-NZ"/>
    </w:rPr>
  </w:style>
  <w:style w:type="paragraph" w:customStyle="1" w:styleId="Footereven">
    <w:name w:val="Footer even"/>
    <w:basedOn w:val="Normal"/>
    <w:uiPriority w:val="2"/>
    <w:semiHidden/>
    <w:rsid w:val="00E811F0"/>
    <w:pPr>
      <w:tabs>
        <w:tab w:val="left" w:pos="567"/>
      </w:tabs>
      <w:spacing w:before="120" w:after="120" w:line="280" w:lineRule="atLeast"/>
      <w:jc w:val="both"/>
    </w:pPr>
    <w:rPr>
      <w:rFonts w:ascii="Calibri" w:eastAsiaTheme="minorEastAsia" w:hAnsi="Calibri"/>
      <w:sz w:val="16"/>
      <w:lang w:eastAsia="en-NZ"/>
    </w:rPr>
  </w:style>
  <w:style w:type="paragraph" w:styleId="Revision">
    <w:name w:val="Revision"/>
    <w:hidden/>
    <w:uiPriority w:val="99"/>
    <w:semiHidden/>
    <w:rsid w:val="001810B1"/>
    <w:pPr>
      <w:spacing w:after="0" w:line="240" w:lineRule="auto"/>
    </w:pPr>
  </w:style>
  <w:style w:type="paragraph" w:customStyle="1" w:styleId="Imprint">
    <w:name w:val="Imprint"/>
    <w:basedOn w:val="Normal"/>
    <w:uiPriority w:val="3"/>
    <w:semiHidden/>
    <w:rsid w:val="00E811F0"/>
    <w:pPr>
      <w:spacing w:before="120" w:after="120" w:line="280" w:lineRule="atLeast"/>
    </w:pPr>
    <w:rPr>
      <w:rFonts w:ascii="Calibri" w:eastAsiaTheme="minorEastAsia" w:hAnsi="Calibri"/>
      <w:lang w:eastAsia="en-NZ"/>
    </w:rPr>
  </w:style>
  <w:style w:type="paragraph" w:customStyle="1" w:styleId="Footerodd">
    <w:name w:val="Footer odd"/>
    <w:basedOn w:val="Normal"/>
    <w:uiPriority w:val="2"/>
    <w:semiHidden/>
    <w:rsid w:val="00E811F0"/>
    <w:pPr>
      <w:tabs>
        <w:tab w:val="right" w:pos="7938"/>
        <w:tab w:val="right" w:pos="8505"/>
      </w:tabs>
      <w:spacing w:before="120" w:after="120" w:line="280" w:lineRule="atLeast"/>
    </w:pPr>
    <w:rPr>
      <w:rFonts w:ascii="Calibri" w:eastAsiaTheme="minorEastAsia" w:hAnsi="Calibri"/>
      <w:sz w:val="16"/>
      <w:lang w:eastAsia="en-NZ"/>
    </w:rPr>
  </w:style>
  <w:style w:type="paragraph" w:customStyle="1" w:styleId="Glossary">
    <w:name w:val="Glossary"/>
    <w:basedOn w:val="Normal"/>
    <w:uiPriority w:val="1"/>
    <w:semiHidden/>
    <w:qFormat/>
    <w:rsid w:val="00E811F0"/>
    <w:pPr>
      <w:tabs>
        <w:tab w:val="left" w:pos="2835"/>
      </w:tabs>
      <w:spacing w:before="120" w:after="0" w:line="280" w:lineRule="atLeast"/>
    </w:pPr>
    <w:rPr>
      <w:rFonts w:ascii="Calibri" w:eastAsiaTheme="minorEastAsia" w:hAnsi="Calibri"/>
      <w:lang w:eastAsia="en-NZ"/>
    </w:rPr>
  </w:style>
  <w:style w:type="paragraph" w:customStyle="1" w:styleId="Heading">
    <w:name w:val="Heading"/>
    <w:basedOn w:val="Heading1"/>
    <w:next w:val="Normal"/>
    <w:uiPriority w:val="3"/>
    <w:rsid w:val="00E811F0"/>
  </w:style>
  <w:style w:type="character" w:customStyle="1" w:styleId="Heading4Char">
    <w:name w:val="Heading 4 Char"/>
    <w:basedOn w:val="DefaultParagraphFont"/>
    <w:link w:val="Heading4"/>
    <w:rsid w:val="00E811F0"/>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E811F0"/>
    <w:rPr>
      <w:rFonts w:ascii="Calibri" w:eastAsiaTheme="majorEastAsia" w:hAnsi="Calibri" w:cstheme="majorBidi"/>
      <w:i/>
      <w:sz w:val="24"/>
      <w:lang w:eastAsia="en-NZ"/>
    </w:rPr>
  </w:style>
  <w:style w:type="character" w:customStyle="1" w:styleId="Heading6Char">
    <w:name w:val="Heading 6 Char"/>
    <w:basedOn w:val="DefaultParagraphFont"/>
    <w:link w:val="Heading6"/>
    <w:semiHidden/>
    <w:rsid w:val="00E811F0"/>
    <w:rPr>
      <w:rFonts w:ascii="Times New Roman" w:eastAsia="Times New Roman" w:hAnsi="Times New Roman" w:cs="Times New Roman"/>
      <w:b/>
      <w:szCs w:val="20"/>
      <w:lang w:val="en-AU"/>
    </w:rPr>
  </w:style>
  <w:style w:type="paragraph" w:customStyle="1" w:styleId="Note">
    <w:name w:val="Note"/>
    <w:basedOn w:val="BodyText"/>
    <w:next w:val="Normal"/>
    <w:uiPriority w:val="1"/>
    <w:qFormat/>
    <w:rsid w:val="00D01C12"/>
    <w:pPr>
      <w:spacing w:line="240" w:lineRule="atLeast"/>
    </w:pPr>
    <w:rPr>
      <w:sz w:val="18"/>
    </w:rPr>
  </w:style>
  <w:style w:type="paragraph" w:customStyle="1" w:styleId="Numberedparagraph">
    <w:name w:val="Numbered paragraph"/>
    <w:basedOn w:val="Normal"/>
    <w:uiPriority w:val="1"/>
    <w:semiHidden/>
    <w:qFormat/>
    <w:rsid w:val="00E811F0"/>
    <w:pPr>
      <w:numPr>
        <w:numId w:val="8"/>
      </w:numPr>
      <w:spacing w:after="120" w:line="280" w:lineRule="atLeast"/>
    </w:pPr>
    <w:rPr>
      <w:rFonts w:ascii="Calibri" w:eastAsiaTheme="minorEastAsia" w:hAnsi="Calibri"/>
      <w:lang w:eastAsia="en-NZ"/>
    </w:rPr>
  </w:style>
  <w:style w:type="paragraph" w:styleId="Quote">
    <w:name w:val="Quote"/>
    <w:basedOn w:val="Normal"/>
    <w:next w:val="BodyText"/>
    <w:link w:val="QuoteChar"/>
    <w:uiPriority w:val="1"/>
    <w:semiHidden/>
    <w:qFormat/>
    <w:rsid w:val="00E811F0"/>
    <w:pPr>
      <w:spacing w:before="60" w:after="60" w:line="280" w:lineRule="atLeast"/>
      <w:ind w:left="567" w:right="567"/>
    </w:pPr>
    <w:rPr>
      <w:rFonts w:ascii="Calibri" w:eastAsiaTheme="minorEastAsia" w:hAnsi="Calibri"/>
      <w:sz w:val="20"/>
      <w:lang w:eastAsia="en-NZ"/>
    </w:rPr>
  </w:style>
  <w:style w:type="character" w:customStyle="1" w:styleId="QuoteChar">
    <w:name w:val="Quote Char"/>
    <w:basedOn w:val="DefaultParagraphFont"/>
    <w:link w:val="Quote"/>
    <w:uiPriority w:val="1"/>
    <w:semiHidden/>
    <w:rsid w:val="007A46BB"/>
    <w:rPr>
      <w:rFonts w:ascii="Calibri" w:eastAsiaTheme="minorEastAsia" w:hAnsi="Calibri"/>
      <w:sz w:val="20"/>
      <w:lang w:eastAsia="en-NZ"/>
    </w:rPr>
  </w:style>
  <w:style w:type="paragraph" w:customStyle="1" w:styleId="References">
    <w:name w:val="References"/>
    <w:basedOn w:val="Normal"/>
    <w:uiPriority w:val="1"/>
    <w:semiHidden/>
    <w:qFormat/>
    <w:rsid w:val="00E811F0"/>
    <w:pPr>
      <w:spacing w:after="120" w:line="260" w:lineRule="atLeast"/>
    </w:pPr>
    <w:rPr>
      <w:rFonts w:ascii="Calibri" w:eastAsiaTheme="minorEastAsia" w:hAnsi="Calibri"/>
      <w:sz w:val="20"/>
      <w:lang w:eastAsia="en-NZ"/>
    </w:rPr>
  </w:style>
  <w:style w:type="paragraph" w:customStyle="1" w:styleId="Source">
    <w:name w:val="Source"/>
    <w:basedOn w:val="Normal"/>
    <w:next w:val="Normal"/>
    <w:uiPriority w:val="1"/>
    <w:semiHidden/>
    <w:qFormat/>
    <w:rsid w:val="00E811F0"/>
    <w:pPr>
      <w:tabs>
        <w:tab w:val="left" w:pos="680"/>
      </w:tabs>
      <w:spacing w:before="120" w:after="120" w:line="280" w:lineRule="atLeast"/>
    </w:pPr>
    <w:rPr>
      <w:rFonts w:ascii="Calibri" w:eastAsiaTheme="minorEastAsia" w:hAnsi="Calibri"/>
      <w:sz w:val="18"/>
      <w:lang w:eastAsia="en-NZ"/>
    </w:rPr>
  </w:style>
  <w:style w:type="paragraph" w:customStyle="1" w:styleId="Sub-list">
    <w:name w:val="Sub-list"/>
    <w:basedOn w:val="Normal"/>
    <w:qFormat/>
    <w:rsid w:val="00E811F0"/>
    <w:pPr>
      <w:numPr>
        <w:numId w:val="9"/>
      </w:numPr>
      <w:tabs>
        <w:tab w:val="clear" w:pos="397"/>
        <w:tab w:val="left" w:pos="794"/>
      </w:tabs>
      <w:spacing w:after="120" w:line="280" w:lineRule="atLeast"/>
    </w:pPr>
    <w:rPr>
      <w:rFonts w:ascii="Calibri" w:eastAsiaTheme="minorEastAsia" w:hAnsi="Calibri"/>
      <w:lang w:eastAsia="en-NZ"/>
    </w:rPr>
  </w:style>
  <w:style w:type="paragraph" w:customStyle="1" w:styleId="Sub-lista">
    <w:name w:val="Sub-list a"/>
    <w:aliases w:val="b"/>
    <w:basedOn w:val="Normal"/>
    <w:uiPriority w:val="2"/>
    <w:semiHidden/>
    <w:rsid w:val="00E811F0"/>
    <w:pPr>
      <w:numPr>
        <w:numId w:val="10"/>
      </w:numPr>
      <w:spacing w:after="120" w:line="280" w:lineRule="atLeast"/>
    </w:pPr>
    <w:rPr>
      <w:rFonts w:ascii="Calibri" w:eastAsiaTheme="minorEastAsia" w:hAnsi="Calibri"/>
      <w:lang w:eastAsia="en-NZ"/>
    </w:rPr>
  </w:style>
  <w:style w:type="paragraph" w:customStyle="1" w:styleId="Sub-listi">
    <w:name w:val="Sub-list i"/>
    <w:aliases w:val="ii"/>
    <w:basedOn w:val="BodyText"/>
    <w:semiHidden/>
    <w:rsid w:val="00E811F0"/>
    <w:pPr>
      <w:numPr>
        <w:numId w:val="11"/>
      </w:numPr>
      <w:spacing w:before="60" w:after="60"/>
    </w:pPr>
  </w:style>
  <w:style w:type="paragraph" w:customStyle="1" w:styleId="Tableheading">
    <w:name w:val="Table heading"/>
    <w:basedOn w:val="Normal"/>
    <w:next w:val="Normal"/>
    <w:qFormat/>
    <w:rsid w:val="00E811F0"/>
    <w:pPr>
      <w:keepNext/>
      <w:spacing w:before="120" w:after="120" w:line="280" w:lineRule="atLeast"/>
      <w:ind w:left="1134" w:hanging="1134"/>
    </w:pPr>
    <w:rPr>
      <w:rFonts w:ascii="Calibri" w:eastAsiaTheme="minorEastAsia" w:hAnsi="Calibri"/>
      <w:b/>
      <w:sz w:val="20"/>
      <w:lang w:eastAsia="en-NZ"/>
    </w:rPr>
  </w:style>
  <w:style w:type="paragraph" w:customStyle="1" w:styleId="TableBullet">
    <w:name w:val="TableBullet"/>
    <w:basedOn w:val="Normal"/>
    <w:qFormat/>
    <w:rsid w:val="00E811F0"/>
    <w:pPr>
      <w:numPr>
        <w:numId w:val="12"/>
      </w:numPr>
      <w:spacing w:after="60" w:line="240" w:lineRule="atLeast"/>
    </w:pPr>
    <w:rPr>
      <w:rFonts w:ascii="Calibri" w:eastAsiaTheme="minorEastAsia" w:hAnsi="Calibri" w:cs="Arial"/>
      <w:sz w:val="18"/>
      <w:szCs w:val="16"/>
      <w:lang w:eastAsia="en-NZ"/>
    </w:rPr>
  </w:style>
  <w:style w:type="paragraph" w:customStyle="1" w:styleId="TableDash">
    <w:name w:val="TableDash"/>
    <w:basedOn w:val="TableBullet"/>
    <w:qFormat/>
    <w:rsid w:val="00E811F0"/>
    <w:pPr>
      <w:numPr>
        <w:numId w:val="13"/>
      </w:numPr>
    </w:pPr>
  </w:style>
  <w:style w:type="paragraph" w:customStyle="1" w:styleId="TableTextbold">
    <w:name w:val="TableText bold"/>
    <w:basedOn w:val="TableText"/>
    <w:rsid w:val="00E811F0"/>
    <w:rPr>
      <w:b/>
    </w:rPr>
  </w:style>
  <w:style w:type="character" w:styleId="FollowedHyperlink">
    <w:name w:val="FollowedHyperlink"/>
    <w:basedOn w:val="DefaultParagraphFont"/>
    <w:uiPriority w:val="99"/>
    <w:semiHidden/>
    <w:unhideWhenUsed/>
    <w:rsid w:val="004B26C2"/>
    <w:rPr>
      <w:color w:val="800080" w:themeColor="followedHyperlink"/>
      <w:u w:val="single"/>
    </w:rPr>
  </w:style>
  <w:style w:type="character" w:styleId="UnresolvedMention">
    <w:name w:val="Unresolved Mention"/>
    <w:basedOn w:val="DefaultParagraphFont"/>
    <w:uiPriority w:val="99"/>
    <w:semiHidden/>
    <w:unhideWhenUsed/>
    <w:rsid w:val="00192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1759">
      <w:bodyDiv w:val="1"/>
      <w:marLeft w:val="0"/>
      <w:marRight w:val="0"/>
      <w:marTop w:val="0"/>
      <w:marBottom w:val="0"/>
      <w:divBdr>
        <w:top w:val="none" w:sz="0" w:space="0" w:color="auto"/>
        <w:left w:val="none" w:sz="0" w:space="0" w:color="auto"/>
        <w:bottom w:val="none" w:sz="0" w:space="0" w:color="auto"/>
        <w:right w:val="none" w:sz="0" w:space="0" w:color="auto"/>
      </w:divBdr>
    </w:div>
    <w:div w:id="626399997">
      <w:bodyDiv w:val="1"/>
      <w:marLeft w:val="0"/>
      <w:marRight w:val="0"/>
      <w:marTop w:val="0"/>
      <w:marBottom w:val="0"/>
      <w:divBdr>
        <w:top w:val="none" w:sz="0" w:space="0" w:color="auto"/>
        <w:left w:val="none" w:sz="0" w:space="0" w:color="auto"/>
        <w:bottom w:val="none" w:sz="0" w:space="0" w:color="auto"/>
        <w:right w:val="none" w:sz="0" w:space="0" w:color="auto"/>
      </w:divBdr>
    </w:div>
    <w:div w:id="821046826">
      <w:bodyDiv w:val="1"/>
      <w:marLeft w:val="0"/>
      <w:marRight w:val="0"/>
      <w:marTop w:val="0"/>
      <w:marBottom w:val="0"/>
      <w:divBdr>
        <w:top w:val="none" w:sz="0" w:space="0" w:color="auto"/>
        <w:left w:val="none" w:sz="0" w:space="0" w:color="auto"/>
        <w:bottom w:val="none" w:sz="0" w:space="0" w:color="auto"/>
        <w:right w:val="none" w:sz="0" w:space="0" w:color="auto"/>
      </w:divBdr>
    </w:div>
    <w:div w:id="1449740457">
      <w:bodyDiv w:val="1"/>
      <w:marLeft w:val="0"/>
      <w:marRight w:val="0"/>
      <w:marTop w:val="0"/>
      <w:marBottom w:val="0"/>
      <w:divBdr>
        <w:top w:val="none" w:sz="0" w:space="0" w:color="auto"/>
        <w:left w:val="none" w:sz="0" w:space="0" w:color="auto"/>
        <w:bottom w:val="none" w:sz="0" w:space="0" w:color="auto"/>
        <w:right w:val="none" w:sz="0" w:space="0" w:color="auto"/>
      </w:divBdr>
    </w:div>
    <w:div w:id="15763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vironment.govt.nz"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ccc-production-media.s3.ap-southeast-2.amazonaws.com/public/Inaia-tonu-nei-a-low-emissions-future-for-Aotearoa/Inaia-tonu-nei-a-low-emissions-future-for-Aotearoa.pdf"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114916A-AF3F-4F39-8F6A-47DFF1ECF141}">
    <t:Anchor>
      <t:Comment id="639183104"/>
    </t:Anchor>
    <t:History>
      <t:Event id="{176C90F6-865C-47EE-B5BA-FBA176E89FB6}" time="2022-05-04T21:57:13.596Z">
        <t:Attribution userId="S::danielle.kennedy@mfe.govt.nz::7a4d6591-3166-4702-8f76-0167551e1801" userProvider="AD" userName="Danielle Kennedy"/>
        <t:Anchor>
          <t:Comment id="283341515"/>
        </t:Anchor>
        <t:Create/>
      </t:Event>
      <t:Event id="{6AE4E010-249A-4135-8140-B543E4E5DFCA}" time="2022-05-04T21:57:13.596Z">
        <t:Attribution userId="S::danielle.kennedy@mfe.govt.nz::7a4d6591-3166-4702-8f76-0167551e1801" userProvider="AD" userName="Danielle Kennedy"/>
        <t:Anchor>
          <t:Comment id="283341515"/>
        </t:Anchor>
        <t:Assign userId="S::Roderick.Boys@mfe.govt.nz::653d54c5-8e7e-42f5-8738-86619b261e36" userProvider="AD" userName="Roderick Boys"/>
      </t:Event>
      <t:Event id="{50792086-094F-468A-8BA3-DF701A3957E8}" time="2022-05-04T21:57:13.596Z">
        <t:Attribution userId="S::danielle.kennedy@mfe.govt.nz::7a4d6591-3166-4702-8f76-0167551e1801" userProvider="AD" userName="Danielle Kennedy"/>
        <t:Anchor>
          <t:Comment id="283341515"/>
        </t:Anchor>
        <t:SetTitle title="@Roderick Boys please check this"/>
      </t:Event>
    </t:History>
  </t:Task>
  <t:Task id="{50197B00-B578-4190-A44B-58FE94494502}">
    <t:Anchor>
      <t:Comment id="453497173"/>
    </t:Anchor>
    <t:History>
      <t:Event id="{D697EBD0-B218-44FA-A2EF-69A80C8B2A83}" time="2022-04-21T03:06:59.306Z">
        <t:Attribution userId="S::briar.wyatt@mfe.govt.nz::bc3a0189-bc19-4cc2-8a81-20be0b3324b1" userProvider="AD" userName="Briar Wyatt"/>
        <t:Anchor>
          <t:Comment id="453497173"/>
        </t:Anchor>
        <t:Create/>
      </t:Event>
      <t:Event id="{4C489C10-A425-49F2-A7E5-453E3BB53B18}" time="2022-04-21T03:06:59.306Z">
        <t:Attribution userId="S::briar.wyatt@mfe.govt.nz::bc3a0189-bc19-4cc2-8a81-20be0b3324b1" userProvider="AD" userName="Briar Wyatt"/>
        <t:Anchor>
          <t:Comment id="453497173"/>
        </t:Anchor>
        <t:Assign userId="S::Danielle.Kennedy@mfe.govt.nz::7a4d6591-3166-4702-8f76-0167551e1801" userProvider="AD" userName="Danielle Kennedy"/>
      </t:Event>
      <t:Event id="{5D1667E7-9A33-4985-B457-7F77F4E8A4D2}" time="2022-04-21T03:06:59.306Z">
        <t:Attribution userId="S::briar.wyatt@mfe.govt.nz::bc3a0189-bc19-4cc2-8a81-20be0b3324b1" userProvider="AD" userName="Briar Wyatt"/>
        <t:Anchor>
          <t:Comment id="453497173"/>
        </t:Anchor>
        <t:SetTitle title="@Danielle Kennedy pls help me out with the number here :D"/>
      </t:Event>
    </t:History>
  </t:Task>
  <t:Task id="{860AD573-6219-4676-A29A-198AA56D2927}">
    <t:Anchor>
      <t:Comment id="637416707"/>
    </t:Anchor>
    <t:History>
      <t:Event id="{EB624BE8-BB6D-40F6-8CC5-DEFFABA5BD9D}" time="2022-04-25T21:23:05.696Z">
        <t:Attribution userId="S::glenn.wigley@mfe.govt.nz::14834714-eac2-4f69-b5ff-4784dc082d5e" userProvider="AD" userName="Glenn Wigley"/>
        <t:Anchor>
          <t:Comment id="637416707"/>
        </t:Anchor>
        <t:Create/>
      </t:Event>
      <t:Event id="{32E7BDBF-C871-43C9-A4E4-1DD240F5D17A}" time="2022-04-25T21:23:05.696Z">
        <t:Attribution userId="S::glenn.wigley@mfe.govt.nz::14834714-eac2-4f69-b5ff-4784dc082d5e" userProvider="AD" userName="Glenn Wigley"/>
        <t:Anchor>
          <t:Comment id="637416707"/>
        </t:Anchor>
        <t:Assign userId="S::Danielle.Kennedy@mfe.govt.nz::7a4d6591-3166-4702-8f76-0167551e1801" userProvider="AD" userName="Danielle Kennedy"/>
      </t:Event>
      <t:Event id="{97296A9E-D644-4E64-B4B4-217C6D875299}" time="2022-04-25T21:23:05.696Z">
        <t:Attribution userId="S::glenn.wigley@mfe.govt.nz::14834714-eac2-4f69-b5ff-4784dc082d5e" userProvider="AD" userName="Glenn Wigley"/>
        <t:Anchor>
          <t:Comment id="637416707"/>
        </t:Anchor>
        <t:SetTitle title="@Danielle Kennedy is Nicola White comfortable with this? The Waste Strategy is unlikely to give effect to Treaty principles. I am not sure what the He Ara Waiora framework is?"/>
      </t:Event>
    </t:History>
  </t:Task>
  <t:Task id="{304052D9-9C56-4D7E-AA8C-EC08BE709825}">
    <t:Anchor>
      <t:Comment id="724185509"/>
    </t:Anchor>
    <t:History>
      <t:Event id="{63DE942F-83DB-45D8-8A91-86DECEE59A5E}" time="2022-04-25T21:27:33.038Z">
        <t:Attribution userId="S::glenn.wigley@mfe.govt.nz::14834714-eac2-4f69-b5ff-4784dc082d5e" userProvider="AD" userName="Glenn Wigley"/>
        <t:Anchor>
          <t:Comment id="724185509"/>
        </t:Anchor>
        <t:Create/>
      </t:Event>
      <t:Event id="{5BCF72E6-9A21-459E-984F-FE0D00FB8E34}" time="2022-04-25T21:27:33.038Z">
        <t:Attribution userId="S::glenn.wigley@mfe.govt.nz::14834714-eac2-4f69-b5ff-4784dc082d5e" userProvider="AD" userName="Glenn Wigley"/>
        <t:Anchor>
          <t:Comment id="724185509"/>
        </t:Anchor>
        <t:Assign userId="S::Danielle.Kennedy@mfe.govt.nz::7a4d6591-3166-4702-8f76-0167551e1801" userProvider="AD" userName="Danielle Kennedy"/>
      </t:Event>
      <t:Event id="{D3DE9E0E-0E6E-4A6E-8462-83DB254AB452}" time="2022-04-25T21:27:33.038Z">
        <t:Attribution userId="S::glenn.wigley@mfe.govt.nz::14834714-eac2-4f69-b5ff-4784dc082d5e" userProvider="AD" userName="Glenn Wigley"/>
        <t:Anchor>
          <t:Comment id="724185509"/>
        </t:Anchor>
        <t:SetTitle title="@Danielle Kennedy @Sophie Heighway our latest suite of data regns require waste volumes to every class of landfill and transfer station - and within 10 or so months will require breakdown of waste sub groups. I think we could mention this more strognly"/>
      </t:Event>
      <t:Event id="{20F65E59-F866-46FB-A790-F0FD835EEB34}" time="2022-04-25T22:23:23.599Z">
        <t:Attribution userId="S::danielle.kennedy@mfe.govt.nz::7a4d6591-3166-4702-8f76-0167551e1801" userProvider="AD" userName="Danielle Kennedy"/>
        <t:Progress percentComplete="100"/>
      </t:Event>
    </t:History>
  </t:Task>
  <t:Task id="{195ADBC7-D6EE-4203-94E0-82F780F8F3E2}">
    <t:Anchor>
      <t:Comment id="759712485"/>
    </t:Anchor>
    <t:History>
      <t:Event id="{695A16CC-37AF-4741-ADC7-C92780DDBC55}" time="2022-04-25T21:29:48.038Z">
        <t:Attribution userId="S::glenn.wigley@mfe.govt.nz::14834714-eac2-4f69-b5ff-4784dc082d5e" userProvider="AD" userName="Glenn Wigley"/>
        <t:Anchor>
          <t:Comment id="759712485"/>
        </t:Anchor>
        <t:Create/>
      </t:Event>
      <t:Event id="{7C9FFEEE-D137-4C30-A3C8-1945E69272D7}" time="2022-04-25T21:29:48.038Z">
        <t:Attribution userId="S::glenn.wigley@mfe.govt.nz::14834714-eac2-4f69-b5ff-4784dc082d5e" userProvider="AD" userName="Glenn Wigley"/>
        <t:Anchor>
          <t:Comment id="759712485"/>
        </t:Anchor>
        <t:Assign userId="S::Danielle.Kennedy@mfe.govt.nz::7a4d6591-3166-4702-8f76-0167551e1801" userProvider="AD" userName="Danielle Kennedy"/>
      </t:Event>
      <t:Event id="{666DB457-C4E9-47D8-9374-41B082D9BFED}" time="2022-04-25T21:29:48.038Z">
        <t:Attribution userId="S::glenn.wigley@mfe.govt.nz::14834714-eac2-4f69-b5ff-4784dc082d5e" userProvider="AD" userName="Glenn Wigley"/>
        <t:Anchor>
          <t:Comment id="759712485"/>
        </t:Anchor>
        <t:SetTitle title="@Danielle Kennedy @Briar Wyatt @Sophie Heighway is this consistent with what we have said previously? I thought we had decided that it wasnt feasible? wont considering it in later budget periods be even more difficult as time will be shorter?"/>
      </t:Event>
      <t:Event id="{1BBE465B-9793-4B98-8529-30ACAAEBCED6}" time="2022-04-25T22:23:28.308Z">
        <t:Attribution userId="S::danielle.kennedy@mfe.govt.nz::7a4d6591-3166-4702-8f76-0167551e1801" userProvider="AD" userName="Danielle Kennedy"/>
        <t:Progress percentComplete="100"/>
      </t:Event>
    </t:History>
  </t:Task>
  <t:Task id="{89240079-ED3E-45FA-A641-FCDCEB3CD867}">
    <t:Anchor>
      <t:Comment id="638823539"/>
    </t:Anchor>
    <t:History>
      <t:Event id="{72ED28B3-7236-4C8F-B9DA-60596CEF53DB}" time="2022-04-27T08:40:24.44Z">
        <t:Attribution userId="S::kate.ryan@mfe.govt.nz::adea6f6a-ca1b-49b2-b63c-1ef0de3090fa" userProvider="AD" userName="Kate Ryan"/>
        <t:Anchor>
          <t:Comment id="373342504"/>
        </t:Anchor>
        <t:Create/>
      </t:Event>
      <t:Event id="{1E5126DE-0875-49CD-992A-002B32DF0EBA}" time="2022-04-27T08:40:24.44Z">
        <t:Attribution userId="S::kate.ryan@mfe.govt.nz::adea6f6a-ca1b-49b2-b63c-1ef0de3090fa" userProvider="AD" userName="Kate Ryan"/>
        <t:Anchor>
          <t:Comment id="373342504"/>
        </t:Anchor>
        <t:Assign userId="S::Jen.Vella@mfe.govt.nz::97b257f4-1d2e-40cb-97d4-c6950a1c62e0" userProvider="AD" userName="Jen Vella"/>
      </t:Event>
      <t:Event id="{EF9A692D-A69A-459E-BAC0-1D65263EE1B3}" time="2022-04-27T08:40:24.44Z">
        <t:Attribution userId="S::kate.ryan@mfe.govt.nz::adea6f6a-ca1b-49b2-b63c-1ef0de3090fa" userProvider="AD" userName="Kate Ryan"/>
        <t:Anchor>
          <t:Comment id="373342504"/>
        </t:Anchor>
        <t:SetTitle title="@Jen Vella are you able to update this to reflect what ended up in the ET chapter of the ERP?"/>
      </t:Event>
    </t:History>
  </t:Task>
  <t:Task id="{29AB97BA-0D6E-4D7D-84E2-47BEEEBA3F18}">
    <t:Anchor>
      <t:Comment id="264288095"/>
    </t:Anchor>
    <t:History>
      <t:Event id="{7DA07BB8-8CDD-4A7C-B56F-BC98A5AD8C56}" time="2022-05-06T01:32:17.351Z">
        <t:Attribution userId="S::jonny.flockton@mfe.govt.nz::990a90d2-2754-409b-9812-9dbf6e38dffb" userProvider="AD" userName="Jonny Flockton"/>
        <t:Anchor>
          <t:Comment id="1061947439"/>
        </t:Anchor>
        <t:Create/>
      </t:Event>
      <t:Event id="{39D063F1-FB3E-49E2-A0E7-3BC2E6E34A79}" time="2022-05-06T01:32:17.351Z">
        <t:Attribution userId="S::jonny.flockton@mfe.govt.nz::990a90d2-2754-409b-9812-9dbf6e38dffb" userProvider="AD" userName="Jonny Flockton"/>
        <t:Anchor>
          <t:Comment id="1061947439"/>
        </t:Anchor>
        <t:Assign userId="S::Kate.Ryan@mfe.govt.nz::adea6f6a-ca1b-49b2-b63c-1ef0de3090fa" userProvider="AD" userName="Kate Ryan"/>
      </t:Event>
      <t:Event id="{42756B0C-0803-46B1-AD1A-52E551BD32CF}" time="2022-05-06T01:32:17.351Z">
        <t:Attribution userId="S::jonny.flockton@mfe.govt.nz::990a90d2-2754-409b-9812-9dbf6e38dffb" userProvider="AD" userName="Jonny Flockton"/>
        <t:Anchor>
          <t:Comment id="1061947439"/>
        </t:Anchor>
        <t:SetTitle title="@Kate Ryan where can i find these decisions?"/>
      </t:Event>
      <t:Event id="{5AF689E4-CB66-4FFF-9105-6695E4EA5B12}" time="2022-05-06T02:55:58.289Z">
        <t:Attribution userId="S::mark.storey@mfe.govt.nz::9e36bf5d-5683-457b-bde6-0fce2c28a795" userProvider="AD" userName="Mark Storey"/>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735A8ED1FE164FA7BED34B2649011E" ma:contentTypeVersion="15" ma:contentTypeDescription="Create a new document." ma:contentTypeScope="" ma:versionID="af2dc1eba53c14c0edfcb233e7886477">
  <xsd:schema xmlns:xsd="http://www.w3.org/2001/XMLSchema" xmlns:xs="http://www.w3.org/2001/XMLSchema" xmlns:p="http://schemas.microsoft.com/office/2006/metadata/properties" xmlns:ns1="http://schemas.microsoft.com/sharepoint/v3" xmlns:ns2="5829bc35-be00-48af-afae-a8f0e8727087" xmlns:ns3="88f933a1-e329-4279-979c-40139ad22db8" targetNamespace="http://schemas.microsoft.com/office/2006/metadata/properties" ma:root="true" ma:fieldsID="265d6924c799ec525c37de4fcac09f8f" ns1:_="" ns2:_="" ns3:_="">
    <xsd:import namespace="http://schemas.microsoft.com/sharepoint/v3"/>
    <xsd:import namespace="5829bc35-be00-48af-afae-a8f0e8727087"/>
    <xsd:import namespace="88f933a1-e329-4279-979c-40139ad22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bc35-be00-48af-afae-a8f0e872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933a1-e329-4279-979c-40139ad22d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6BBD6-0BB8-414E-B746-09C7773575BB}">
  <ds:schemaRefs>
    <ds:schemaRef ds:uri="http://schemas.openxmlformats.org/officeDocument/2006/bibliography"/>
  </ds:schemaRefs>
</ds:datastoreItem>
</file>

<file path=customXml/itemProps2.xml><?xml version="1.0" encoding="utf-8"?>
<ds:datastoreItem xmlns:ds="http://schemas.openxmlformats.org/officeDocument/2006/customXml" ds:itemID="{8E28EDD5-6B93-4004-9743-2BF812CCAC94}">
  <ds:schemaRefs>
    <ds:schemaRef ds:uri="http://schemas.microsoft.com/sharepoint/v3/contenttype/forms"/>
  </ds:schemaRefs>
</ds:datastoreItem>
</file>

<file path=customXml/itemProps3.xml><?xml version="1.0" encoding="utf-8"?>
<ds:datastoreItem xmlns:ds="http://schemas.openxmlformats.org/officeDocument/2006/customXml" ds:itemID="{02E3B790-9846-4C34-82A8-9CE3D4177F7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E07325-8351-486C-B4E9-399F2FA5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9bc35-be00-48af-afae-a8f0e8727087"/>
    <ds:schemaRef ds:uri="88f933a1-e329-4279-979c-40139ad22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69</Pages>
  <Words>26401</Words>
  <Characters>157882</Characters>
  <Application>Microsoft Office Word</Application>
  <DocSecurity>0</DocSecurity>
  <Lines>4385</Lines>
  <Paragraphs>1406</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182877</CharactersWithSpaces>
  <SharedDoc>false</SharedDoc>
  <HLinks>
    <vt:vector size="216" baseType="variant">
      <vt:variant>
        <vt:i4>4128883</vt:i4>
      </vt:variant>
      <vt:variant>
        <vt:i4>192</vt:i4>
      </vt:variant>
      <vt:variant>
        <vt:i4>0</vt:i4>
      </vt:variant>
      <vt:variant>
        <vt:i4>5</vt:i4>
      </vt:variant>
      <vt:variant>
        <vt:lpwstr/>
      </vt:variant>
      <vt:variant>
        <vt:lpwstr>Table2</vt:lpwstr>
      </vt:variant>
      <vt:variant>
        <vt:i4>3735667</vt:i4>
      </vt:variant>
      <vt:variant>
        <vt:i4>189</vt:i4>
      </vt:variant>
      <vt:variant>
        <vt:i4>0</vt:i4>
      </vt:variant>
      <vt:variant>
        <vt:i4>5</vt:i4>
      </vt:variant>
      <vt:variant>
        <vt:lpwstr/>
      </vt:variant>
      <vt:variant>
        <vt:lpwstr>Table4</vt:lpwstr>
      </vt:variant>
      <vt:variant>
        <vt:i4>4128883</vt:i4>
      </vt:variant>
      <vt:variant>
        <vt:i4>186</vt:i4>
      </vt:variant>
      <vt:variant>
        <vt:i4>0</vt:i4>
      </vt:variant>
      <vt:variant>
        <vt:i4>5</vt:i4>
      </vt:variant>
      <vt:variant>
        <vt:lpwstr/>
      </vt:variant>
      <vt:variant>
        <vt:lpwstr>Table2</vt:lpwstr>
      </vt:variant>
      <vt:variant>
        <vt:i4>4063347</vt:i4>
      </vt:variant>
      <vt:variant>
        <vt:i4>183</vt:i4>
      </vt:variant>
      <vt:variant>
        <vt:i4>0</vt:i4>
      </vt:variant>
      <vt:variant>
        <vt:i4>5</vt:i4>
      </vt:variant>
      <vt:variant>
        <vt:lpwstr/>
      </vt:variant>
      <vt:variant>
        <vt:lpwstr>Table3</vt:lpwstr>
      </vt:variant>
      <vt:variant>
        <vt:i4>4128883</vt:i4>
      </vt:variant>
      <vt:variant>
        <vt:i4>180</vt:i4>
      </vt:variant>
      <vt:variant>
        <vt:i4>0</vt:i4>
      </vt:variant>
      <vt:variant>
        <vt:i4>5</vt:i4>
      </vt:variant>
      <vt:variant>
        <vt:lpwstr/>
      </vt:variant>
      <vt:variant>
        <vt:lpwstr>Table2</vt:lpwstr>
      </vt:variant>
      <vt:variant>
        <vt:i4>4128883</vt:i4>
      </vt:variant>
      <vt:variant>
        <vt:i4>177</vt:i4>
      </vt:variant>
      <vt:variant>
        <vt:i4>0</vt:i4>
      </vt:variant>
      <vt:variant>
        <vt:i4>5</vt:i4>
      </vt:variant>
      <vt:variant>
        <vt:lpwstr/>
      </vt:variant>
      <vt:variant>
        <vt:lpwstr>Table2</vt:lpwstr>
      </vt:variant>
      <vt:variant>
        <vt:i4>3932275</vt:i4>
      </vt:variant>
      <vt:variant>
        <vt:i4>174</vt:i4>
      </vt:variant>
      <vt:variant>
        <vt:i4>0</vt:i4>
      </vt:variant>
      <vt:variant>
        <vt:i4>5</vt:i4>
      </vt:variant>
      <vt:variant>
        <vt:lpwstr/>
      </vt:variant>
      <vt:variant>
        <vt:lpwstr>Table1</vt:lpwstr>
      </vt:variant>
      <vt:variant>
        <vt:i4>1507390</vt:i4>
      </vt:variant>
      <vt:variant>
        <vt:i4>167</vt:i4>
      </vt:variant>
      <vt:variant>
        <vt:i4>0</vt:i4>
      </vt:variant>
      <vt:variant>
        <vt:i4>5</vt:i4>
      </vt:variant>
      <vt:variant>
        <vt:lpwstr/>
      </vt:variant>
      <vt:variant>
        <vt:lpwstr>_Toc103188492</vt:lpwstr>
      </vt:variant>
      <vt:variant>
        <vt:i4>1507390</vt:i4>
      </vt:variant>
      <vt:variant>
        <vt:i4>161</vt:i4>
      </vt:variant>
      <vt:variant>
        <vt:i4>0</vt:i4>
      </vt:variant>
      <vt:variant>
        <vt:i4>5</vt:i4>
      </vt:variant>
      <vt:variant>
        <vt:lpwstr/>
      </vt:variant>
      <vt:variant>
        <vt:lpwstr>_Toc103188491</vt:lpwstr>
      </vt:variant>
      <vt:variant>
        <vt:i4>1507390</vt:i4>
      </vt:variant>
      <vt:variant>
        <vt:i4>155</vt:i4>
      </vt:variant>
      <vt:variant>
        <vt:i4>0</vt:i4>
      </vt:variant>
      <vt:variant>
        <vt:i4>5</vt:i4>
      </vt:variant>
      <vt:variant>
        <vt:lpwstr/>
      </vt:variant>
      <vt:variant>
        <vt:lpwstr>_Toc103188490</vt:lpwstr>
      </vt:variant>
      <vt:variant>
        <vt:i4>1441854</vt:i4>
      </vt:variant>
      <vt:variant>
        <vt:i4>149</vt:i4>
      </vt:variant>
      <vt:variant>
        <vt:i4>0</vt:i4>
      </vt:variant>
      <vt:variant>
        <vt:i4>5</vt:i4>
      </vt:variant>
      <vt:variant>
        <vt:lpwstr/>
      </vt:variant>
      <vt:variant>
        <vt:lpwstr>_Toc103188489</vt:lpwstr>
      </vt:variant>
      <vt:variant>
        <vt:i4>1441854</vt:i4>
      </vt:variant>
      <vt:variant>
        <vt:i4>143</vt:i4>
      </vt:variant>
      <vt:variant>
        <vt:i4>0</vt:i4>
      </vt:variant>
      <vt:variant>
        <vt:i4>5</vt:i4>
      </vt:variant>
      <vt:variant>
        <vt:lpwstr/>
      </vt:variant>
      <vt:variant>
        <vt:lpwstr>_Toc103188488</vt:lpwstr>
      </vt:variant>
      <vt:variant>
        <vt:i4>1441854</vt:i4>
      </vt:variant>
      <vt:variant>
        <vt:i4>137</vt:i4>
      </vt:variant>
      <vt:variant>
        <vt:i4>0</vt:i4>
      </vt:variant>
      <vt:variant>
        <vt:i4>5</vt:i4>
      </vt:variant>
      <vt:variant>
        <vt:lpwstr/>
      </vt:variant>
      <vt:variant>
        <vt:lpwstr>_Toc103188487</vt:lpwstr>
      </vt:variant>
      <vt:variant>
        <vt:i4>1441854</vt:i4>
      </vt:variant>
      <vt:variant>
        <vt:i4>131</vt:i4>
      </vt:variant>
      <vt:variant>
        <vt:i4>0</vt:i4>
      </vt:variant>
      <vt:variant>
        <vt:i4>5</vt:i4>
      </vt:variant>
      <vt:variant>
        <vt:lpwstr/>
      </vt:variant>
      <vt:variant>
        <vt:lpwstr>_Toc103188486</vt:lpwstr>
      </vt:variant>
      <vt:variant>
        <vt:i4>1441854</vt:i4>
      </vt:variant>
      <vt:variant>
        <vt:i4>125</vt:i4>
      </vt:variant>
      <vt:variant>
        <vt:i4>0</vt:i4>
      </vt:variant>
      <vt:variant>
        <vt:i4>5</vt:i4>
      </vt:variant>
      <vt:variant>
        <vt:lpwstr/>
      </vt:variant>
      <vt:variant>
        <vt:lpwstr>_Toc103188485</vt:lpwstr>
      </vt:variant>
      <vt:variant>
        <vt:i4>1441854</vt:i4>
      </vt:variant>
      <vt:variant>
        <vt:i4>119</vt:i4>
      </vt:variant>
      <vt:variant>
        <vt:i4>0</vt:i4>
      </vt:variant>
      <vt:variant>
        <vt:i4>5</vt:i4>
      </vt:variant>
      <vt:variant>
        <vt:lpwstr/>
      </vt:variant>
      <vt:variant>
        <vt:lpwstr>_Toc103188484</vt:lpwstr>
      </vt:variant>
      <vt:variant>
        <vt:i4>1441854</vt:i4>
      </vt:variant>
      <vt:variant>
        <vt:i4>113</vt:i4>
      </vt:variant>
      <vt:variant>
        <vt:i4>0</vt:i4>
      </vt:variant>
      <vt:variant>
        <vt:i4>5</vt:i4>
      </vt:variant>
      <vt:variant>
        <vt:lpwstr/>
      </vt:variant>
      <vt:variant>
        <vt:lpwstr>_Toc103188483</vt:lpwstr>
      </vt:variant>
      <vt:variant>
        <vt:i4>1441854</vt:i4>
      </vt:variant>
      <vt:variant>
        <vt:i4>107</vt:i4>
      </vt:variant>
      <vt:variant>
        <vt:i4>0</vt:i4>
      </vt:variant>
      <vt:variant>
        <vt:i4>5</vt:i4>
      </vt:variant>
      <vt:variant>
        <vt:lpwstr/>
      </vt:variant>
      <vt:variant>
        <vt:lpwstr>_Toc103188482</vt:lpwstr>
      </vt:variant>
      <vt:variant>
        <vt:i4>1441854</vt:i4>
      </vt:variant>
      <vt:variant>
        <vt:i4>101</vt:i4>
      </vt:variant>
      <vt:variant>
        <vt:i4>0</vt:i4>
      </vt:variant>
      <vt:variant>
        <vt:i4>5</vt:i4>
      </vt:variant>
      <vt:variant>
        <vt:lpwstr/>
      </vt:variant>
      <vt:variant>
        <vt:lpwstr>_Toc103188481</vt:lpwstr>
      </vt:variant>
      <vt:variant>
        <vt:i4>1441854</vt:i4>
      </vt:variant>
      <vt:variant>
        <vt:i4>95</vt:i4>
      </vt:variant>
      <vt:variant>
        <vt:i4>0</vt:i4>
      </vt:variant>
      <vt:variant>
        <vt:i4>5</vt:i4>
      </vt:variant>
      <vt:variant>
        <vt:lpwstr/>
      </vt:variant>
      <vt:variant>
        <vt:lpwstr>_Toc103188480</vt:lpwstr>
      </vt:variant>
      <vt:variant>
        <vt:i4>1638462</vt:i4>
      </vt:variant>
      <vt:variant>
        <vt:i4>89</vt:i4>
      </vt:variant>
      <vt:variant>
        <vt:i4>0</vt:i4>
      </vt:variant>
      <vt:variant>
        <vt:i4>5</vt:i4>
      </vt:variant>
      <vt:variant>
        <vt:lpwstr/>
      </vt:variant>
      <vt:variant>
        <vt:lpwstr>_Toc103188479</vt:lpwstr>
      </vt:variant>
      <vt:variant>
        <vt:i4>1638462</vt:i4>
      </vt:variant>
      <vt:variant>
        <vt:i4>83</vt:i4>
      </vt:variant>
      <vt:variant>
        <vt:i4>0</vt:i4>
      </vt:variant>
      <vt:variant>
        <vt:i4>5</vt:i4>
      </vt:variant>
      <vt:variant>
        <vt:lpwstr/>
      </vt:variant>
      <vt:variant>
        <vt:lpwstr>_Toc103188478</vt:lpwstr>
      </vt:variant>
      <vt:variant>
        <vt:i4>1638462</vt:i4>
      </vt:variant>
      <vt:variant>
        <vt:i4>77</vt:i4>
      </vt:variant>
      <vt:variant>
        <vt:i4>0</vt:i4>
      </vt:variant>
      <vt:variant>
        <vt:i4>5</vt:i4>
      </vt:variant>
      <vt:variant>
        <vt:lpwstr/>
      </vt:variant>
      <vt:variant>
        <vt:lpwstr>_Toc103188477</vt:lpwstr>
      </vt:variant>
      <vt:variant>
        <vt:i4>1638462</vt:i4>
      </vt:variant>
      <vt:variant>
        <vt:i4>71</vt:i4>
      </vt:variant>
      <vt:variant>
        <vt:i4>0</vt:i4>
      </vt:variant>
      <vt:variant>
        <vt:i4>5</vt:i4>
      </vt:variant>
      <vt:variant>
        <vt:lpwstr/>
      </vt:variant>
      <vt:variant>
        <vt:lpwstr>_Toc103188476</vt:lpwstr>
      </vt:variant>
      <vt:variant>
        <vt:i4>1638462</vt:i4>
      </vt:variant>
      <vt:variant>
        <vt:i4>65</vt:i4>
      </vt:variant>
      <vt:variant>
        <vt:i4>0</vt:i4>
      </vt:variant>
      <vt:variant>
        <vt:i4>5</vt:i4>
      </vt:variant>
      <vt:variant>
        <vt:lpwstr/>
      </vt:variant>
      <vt:variant>
        <vt:lpwstr>_Toc103188475</vt:lpwstr>
      </vt:variant>
      <vt:variant>
        <vt:i4>1638462</vt:i4>
      </vt:variant>
      <vt:variant>
        <vt:i4>59</vt:i4>
      </vt:variant>
      <vt:variant>
        <vt:i4>0</vt:i4>
      </vt:variant>
      <vt:variant>
        <vt:i4>5</vt:i4>
      </vt:variant>
      <vt:variant>
        <vt:lpwstr/>
      </vt:variant>
      <vt:variant>
        <vt:lpwstr>_Toc103188474</vt:lpwstr>
      </vt:variant>
      <vt:variant>
        <vt:i4>1638462</vt:i4>
      </vt:variant>
      <vt:variant>
        <vt:i4>53</vt:i4>
      </vt:variant>
      <vt:variant>
        <vt:i4>0</vt:i4>
      </vt:variant>
      <vt:variant>
        <vt:i4>5</vt:i4>
      </vt:variant>
      <vt:variant>
        <vt:lpwstr/>
      </vt:variant>
      <vt:variant>
        <vt:lpwstr>_Toc103188473</vt:lpwstr>
      </vt:variant>
      <vt:variant>
        <vt:i4>1638462</vt:i4>
      </vt:variant>
      <vt:variant>
        <vt:i4>47</vt:i4>
      </vt:variant>
      <vt:variant>
        <vt:i4>0</vt:i4>
      </vt:variant>
      <vt:variant>
        <vt:i4>5</vt:i4>
      </vt:variant>
      <vt:variant>
        <vt:lpwstr/>
      </vt:variant>
      <vt:variant>
        <vt:lpwstr>_Toc103188472</vt:lpwstr>
      </vt:variant>
      <vt:variant>
        <vt:i4>1638462</vt:i4>
      </vt:variant>
      <vt:variant>
        <vt:i4>41</vt:i4>
      </vt:variant>
      <vt:variant>
        <vt:i4>0</vt:i4>
      </vt:variant>
      <vt:variant>
        <vt:i4>5</vt:i4>
      </vt:variant>
      <vt:variant>
        <vt:lpwstr/>
      </vt:variant>
      <vt:variant>
        <vt:lpwstr>_Toc103188471</vt:lpwstr>
      </vt:variant>
      <vt:variant>
        <vt:i4>1638462</vt:i4>
      </vt:variant>
      <vt:variant>
        <vt:i4>35</vt:i4>
      </vt:variant>
      <vt:variant>
        <vt:i4>0</vt:i4>
      </vt:variant>
      <vt:variant>
        <vt:i4>5</vt:i4>
      </vt:variant>
      <vt:variant>
        <vt:lpwstr/>
      </vt:variant>
      <vt:variant>
        <vt:lpwstr>_Toc103188470</vt:lpwstr>
      </vt:variant>
      <vt:variant>
        <vt:i4>1572926</vt:i4>
      </vt:variant>
      <vt:variant>
        <vt:i4>29</vt:i4>
      </vt:variant>
      <vt:variant>
        <vt:i4>0</vt:i4>
      </vt:variant>
      <vt:variant>
        <vt:i4>5</vt:i4>
      </vt:variant>
      <vt:variant>
        <vt:lpwstr/>
      </vt:variant>
      <vt:variant>
        <vt:lpwstr>_Toc103188469</vt:lpwstr>
      </vt:variant>
      <vt:variant>
        <vt:i4>1572926</vt:i4>
      </vt:variant>
      <vt:variant>
        <vt:i4>23</vt:i4>
      </vt:variant>
      <vt:variant>
        <vt:i4>0</vt:i4>
      </vt:variant>
      <vt:variant>
        <vt:i4>5</vt:i4>
      </vt:variant>
      <vt:variant>
        <vt:lpwstr/>
      </vt:variant>
      <vt:variant>
        <vt:lpwstr>_Toc103188468</vt:lpwstr>
      </vt:variant>
      <vt:variant>
        <vt:i4>1572926</vt:i4>
      </vt:variant>
      <vt:variant>
        <vt:i4>17</vt:i4>
      </vt:variant>
      <vt:variant>
        <vt:i4>0</vt:i4>
      </vt:variant>
      <vt:variant>
        <vt:i4>5</vt:i4>
      </vt:variant>
      <vt:variant>
        <vt:lpwstr/>
      </vt:variant>
      <vt:variant>
        <vt:lpwstr>_Toc103188467</vt:lpwstr>
      </vt:variant>
      <vt:variant>
        <vt:i4>1572926</vt:i4>
      </vt:variant>
      <vt:variant>
        <vt:i4>11</vt:i4>
      </vt:variant>
      <vt:variant>
        <vt:i4>0</vt:i4>
      </vt:variant>
      <vt:variant>
        <vt:i4>5</vt:i4>
      </vt:variant>
      <vt:variant>
        <vt:lpwstr/>
      </vt:variant>
      <vt:variant>
        <vt:lpwstr>_Toc103188466</vt:lpwstr>
      </vt:variant>
      <vt:variant>
        <vt:i4>1572926</vt:i4>
      </vt:variant>
      <vt:variant>
        <vt:i4>5</vt:i4>
      </vt:variant>
      <vt:variant>
        <vt:i4>0</vt:i4>
      </vt:variant>
      <vt:variant>
        <vt:i4>5</vt:i4>
      </vt:variant>
      <vt:variant>
        <vt:lpwstr/>
      </vt:variant>
      <vt:variant>
        <vt:lpwstr>_Toc103188465</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Sobiecki</dc:creator>
  <cp:keywords>144535903</cp:keywords>
  <dc:description/>
  <cp:lastModifiedBy>Daisy Smith</cp:lastModifiedBy>
  <cp:revision>169</cp:revision>
  <cp:lastPrinted>2022-05-11T23:03:00Z</cp:lastPrinted>
  <dcterms:created xsi:type="dcterms:W3CDTF">2022-05-10T21:35:00Z</dcterms:created>
  <dcterms:modified xsi:type="dcterms:W3CDTF">2022-05-18T03:06:00Z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0x01010031735A8ED1FE164FA7BED34B2649011E</vt:lpwstr>
  </property>
  <property fmtid="{D5CDD505-2E9C-101B-9397-08002B2CF9AE}" pid="3" name="MSIP_Label_52dda6cc-d61d-4fd2-bf18-9b3017d931cc_Enabled">
    <vt:lpwstr>true</vt:lpwstr>
  </property>
  <property fmtid="{D5CDD505-2E9C-101B-9397-08002B2CF9AE}" pid="4" name="MSIP_Label_52dda6cc-d61d-4fd2-bf18-9b3017d931cc_SetDate">
    <vt:lpwstr>2022-05-18T02:25:55Z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a96179db-c116-4146-8c5f-b0149396c6dd</vt:lpwstr>
  </property>
  <property fmtid="{D5CDD505-2E9C-101B-9397-08002B2CF9AE}" pid="9" name="MSIP_Label_52dda6cc-d61d-4fd2-bf18-9b3017d931cc_ContentBits">
    <vt:lpwstr>0</vt:lpwstr>
  </property>
</Properties>
</file>