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Calibri" w:hAnsi="Calibri"/>
          <w:color w:val="1C556C" w:themeColor="accent1"/>
          <w:lang w:val="en-NZ" w:eastAsia="en-NZ"/>
        </w:rPr>
        <w:id w:val="703521862"/>
        <w:docPartObj>
          <w:docPartGallery w:val="Cover Pages"/>
          <w:docPartUnique/>
        </w:docPartObj>
      </w:sdtPr>
      <w:sdtEndPr>
        <w:rPr>
          <w:noProof/>
          <w:color w:val="FF0000"/>
        </w:rPr>
      </w:sdtEndPr>
      <w:sdtContent>
        <w:p w14:paraId="368EEDA5" w14:textId="680A0AAF" w:rsidR="006F04C6" w:rsidRDefault="006F04C6">
          <w:pPr>
            <w:pStyle w:val="NoSpacing"/>
            <w:spacing w:before="1540" w:after="240"/>
            <w:jc w:val="center"/>
            <w:rPr>
              <w:color w:val="1C556C" w:themeColor="accent1"/>
            </w:rPr>
            <w:sectPr w:rsidR="006F04C6" w:rsidSect="006F04C6">
              <w:headerReference w:type="even" r:id="rId12"/>
              <w:headerReference w:type="default" r:id="rId13"/>
              <w:footerReference w:type="even" r:id="rId14"/>
              <w:footerReference w:type="default" r:id="rId15"/>
              <w:headerReference w:type="first" r:id="rId16"/>
              <w:footerReference w:type="first" r:id="rId17"/>
              <w:pgSz w:w="11907" w:h="16840" w:code="9"/>
              <w:pgMar w:top="238" w:right="244" w:bottom="249" w:left="238" w:header="567" w:footer="567" w:gutter="0"/>
              <w:pgNumType w:fmt="lowerRoman" w:start="0"/>
              <w:cols w:space="720"/>
              <w:titlePg/>
              <w:docGrid w:linePitch="299"/>
            </w:sectPr>
          </w:pPr>
          <w:r>
            <w:rPr>
              <w:noProof/>
              <w:color w:val="1C556C" w:themeColor="accent1"/>
            </w:rPr>
            <w:drawing>
              <wp:anchor distT="0" distB="0" distL="114300" distR="114300" simplePos="0" relativeHeight="251658240" behindDoc="0" locked="0" layoutInCell="1" allowOverlap="1" wp14:anchorId="6448C931" wp14:editId="6DB7CF0F">
                <wp:simplePos x="0" y="0"/>
                <wp:positionH relativeFrom="margin">
                  <wp:posOffset>-225425</wp:posOffset>
                </wp:positionH>
                <wp:positionV relativeFrom="margin">
                  <wp:posOffset>-711200</wp:posOffset>
                </wp:positionV>
                <wp:extent cx="7708265" cy="10902950"/>
                <wp:effectExtent l="0" t="0" r="6985" b="0"/>
                <wp:wrapSquare wrapText="bothSides"/>
                <wp:docPr id="4" name="Picture 4" descr="A waterfall in a fores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waterfall in a forest&#10;&#10;Description automatically generated with low confidence"/>
                        <pic:cNvPicPr/>
                      </pic:nvPicPr>
                      <pic:blipFill>
                        <a:blip r:embed="rId18"/>
                        <a:stretch>
                          <a:fillRect/>
                        </a:stretch>
                      </pic:blipFill>
                      <pic:spPr>
                        <a:xfrm>
                          <a:off x="0" y="0"/>
                          <a:ext cx="7708265" cy="10902950"/>
                        </a:xfrm>
                        <a:prstGeom prst="rect">
                          <a:avLst/>
                        </a:prstGeom>
                      </pic:spPr>
                    </pic:pic>
                  </a:graphicData>
                </a:graphic>
                <wp14:sizeRelH relativeFrom="margin">
                  <wp14:pctWidth>0</wp14:pctWidth>
                </wp14:sizeRelH>
                <wp14:sizeRelV relativeFrom="margin">
                  <wp14:pctHeight>0</wp14:pctHeight>
                </wp14:sizeRelV>
              </wp:anchor>
            </w:drawing>
          </w:r>
        </w:p>
        <w:p w14:paraId="0655A4FE" w14:textId="34DC46A7" w:rsidR="00DA4C91" w:rsidRDefault="00CB1787">
          <w:pPr>
            <w:spacing w:before="0" w:after="200" w:line="276" w:lineRule="auto"/>
            <w:jc w:val="left"/>
            <w:rPr>
              <w:noProof/>
              <w:color w:val="FF0000"/>
            </w:rPr>
          </w:pPr>
        </w:p>
      </w:sdtContent>
    </w:sdt>
    <w:p w14:paraId="5E9E40B4" w14:textId="56AE9433" w:rsidR="00452EC4" w:rsidRPr="00FB249F" w:rsidRDefault="00452EC4" w:rsidP="00775F57">
      <w:pPr>
        <w:pStyle w:val="Imprint"/>
        <w:spacing w:before="0" w:after="0"/>
        <w:rPr>
          <w:b/>
        </w:rPr>
      </w:pPr>
      <w:r w:rsidRPr="00FB249F">
        <w:rPr>
          <w:b/>
        </w:rPr>
        <w:t>Disclaimer</w:t>
      </w:r>
    </w:p>
    <w:p w14:paraId="40F814C3" w14:textId="11433489" w:rsidR="00452EC4" w:rsidRPr="00FB249F" w:rsidRDefault="00A33464" w:rsidP="00452EC4">
      <w:pPr>
        <w:pStyle w:val="Imprint"/>
      </w:pPr>
      <w:r w:rsidRPr="00FB249F">
        <w:t>While all care and diligence has been used in processing, analysing, and extracting data and information for this publication, the Ministry for the Environment and the data providers give</w:t>
      </w:r>
      <w:r w:rsidR="004822C4" w:rsidRPr="00FB249F">
        <w:t> </w:t>
      </w:r>
      <w:r w:rsidRPr="00FB249F">
        <w:t>no warranty in relation to the report or data used in the report – including its accuracy, reliability, and suitability – and accept no liability whatsoever in relation to any loss, damage, or other costs relating to the use of any part of the report (including any data) or any compilations, derivative works, or modifications of the report (including any data).</w:t>
      </w:r>
    </w:p>
    <w:p w14:paraId="0841514A" w14:textId="28DA1561" w:rsidR="00452EC4" w:rsidRPr="00FB249F" w:rsidRDefault="00452EC4" w:rsidP="00775F57">
      <w:pPr>
        <w:pStyle w:val="Imprint"/>
        <w:spacing w:after="0"/>
        <w:rPr>
          <w:b/>
        </w:rPr>
      </w:pPr>
      <w:r w:rsidRPr="00FB249F">
        <w:rPr>
          <w:b/>
        </w:rPr>
        <w:t>Acknowledgements</w:t>
      </w:r>
    </w:p>
    <w:p w14:paraId="40D53F80" w14:textId="220B9C43" w:rsidR="003A6C08" w:rsidRPr="00FB249F" w:rsidRDefault="003A6C08" w:rsidP="003A6C08">
      <w:pPr>
        <w:pStyle w:val="Imprint"/>
      </w:pPr>
      <w:r w:rsidRPr="00FB249F">
        <w:t xml:space="preserve">This report was prepared by Sean Hudgens, Joe Val Alipin, and Chris Page from the Ministry for the Environment. The authors would like to acknowledge Doug Booker and Channa </w:t>
      </w:r>
      <w:r w:rsidRPr="00FB249F">
        <w:rPr>
          <w:rFonts w:eastAsia="Calibri" w:cs="Times New Roman"/>
          <w:lang w:eastAsia="en-US"/>
        </w:rPr>
        <w:t>Rajanayaka</w:t>
      </w:r>
      <w:r w:rsidRPr="00FB249F">
        <w:t xml:space="preserve"> (NIWA) for providing technical advice, Mike Thompson (Greater Wellington Regional Council), Amy Lennard and Raelene Mercer (Horizons Regional Council) for providing data and information, and Philippa Aitchison-Earl (Environment Canterbury) for reviewing this report.</w:t>
      </w:r>
    </w:p>
    <w:p w14:paraId="703AA1F6" w14:textId="735A7C0A" w:rsidR="004822C4" w:rsidRPr="00FB249F" w:rsidRDefault="004822C4" w:rsidP="003A6C08">
      <w:pPr>
        <w:pStyle w:val="Imprint"/>
      </w:pPr>
    </w:p>
    <w:p w14:paraId="665CD2A2" w14:textId="77777777" w:rsidR="004822C4" w:rsidRPr="00FB249F" w:rsidRDefault="004822C4" w:rsidP="003A6C08">
      <w:pPr>
        <w:pStyle w:val="Imprint"/>
      </w:pPr>
    </w:p>
    <w:p w14:paraId="4FF1D78F" w14:textId="2F1EFD12" w:rsidR="003A6C08" w:rsidRPr="00FB249F" w:rsidRDefault="003A6C08" w:rsidP="003A6C08">
      <w:pPr>
        <w:pStyle w:val="Imprint"/>
      </w:pPr>
      <w:r w:rsidRPr="00FB249F">
        <w:t xml:space="preserve">This document may be cited as: Ministry for the Environment. 2021. </w:t>
      </w:r>
      <w:r w:rsidRPr="00FB249F">
        <w:rPr>
          <w:i/>
          <w:iCs/>
        </w:rPr>
        <w:t>Improving our understanding of the effects of water use on river flows: A case study</w:t>
      </w:r>
      <w:r w:rsidRPr="00FB249F">
        <w:rPr>
          <w:i/>
        </w:rPr>
        <w:t xml:space="preserve"> for the Wellington and</w:t>
      </w:r>
      <w:r w:rsidR="004822C4" w:rsidRPr="00FB249F">
        <w:rPr>
          <w:i/>
        </w:rPr>
        <w:t> </w:t>
      </w:r>
      <w:r w:rsidRPr="00FB249F">
        <w:rPr>
          <w:i/>
        </w:rPr>
        <w:t>Manawatū-Whanganui Regions for the period June 2015–June 2018</w:t>
      </w:r>
      <w:r w:rsidRPr="00FB249F">
        <w:t>. Wellington: Ministry</w:t>
      </w:r>
      <w:r w:rsidR="004822C4" w:rsidRPr="00FB249F">
        <w:t> </w:t>
      </w:r>
      <w:r w:rsidRPr="00FB249F">
        <w:t>for the Environment.</w:t>
      </w:r>
    </w:p>
    <w:p w14:paraId="2331D41E" w14:textId="77777777" w:rsidR="0080531E" w:rsidRPr="00FB249F" w:rsidRDefault="0080531E" w:rsidP="0080531E">
      <w:pPr>
        <w:pStyle w:val="Imprint"/>
      </w:pPr>
    </w:p>
    <w:p w14:paraId="49A35937" w14:textId="77777777" w:rsidR="0080531E" w:rsidRPr="00FB249F" w:rsidRDefault="0080531E" w:rsidP="0080531E">
      <w:pPr>
        <w:pStyle w:val="Imprint"/>
      </w:pPr>
    </w:p>
    <w:p w14:paraId="0C2096FE" w14:textId="77777777" w:rsidR="004822C4" w:rsidRPr="00FB249F" w:rsidRDefault="004822C4" w:rsidP="0080531E">
      <w:pPr>
        <w:pStyle w:val="Imprint"/>
      </w:pPr>
    </w:p>
    <w:p w14:paraId="1AA2766A" w14:textId="77777777" w:rsidR="0080531E" w:rsidRPr="00FB249F" w:rsidRDefault="0080531E" w:rsidP="0080531E">
      <w:pPr>
        <w:pStyle w:val="Imprint"/>
      </w:pPr>
    </w:p>
    <w:p w14:paraId="49825F85" w14:textId="77777777" w:rsidR="00760C00" w:rsidRPr="00FB249F" w:rsidRDefault="00760C00" w:rsidP="0080531E">
      <w:pPr>
        <w:pStyle w:val="Imprint"/>
      </w:pPr>
    </w:p>
    <w:p w14:paraId="29973C65" w14:textId="77777777" w:rsidR="00457135" w:rsidRPr="00FB249F" w:rsidRDefault="00457135" w:rsidP="0080531E">
      <w:pPr>
        <w:pStyle w:val="Imprint"/>
      </w:pPr>
    </w:p>
    <w:p w14:paraId="29F4C8AF" w14:textId="77777777" w:rsidR="00457135" w:rsidRPr="00FB249F" w:rsidRDefault="00457135" w:rsidP="004822C4">
      <w:pPr>
        <w:pStyle w:val="Imprint"/>
        <w:spacing w:after="0"/>
      </w:pPr>
    </w:p>
    <w:p w14:paraId="135006AA" w14:textId="214A5147" w:rsidR="0080531E" w:rsidRPr="00FB249F" w:rsidRDefault="00F221FF" w:rsidP="004822C4">
      <w:pPr>
        <w:pStyle w:val="Imprint"/>
        <w:spacing w:before="0"/>
      </w:pPr>
      <w:r w:rsidRPr="00FB249F">
        <w:t xml:space="preserve">Published in </w:t>
      </w:r>
      <w:r w:rsidR="004955E5">
        <w:t>December</w:t>
      </w:r>
      <w:r w:rsidR="004955E5" w:rsidRPr="00FB249F">
        <w:t xml:space="preserve"> </w:t>
      </w:r>
      <w:r w:rsidRPr="00FB249F">
        <w:t xml:space="preserve">2021 </w:t>
      </w:r>
      <w:r w:rsidR="0080531E" w:rsidRPr="00FB249F">
        <w:t>by the</w:t>
      </w:r>
      <w:r w:rsidR="0080531E" w:rsidRPr="00FB249F">
        <w:br/>
        <w:t xml:space="preserve">Ministry for the Environment </w:t>
      </w:r>
      <w:r w:rsidR="0080531E" w:rsidRPr="00FB249F">
        <w:br/>
        <w:t>Manatū Mō Te Taiao</w:t>
      </w:r>
      <w:r w:rsidR="0080531E" w:rsidRPr="00FB249F">
        <w:br/>
        <w:t>PO Box 10362, Wellington 6143, New Zealand</w:t>
      </w:r>
    </w:p>
    <w:p w14:paraId="001C6C79" w14:textId="2B5F868E" w:rsidR="0080531E" w:rsidRPr="00FB249F" w:rsidRDefault="0080531E" w:rsidP="0080531E">
      <w:pPr>
        <w:pStyle w:val="Imprint"/>
        <w:tabs>
          <w:tab w:val="left" w:pos="720"/>
        </w:tabs>
        <w:ind w:left="720" w:hanging="720"/>
      </w:pPr>
      <w:r w:rsidRPr="00FB249F">
        <w:t xml:space="preserve">ISBN: </w:t>
      </w:r>
      <w:r w:rsidRPr="00FB249F">
        <w:tab/>
      </w:r>
      <w:r w:rsidR="001E7087" w:rsidRPr="00FB249F">
        <w:t>978-1-99-003398-8</w:t>
      </w:r>
    </w:p>
    <w:p w14:paraId="5D7A00B9" w14:textId="0923E9CF" w:rsidR="0080531E" w:rsidRPr="00FB249F" w:rsidRDefault="0080531E" w:rsidP="0080531E">
      <w:pPr>
        <w:pStyle w:val="Imprint"/>
        <w:ind w:left="720" w:hanging="720"/>
      </w:pPr>
      <w:r w:rsidRPr="00FB249F">
        <w:t xml:space="preserve">Publication number: </w:t>
      </w:r>
      <w:r w:rsidR="008B45F2" w:rsidRPr="00FB249F">
        <w:t>ME 1611</w:t>
      </w:r>
    </w:p>
    <w:p w14:paraId="2C7A9DD7" w14:textId="12A105B2" w:rsidR="0080531E" w:rsidRPr="00FB249F" w:rsidRDefault="0080531E" w:rsidP="00593E94">
      <w:pPr>
        <w:pStyle w:val="Imprint"/>
        <w:spacing w:after="80"/>
      </w:pPr>
      <w:r w:rsidRPr="00FB249F">
        <w:t xml:space="preserve">© Crown copyright New Zealand </w:t>
      </w:r>
      <w:r w:rsidR="008B45F2" w:rsidRPr="00FB249F">
        <w:t>2021</w:t>
      </w:r>
    </w:p>
    <w:p w14:paraId="770600CB" w14:textId="77777777" w:rsidR="00A84FE1" w:rsidRPr="00FB249F" w:rsidRDefault="0080531E" w:rsidP="00A84FE1">
      <w:pPr>
        <w:pStyle w:val="Imprint"/>
        <w:spacing w:before="240" w:after="0"/>
      </w:pPr>
      <w:r w:rsidRPr="00FB249F">
        <w:t>This document is available on the Ministry for</w:t>
      </w:r>
      <w:r w:rsidR="004C4E8A" w:rsidRPr="00FB249F">
        <w:t xml:space="preserve"> the Environment </w:t>
      </w:r>
      <w:r w:rsidR="00CB557F" w:rsidRPr="00FB249F">
        <w:t>website</w:t>
      </w:r>
      <w:r w:rsidRPr="00FB249F">
        <w:t xml:space="preserve">: </w:t>
      </w:r>
      <w:hyperlink r:id="rId19" w:history="1">
        <w:r w:rsidRPr="00FB249F">
          <w:rPr>
            <w:rStyle w:val="Hyperlink"/>
          </w:rPr>
          <w:t>www.mfe.govt.nz</w:t>
        </w:r>
      </w:hyperlink>
      <w:r w:rsidR="00B51610" w:rsidRPr="00FB249F">
        <w:rPr>
          <w:rStyle w:val="Hyperlink"/>
          <w:color w:val="auto"/>
        </w:rPr>
        <w:t>.</w:t>
      </w:r>
    </w:p>
    <w:p w14:paraId="3C5954B9" w14:textId="77777777" w:rsidR="0080531E" w:rsidRPr="00FB249F" w:rsidRDefault="0080531E" w:rsidP="00A84FE1">
      <w:pPr>
        <w:sectPr w:rsidR="0080531E" w:rsidRPr="00FB249F" w:rsidSect="00DA4C91">
          <w:pgSz w:w="11907" w:h="16840" w:code="9"/>
          <w:pgMar w:top="1134" w:right="1701" w:bottom="1134" w:left="1701" w:header="567" w:footer="567" w:gutter="0"/>
          <w:pgNumType w:fmt="lowerRoman" w:start="0"/>
          <w:cols w:space="720"/>
          <w:titlePg/>
          <w:docGrid w:linePitch="299"/>
        </w:sectPr>
      </w:pPr>
    </w:p>
    <w:p w14:paraId="4A14031D" w14:textId="77777777" w:rsidR="0080531E" w:rsidRPr="00FB249F" w:rsidRDefault="0080531E" w:rsidP="00CF1904">
      <w:pPr>
        <w:pStyle w:val="Heading"/>
      </w:pPr>
      <w:r w:rsidRPr="00FB249F">
        <w:lastRenderedPageBreak/>
        <w:t>Contents</w:t>
      </w:r>
    </w:p>
    <w:p w14:paraId="0237D04B" w14:textId="060D1102" w:rsidR="00AA37A7" w:rsidRDefault="00775F57">
      <w:pPr>
        <w:pStyle w:val="TOC1"/>
        <w:rPr>
          <w:rFonts w:asciiTheme="minorHAnsi" w:hAnsiTheme="minorHAnsi"/>
          <w:noProof/>
        </w:rPr>
      </w:pPr>
      <w:r w:rsidRPr="00FB249F">
        <w:rPr>
          <w:color w:val="0092CF"/>
        </w:rPr>
        <w:fldChar w:fldCharType="begin"/>
      </w:r>
      <w:r w:rsidRPr="00FB249F">
        <w:rPr>
          <w:color w:val="0092CF"/>
        </w:rPr>
        <w:instrText xml:space="preserve"> TOC \h \z \t "Heading 1,1,Heading 2,2" </w:instrText>
      </w:r>
      <w:r w:rsidRPr="00FB249F">
        <w:rPr>
          <w:color w:val="0092CF"/>
        </w:rPr>
        <w:fldChar w:fldCharType="separate"/>
      </w:r>
      <w:hyperlink w:anchor="_Toc90312361" w:history="1">
        <w:r w:rsidR="00AA37A7" w:rsidRPr="00BF16A9">
          <w:rPr>
            <w:rStyle w:val="Hyperlink"/>
            <w:noProof/>
          </w:rPr>
          <w:t>Executive summary</w:t>
        </w:r>
        <w:r w:rsidR="00AA37A7">
          <w:rPr>
            <w:noProof/>
            <w:webHidden/>
          </w:rPr>
          <w:tab/>
        </w:r>
        <w:r w:rsidR="00AA37A7">
          <w:rPr>
            <w:noProof/>
            <w:webHidden/>
          </w:rPr>
          <w:fldChar w:fldCharType="begin"/>
        </w:r>
        <w:r w:rsidR="00AA37A7">
          <w:rPr>
            <w:noProof/>
            <w:webHidden/>
          </w:rPr>
          <w:instrText xml:space="preserve"> PAGEREF _Toc90312361 \h </w:instrText>
        </w:r>
        <w:r w:rsidR="00AA37A7">
          <w:rPr>
            <w:noProof/>
            <w:webHidden/>
          </w:rPr>
        </w:r>
        <w:r w:rsidR="00AA37A7">
          <w:rPr>
            <w:noProof/>
            <w:webHidden/>
          </w:rPr>
          <w:fldChar w:fldCharType="separate"/>
        </w:r>
        <w:r w:rsidR="00AA37A7">
          <w:rPr>
            <w:noProof/>
            <w:webHidden/>
          </w:rPr>
          <w:t>4</w:t>
        </w:r>
        <w:r w:rsidR="00AA37A7">
          <w:rPr>
            <w:noProof/>
            <w:webHidden/>
          </w:rPr>
          <w:fldChar w:fldCharType="end"/>
        </w:r>
      </w:hyperlink>
    </w:p>
    <w:p w14:paraId="323E8FA2" w14:textId="5213C9C1" w:rsidR="00AA37A7" w:rsidRDefault="00CB1787">
      <w:pPr>
        <w:pStyle w:val="TOC1"/>
        <w:rPr>
          <w:rFonts w:asciiTheme="minorHAnsi" w:hAnsiTheme="minorHAnsi"/>
          <w:noProof/>
        </w:rPr>
      </w:pPr>
      <w:hyperlink w:anchor="_Toc90312362" w:history="1">
        <w:r w:rsidR="00AA37A7" w:rsidRPr="00BF16A9">
          <w:rPr>
            <w:rStyle w:val="Hyperlink"/>
            <w:noProof/>
          </w:rPr>
          <w:t>Background</w:t>
        </w:r>
        <w:r w:rsidR="00AA37A7">
          <w:rPr>
            <w:noProof/>
            <w:webHidden/>
          </w:rPr>
          <w:tab/>
        </w:r>
        <w:r w:rsidR="00AA37A7">
          <w:rPr>
            <w:noProof/>
            <w:webHidden/>
          </w:rPr>
          <w:fldChar w:fldCharType="begin"/>
        </w:r>
        <w:r w:rsidR="00AA37A7">
          <w:rPr>
            <w:noProof/>
            <w:webHidden/>
          </w:rPr>
          <w:instrText xml:space="preserve"> PAGEREF _Toc90312362 \h </w:instrText>
        </w:r>
        <w:r w:rsidR="00AA37A7">
          <w:rPr>
            <w:noProof/>
            <w:webHidden/>
          </w:rPr>
        </w:r>
        <w:r w:rsidR="00AA37A7">
          <w:rPr>
            <w:noProof/>
            <w:webHidden/>
          </w:rPr>
          <w:fldChar w:fldCharType="separate"/>
        </w:r>
        <w:r w:rsidR="00AA37A7">
          <w:rPr>
            <w:noProof/>
            <w:webHidden/>
          </w:rPr>
          <w:t>6</w:t>
        </w:r>
        <w:r w:rsidR="00AA37A7">
          <w:rPr>
            <w:noProof/>
            <w:webHidden/>
          </w:rPr>
          <w:fldChar w:fldCharType="end"/>
        </w:r>
      </w:hyperlink>
    </w:p>
    <w:p w14:paraId="25191126" w14:textId="33001CB0" w:rsidR="00AA37A7" w:rsidRDefault="00CB1787">
      <w:pPr>
        <w:pStyle w:val="TOC2"/>
        <w:rPr>
          <w:rFonts w:asciiTheme="minorHAnsi" w:hAnsiTheme="minorHAnsi"/>
        </w:rPr>
      </w:pPr>
      <w:hyperlink w:anchor="_Toc90312363" w:history="1">
        <w:r w:rsidR="00AA37A7" w:rsidRPr="00BF16A9">
          <w:rPr>
            <w:rStyle w:val="Hyperlink"/>
          </w:rPr>
          <w:t>Importance and potential consequences of water use</w:t>
        </w:r>
        <w:r w:rsidR="00AA37A7">
          <w:rPr>
            <w:webHidden/>
          </w:rPr>
          <w:tab/>
        </w:r>
        <w:r w:rsidR="00AA37A7">
          <w:rPr>
            <w:webHidden/>
          </w:rPr>
          <w:fldChar w:fldCharType="begin"/>
        </w:r>
        <w:r w:rsidR="00AA37A7">
          <w:rPr>
            <w:webHidden/>
          </w:rPr>
          <w:instrText xml:space="preserve"> PAGEREF _Toc90312363 \h </w:instrText>
        </w:r>
        <w:r w:rsidR="00AA37A7">
          <w:rPr>
            <w:webHidden/>
          </w:rPr>
        </w:r>
        <w:r w:rsidR="00AA37A7">
          <w:rPr>
            <w:webHidden/>
          </w:rPr>
          <w:fldChar w:fldCharType="separate"/>
        </w:r>
        <w:r w:rsidR="00AA37A7">
          <w:rPr>
            <w:webHidden/>
          </w:rPr>
          <w:t>6</w:t>
        </w:r>
        <w:r w:rsidR="00AA37A7">
          <w:rPr>
            <w:webHidden/>
          </w:rPr>
          <w:fldChar w:fldCharType="end"/>
        </w:r>
      </w:hyperlink>
    </w:p>
    <w:p w14:paraId="4DB39A5F" w14:textId="73F7F7CC" w:rsidR="00AA37A7" w:rsidRDefault="00CB1787">
      <w:pPr>
        <w:pStyle w:val="TOC2"/>
        <w:rPr>
          <w:rFonts w:asciiTheme="minorHAnsi" w:hAnsiTheme="minorHAnsi"/>
        </w:rPr>
      </w:pPr>
      <w:hyperlink w:anchor="_Toc90312364" w:history="1">
        <w:r w:rsidR="00AA37A7" w:rsidRPr="00BF16A9">
          <w:rPr>
            <w:rStyle w:val="Hyperlink"/>
          </w:rPr>
          <w:t>Water allocation and accounting</w:t>
        </w:r>
        <w:r w:rsidR="00AA37A7">
          <w:rPr>
            <w:webHidden/>
          </w:rPr>
          <w:tab/>
        </w:r>
        <w:r w:rsidR="00AA37A7">
          <w:rPr>
            <w:webHidden/>
          </w:rPr>
          <w:fldChar w:fldCharType="begin"/>
        </w:r>
        <w:r w:rsidR="00AA37A7">
          <w:rPr>
            <w:webHidden/>
          </w:rPr>
          <w:instrText xml:space="preserve"> PAGEREF _Toc90312364 \h </w:instrText>
        </w:r>
        <w:r w:rsidR="00AA37A7">
          <w:rPr>
            <w:webHidden/>
          </w:rPr>
        </w:r>
        <w:r w:rsidR="00AA37A7">
          <w:rPr>
            <w:webHidden/>
          </w:rPr>
          <w:fldChar w:fldCharType="separate"/>
        </w:r>
        <w:r w:rsidR="00AA37A7">
          <w:rPr>
            <w:webHidden/>
          </w:rPr>
          <w:t>8</w:t>
        </w:r>
        <w:r w:rsidR="00AA37A7">
          <w:rPr>
            <w:webHidden/>
          </w:rPr>
          <w:fldChar w:fldCharType="end"/>
        </w:r>
      </w:hyperlink>
    </w:p>
    <w:p w14:paraId="7E3617DC" w14:textId="28F07614" w:rsidR="00AA37A7" w:rsidRDefault="00CB1787">
      <w:pPr>
        <w:pStyle w:val="TOC2"/>
        <w:rPr>
          <w:rFonts w:asciiTheme="minorHAnsi" w:hAnsiTheme="minorHAnsi"/>
        </w:rPr>
      </w:pPr>
      <w:hyperlink w:anchor="_Toc90312365" w:history="1">
        <w:r w:rsidR="00AA37A7" w:rsidRPr="00BF16A9">
          <w:rPr>
            <w:rStyle w:val="Hyperlink"/>
          </w:rPr>
          <w:t>Understanding the effects of water use on river and stream flows</w:t>
        </w:r>
        <w:r w:rsidR="00AA37A7">
          <w:rPr>
            <w:webHidden/>
          </w:rPr>
          <w:tab/>
        </w:r>
        <w:r w:rsidR="00AA37A7">
          <w:rPr>
            <w:webHidden/>
          </w:rPr>
          <w:fldChar w:fldCharType="begin"/>
        </w:r>
        <w:r w:rsidR="00AA37A7">
          <w:rPr>
            <w:webHidden/>
          </w:rPr>
          <w:instrText xml:space="preserve"> PAGEREF _Toc90312365 \h </w:instrText>
        </w:r>
        <w:r w:rsidR="00AA37A7">
          <w:rPr>
            <w:webHidden/>
          </w:rPr>
        </w:r>
        <w:r w:rsidR="00AA37A7">
          <w:rPr>
            <w:webHidden/>
          </w:rPr>
          <w:fldChar w:fldCharType="separate"/>
        </w:r>
        <w:r w:rsidR="00AA37A7">
          <w:rPr>
            <w:webHidden/>
          </w:rPr>
          <w:t>9</w:t>
        </w:r>
        <w:r w:rsidR="00AA37A7">
          <w:rPr>
            <w:webHidden/>
          </w:rPr>
          <w:fldChar w:fldCharType="end"/>
        </w:r>
      </w:hyperlink>
    </w:p>
    <w:p w14:paraId="7C3E3B98" w14:textId="7584D9DF" w:rsidR="00AA37A7" w:rsidRDefault="00CB1787">
      <w:pPr>
        <w:pStyle w:val="TOC1"/>
        <w:rPr>
          <w:rFonts w:asciiTheme="minorHAnsi" w:hAnsiTheme="minorHAnsi"/>
          <w:noProof/>
        </w:rPr>
      </w:pPr>
      <w:hyperlink w:anchor="_Toc90312366" w:history="1">
        <w:r w:rsidR="00AA37A7" w:rsidRPr="00BF16A9">
          <w:rPr>
            <w:rStyle w:val="Hyperlink"/>
            <w:noProof/>
          </w:rPr>
          <w:t>Purpose and approach</w:t>
        </w:r>
        <w:r w:rsidR="00AA37A7">
          <w:rPr>
            <w:noProof/>
            <w:webHidden/>
          </w:rPr>
          <w:tab/>
        </w:r>
        <w:r w:rsidR="00AA37A7">
          <w:rPr>
            <w:noProof/>
            <w:webHidden/>
          </w:rPr>
          <w:fldChar w:fldCharType="begin"/>
        </w:r>
        <w:r w:rsidR="00AA37A7">
          <w:rPr>
            <w:noProof/>
            <w:webHidden/>
          </w:rPr>
          <w:instrText xml:space="preserve"> PAGEREF _Toc90312366 \h </w:instrText>
        </w:r>
        <w:r w:rsidR="00AA37A7">
          <w:rPr>
            <w:noProof/>
            <w:webHidden/>
          </w:rPr>
        </w:r>
        <w:r w:rsidR="00AA37A7">
          <w:rPr>
            <w:noProof/>
            <w:webHidden/>
          </w:rPr>
          <w:fldChar w:fldCharType="separate"/>
        </w:r>
        <w:r w:rsidR="00AA37A7">
          <w:rPr>
            <w:noProof/>
            <w:webHidden/>
          </w:rPr>
          <w:t>13</w:t>
        </w:r>
        <w:r w:rsidR="00AA37A7">
          <w:rPr>
            <w:noProof/>
            <w:webHidden/>
          </w:rPr>
          <w:fldChar w:fldCharType="end"/>
        </w:r>
      </w:hyperlink>
    </w:p>
    <w:p w14:paraId="7A812CFA" w14:textId="4A783C57" w:rsidR="00AA37A7" w:rsidRDefault="00CB1787">
      <w:pPr>
        <w:pStyle w:val="TOC1"/>
        <w:rPr>
          <w:rFonts w:asciiTheme="minorHAnsi" w:hAnsiTheme="minorHAnsi"/>
          <w:noProof/>
        </w:rPr>
      </w:pPr>
      <w:hyperlink w:anchor="_Toc90312367" w:history="1">
        <w:r w:rsidR="00AA37A7" w:rsidRPr="00BF16A9">
          <w:rPr>
            <w:rStyle w:val="Hyperlink"/>
            <w:noProof/>
          </w:rPr>
          <w:t>Streamflow depletion as a proportion of long-term natural median flow</w:t>
        </w:r>
        <w:r w:rsidR="00AA37A7">
          <w:rPr>
            <w:noProof/>
            <w:webHidden/>
          </w:rPr>
          <w:tab/>
        </w:r>
        <w:r w:rsidR="00AA37A7">
          <w:rPr>
            <w:noProof/>
            <w:webHidden/>
          </w:rPr>
          <w:fldChar w:fldCharType="begin"/>
        </w:r>
        <w:r w:rsidR="00AA37A7">
          <w:rPr>
            <w:noProof/>
            <w:webHidden/>
          </w:rPr>
          <w:instrText xml:space="preserve"> PAGEREF _Toc90312367 \h </w:instrText>
        </w:r>
        <w:r w:rsidR="00AA37A7">
          <w:rPr>
            <w:noProof/>
            <w:webHidden/>
          </w:rPr>
        </w:r>
        <w:r w:rsidR="00AA37A7">
          <w:rPr>
            <w:noProof/>
            <w:webHidden/>
          </w:rPr>
          <w:fldChar w:fldCharType="separate"/>
        </w:r>
        <w:r w:rsidR="00AA37A7">
          <w:rPr>
            <w:noProof/>
            <w:webHidden/>
          </w:rPr>
          <w:t>14</w:t>
        </w:r>
        <w:r w:rsidR="00AA37A7">
          <w:rPr>
            <w:noProof/>
            <w:webHidden/>
          </w:rPr>
          <w:fldChar w:fldCharType="end"/>
        </w:r>
      </w:hyperlink>
    </w:p>
    <w:p w14:paraId="48A76F47" w14:textId="0BED77F2" w:rsidR="00AA37A7" w:rsidRDefault="00CB1787">
      <w:pPr>
        <w:pStyle w:val="TOC2"/>
        <w:rPr>
          <w:rFonts w:asciiTheme="minorHAnsi" w:hAnsiTheme="minorHAnsi"/>
        </w:rPr>
      </w:pPr>
      <w:hyperlink w:anchor="_Toc90312368" w:history="1">
        <w:r w:rsidR="00AA37A7" w:rsidRPr="00BF16A9">
          <w:rPr>
            <w:rStyle w:val="Hyperlink"/>
          </w:rPr>
          <w:t>Comparing measured abstractions by primary water use</w:t>
        </w:r>
        <w:r w:rsidR="00AA37A7">
          <w:rPr>
            <w:webHidden/>
          </w:rPr>
          <w:tab/>
        </w:r>
        <w:r w:rsidR="00AA37A7">
          <w:rPr>
            <w:webHidden/>
          </w:rPr>
          <w:fldChar w:fldCharType="begin"/>
        </w:r>
        <w:r w:rsidR="00AA37A7">
          <w:rPr>
            <w:webHidden/>
          </w:rPr>
          <w:instrText xml:space="preserve"> PAGEREF _Toc90312368 \h </w:instrText>
        </w:r>
        <w:r w:rsidR="00AA37A7">
          <w:rPr>
            <w:webHidden/>
          </w:rPr>
        </w:r>
        <w:r w:rsidR="00AA37A7">
          <w:rPr>
            <w:webHidden/>
          </w:rPr>
          <w:fldChar w:fldCharType="separate"/>
        </w:r>
        <w:r w:rsidR="00AA37A7">
          <w:rPr>
            <w:webHidden/>
          </w:rPr>
          <w:t>15</w:t>
        </w:r>
        <w:r w:rsidR="00AA37A7">
          <w:rPr>
            <w:webHidden/>
          </w:rPr>
          <w:fldChar w:fldCharType="end"/>
        </w:r>
      </w:hyperlink>
    </w:p>
    <w:p w14:paraId="5A64C564" w14:textId="745A08CF" w:rsidR="00AA37A7" w:rsidRDefault="00CB1787">
      <w:pPr>
        <w:pStyle w:val="TOC2"/>
        <w:rPr>
          <w:rFonts w:asciiTheme="minorHAnsi" w:hAnsiTheme="minorHAnsi"/>
        </w:rPr>
      </w:pPr>
      <w:hyperlink w:anchor="_Toc90312369" w:history="1">
        <w:r w:rsidR="00AA37A7" w:rsidRPr="00BF16A9">
          <w:rPr>
            <w:rStyle w:val="Hyperlink"/>
          </w:rPr>
          <w:t>Estimating streamflow depletion using measured abstraction data</w:t>
        </w:r>
        <w:r w:rsidR="00AA37A7">
          <w:rPr>
            <w:webHidden/>
          </w:rPr>
          <w:tab/>
        </w:r>
        <w:r w:rsidR="00AA37A7">
          <w:rPr>
            <w:webHidden/>
          </w:rPr>
          <w:fldChar w:fldCharType="begin"/>
        </w:r>
        <w:r w:rsidR="00AA37A7">
          <w:rPr>
            <w:webHidden/>
          </w:rPr>
          <w:instrText xml:space="preserve"> PAGEREF _Toc90312369 \h </w:instrText>
        </w:r>
        <w:r w:rsidR="00AA37A7">
          <w:rPr>
            <w:webHidden/>
          </w:rPr>
        </w:r>
        <w:r w:rsidR="00AA37A7">
          <w:rPr>
            <w:webHidden/>
          </w:rPr>
          <w:fldChar w:fldCharType="separate"/>
        </w:r>
        <w:r w:rsidR="00AA37A7">
          <w:rPr>
            <w:webHidden/>
          </w:rPr>
          <w:t>18</w:t>
        </w:r>
        <w:r w:rsidR="00AA37A7">
          <w:rPr>
            <w:webHidden/>
          </w:rPr>
          <w:fldChar w:fldCharType="end"/>
        </w:r>
      </w:hyperlink>
    </w:p>
    <w:p w14:paraId="66F57BEC" w14:textId="74FA4671" w:rsidR="00AA37A7" w:rsidRDefault="00CB1787">
      <w:pPr>
        <w:pStyle w:val="TOC2"/>
        <w:rPr>
          <w:rFonts w:asciiTheme="minorHAnsi" w:hAnsiTheme="minorHAnsi"/>
        </w:rPr>
      </w:pPr>
      <w:hyperlink w:anchor="_Toc90312370" w:history="1">
        <w:r w:rsidR="00AA37A7" w:rsidRPr="00BF16A9">
          <w:rPr>
            <w:rStyle w:val="Hyperlink"/>
          </w:rPr>
          <w:t>Comparing estimated streamflow depletion to estimated long-term natural median flow</w:t>
        </w:r>
        <w:r w:rsidR="00AA37A7">
          <w:rPr>
            <w:webHidden/>
          </w:rPr>
          <w:tab/>
        </w:r>
        <w:r w:rsidR="00AA37A7">
          <w:rPr>
            <w:webHidden/>
          </w:rPr>
          <w:fldChar w:fldCharType="begin"/>
        </w:r>
        <w:r w:rsidR="00AA37A7">
          <w:rPr>
            <w:webHidden/>
          </w:rPr>
          <w:instrText xml:space="preserve"> PAGEREF _Toc90312370 \h </w:instrText>
        </w:r>
        <w:r w:rsidR="00AA37A7">
          <w:rPr>
            <w:webHidden/>
          </w:rPr>
        </w:r>
        <w:r w:rsidR="00AA37A7">
          <w:rPr>
            <w:webHidden/>
          </w:rPr>
          <w:fldChar w:fldCharType="separate"/>
        </w:r>
        <w:r w:rsidR="00AA37A7">
          <w:rPr>
            <w:webHidden/>
          </w:rPr>
          <w:t>21</w:t>
        </w:r>
        <w:r w:rsidR="00AA37A7">
          <w:rPr>
            <w:webHidden/>
          </w:rPr>
          <w:fldChar w:fldCharType="end"/>
        </w:r>
      </w:hyperlink>
    </w:p>
    <w:p w14:paraId="729FEA78" w14:textId="147C75CF" w:rsidR="00AA37A7" w:rsidRDefault="00CB1787">
      <w:pPr>
        <w:pStyle w:val="TOC2"/>
        <w:rPr>
          <w:rFonts w:asciiTheme="minorHAnsi" w:hAnsiTheme="minorHAnsi"/>
        </w:rPr>
      </w:pPr>
      <w:hyperlink w:anchor="_Toc90312371" w:history="1">
        <w:r w:rsidR="00AA37A7" w:rsidRPr="00BF16A9">
          <w:rPr>
            <w:rStyle w:val="Hyperlink"/>
          </w:rPr>
          <w:t>Comparing the estimated streamflow depletion effects from measured abstractions with the maximum potential effects of consented allocation</w:t>
        </w:r>
        <w:r w:rsidR="00AA37A7">
          <w:rPr>
            <w:webHidden/>
          </w:rPr>
          <w:tab/>
        </w:r>
        <w:r w:rsidR="00AA37A7">
          <w:rPr>
            <w:webHidden/>
          </w:rPr>
          <w:fldChar w:fldCharType="begin"/>
        </w:r>
        <w:r w:rsidR="00AA37A7">
          <w:rPr>
            <w:webHidden/>
          </w:rPr>
          <w:instrText xml:space="preserve"> PAGEREF _Toc90312371 \h </w:instrText>
        </w:r>
        <w:r w:rsidR="00AA37A7">
          <w:rPr>
            <w:webHidden/>
          </w:rPr>
        </w:r>
        <w:r w:rsidR="00AA37A7">
          <w:rPr>
            <w:webHidden/>
          </w:rPr>
          <w:fldChar w:fldCharType="separate"/>
        </w:r>
        <w:r w:rsidR="00AA37A7">
          <w:rPr>
            <w:webHidden/>
          </w:rPr>
          <w:t>24</w:t>
        </w:r>
        <w:r w:rsidR="00AA37A7">
          <w:rPr>
            <w:webHidden/>
          </w:rPr>
          <w:fldChar w:fldCharType="end"/>
        </w:r>
      </w:hyperlink>
    </w:p>
    <w:p w14:paraId="7BF2E059" w14:textId="5CA7149F" w:rsidR="00AA37A7" w:rsidRDefault="00CB1787">
      <w:pPr>
        <w:pStyle w:val="TOC1"/>
        <w:rPr>
          <w:rFonts w:asciiTheme="minorHAnsi" w:hAnsiTheme="minorHAnsi"/>
          <w:noProof/>
        </w:rPr>
      </w:pPr>
      <w:hyperlink w:anchor="_Toc90312372" w:history="1">
        <w:r w:rsidR="00AA37A7" w:rsidRPr="00BF16A9">
          <w:rPr>
            <w:rStyle w:val="Hyperlink"/>
            <w:noProof/>
          </w:rPr>
          <w:t>Streamflow depletion as a proportion of estimated natural daily flow</w:t>
        </w:r>
        <w:r w:rsidR="00AA37A7">
          <w:rPr>
            <w:noProof/>
            <w:webHidden/>
          </w:rPr>
          <w:tab/>
        </w:r>
        <w:r w:rsidR="00AA37A7">
          <w:rPr>
            <w:noProof/>
            <w:webHidden/>
          </w:rPr>
          <w:fldChar w:fldCharType="begin"/>
        </w:r>
        <w:r w:rsidR="00AA37A7">
          <w:rPr>
            <w:noProof/>
            <w:webHidden/>
          </w:rPr>
          <w:instrText xml:space="preserve"> PAGEREF _Toc90312372 \h </w:instrText>
        </w:r>
        <w:r w:rsidR="00AA37A7">
          <w:rPr>
            <w:noProof/>
            <w:webHidden/>
          </w:rPr>
        </w:r>
        <w:r w:rsidR="00AA37A7">
          <w:rPr>
            <w:noProof/>
            <w:webHidden/>
          </w:rPr>
          <w:fldChar w:fldCharType="separate"/>
        </w:r>
        <w:r w:rsidR="00AA37A7">
          <w:rPr>
            <w:noProof/>
            <w:webHidden/>
          </w:rPr>
          <w:t>27</w:t>
        </w:r>
        <w:r w:rsidR="00AA37A7">
          <w:rPr>
            <w:noProof/>
            <w:webHidden/>
          </w:rPr>
          <w:fldChar w:fldCharType="end"/>
        </w:r>
      </w:hyperlink>
    </w:p>
    <w:p w14:paraId="2F959FC2" w14:textId="11C10214" w:rsidR="00AA37A7" w:rsidRDefault="00CB1787">
      <w:pPr>
        <w:pStyle w:val="TOC2"/>
        <w:rPr>
          <w:rFonts w:asciiTheme="minorHAnsi" w:hAnsiTheme="minorHAnsi"/>
        </w:rPr>
      </w:pPr>
      <w:hyperlink w:anchor="_Toc90312373" w:history="1">
        <w:r w:rsidR="00AA37A7" w:rsidRPr="00BF16A9">
          <w:rPr>
            <w:rStyle w:val="Hyperlink"/>
          </w:rPr>
          <w:t>Comparing measured streamflows to measured upstream surface- and groundwater abstractions</w:t>
        </w:r>
        <w:r w:rsidR="00AA37A7">
          <w:rPr>
            <w:webHidden/>
          </w:rPr>
          <w:tab/>
        </w:r>
        <w:r w:rsidR="00AA37A7">
          <w:rPr>
            <w:webHidden/>
          </w:rPr>
          <w:fldChar w:fldCharType="begin"/>
        </w:r>
        <w:r w:rsidR="00AA37A7">
          <w:rPr>
            <w:webHidden/>
          </w:rPr>
          <w:instrText xml:space="preserve"> PAGEREF _Toc90312373 \h </w:instrText>
        </w:r>
        <w:r w:rsidR="00AA37A7">
          <w:rPr>
            <w:webHidden/>
          </w:rPr>
        </w:r>
        <w:r w:rsidR="00AA37A7">
          <w:rPr>
            <w:webHidden/>
          </w:rPr>
          <w:fldChar w:fldCharType="separate"/>
        </w:r>
        <w:r w:rsidR="00AA37A7">
          <w:rPr>
            <w:webHidden/>
          </w:rPr>
          <w:t>32</w:t>
        </w:r>
        <w:r w:rsidR="00AA37A7">
          <w:rPr>
            <w:webHidden/>
          </w:rPr>
          <w:fldChar w:fldCharType="end"/>
        </w:r>
      </w:hyperlink>
    </w:p>
    <w:p w14:paraId="1A1E9ED6" w14:textId="09C8CA43" w:rsidR="00AA37A7" w:rsidRDefault="00CB1787">
      <w:pPr>
        <w:pStyle w:val="TOC2"/>
        <w:rPr>
          <w:rFonts w:asciiTheme="minorHAnsi" w:hAnsiTheme="minorHAnsi"/>
        </w:rPr>
      </w:pPr>
      <w:hyperlink w:anchor="_Toc90312374" w:history="1">
        <w:r w:rsidR="00AA37A7" w:rsidRPr="00BF16A9">
          <w:rPr>
            <w:rStyle w:val="Hyperlink"/>
          </w:rPr>
          <w:t>Using estimated streamflow depletion and measured streamflow to estimate natural streamflow</w:t>
        </w:r>
        <w:r w:rsidR="00AA37A7">
          <w:rPr>
            <w:webHidden/>
          </w:rPr>
          <w:tab/>
        </w:r>
        <w:r w:rsidR="00AA37A7">
          <w:rPr>
            <w:webHidden/>
          </w:rPr>
          <w:fldChar w:fldCharType="begin"/>
        </w:r>
        <w:r w:rsidR="00AA37A7">
          <w:rPr>
            <w:webHidden/>
          </w:rPr>
          <w:instrText xml:space="preserve"> PAGEREF _Toc90312374 \h </w:instrText>
        </w:r>
        <w:r w:rsidR="00AA37A7">
          <w:rPr>
            <w:webHidden/>
          </w:rPr>
        </w:r>
        <w:r w:rsidR="00AA37A7">
          <w:rPr>
            <w:webHidden/>
          </w:rPr>
          <w:fldChar w:fldCharType="separate"/>
        </w:r>
        <w:r w:rsidR="00AA37A7">
          <w:rPr>
            <w:webHidden/>
          </w:rPr>
          <w:t>37</w:t>
        </w:r>
        <w:r w:rsidR="00AA37A7">
          <w:rPr>
            <w:webHidden/>
          </w:rPr>
          <w:fldChar w:fldCharType="end"/>
        </w:r>
      </w:hyperlink>
    </w:p>
    <w:p w14:paraId="23C0248D" w14:textId="0C86B158" w:rsidR="00AA37A7" w:rsidRDefault="00CB1787">
      <w:pPr>
        <w:pStyle w:val="TOC2"/>
        <w:rPr>
          <w:rFonts w:asciiTheme="minorHAnsi" w:hAnsiTheme="minorHAnsi"/>
        </w:rPr>
      </w:pPr>
      <w:hyperlink w:anchor="_Toc90312375" w:history="1">
        <w:r w:rsidR="00AA37A7" w:rsidRPr="00BF16A9">
          <w:rPr>
            <w:rStyle w:val="Hyperlink"/>
          </w:rPr>
          <w:t>Comparing estimated streamflow depletion to estimated natural flow</w:t>
        </w:r>
        <w:r w:rsidR="00AA37A7">
          <w:rPr>
            <w:webHidden/>
          </w:rPr>
          <w:tab/>
        </w:r>
        <w:r w:rsidR="00AA37A7">
          <w:rPr>
            <w:webHidden/>
          </w:rPr>
          <w:fldChar w:fldCharType="begin"/>
        </w:r>
        <w:r w:rsidR="00AA37A7">
          <w:rPr>
            <w:webHidden/>
          </w:rPr>
          <w:instrText xml:space="preserve"> PAGEREF _Toc90312375 \h </w:instrText>
        </w:r>
        <w:r w:rsidR="00AA37A7">
          <w:rPr>
            <w:webHidden/>
          </w:rPr>
        </w:r>
        <w:r w:rsidR="00AA37A7">
          <w:rPr>
            <w:webHidden/>
          </w:rPr>
          <w:fldChar w:fldCharType="separate"/>
        </w:r>
        <w:r w:rsidR="00AA37A7">
          <w:rPr>
            <w:webHidden/>
          </w:rPr>
          <w:t>38</w:t>
        </w:r>
        <w:r w:rsidR="00AA37A7">
          <w:rPr>
            <w:webHidden/>
          </w:rPr>
          <w:fldChar w:fldCharType="end"/>
        </w:r>
      </w:hyperlink>
    </w:p>
    <w:p w14:paraId="1D470087" w14:textId="2224FBD1" w:rsidR="00AA37A7" w:rsidRDefault="00CB1787">
      <w:pPr>
        <w:pStyle w:val="TOC1"/>
        <w:rPr>
          <w:rFonts w:asciiTheme="minorHAnsi" w:hAnsiTheme="minorHAnsi"/>
          <w:noProof/>
        </w:rPr>
      </w:pPr>
      <w:hyperlink w:anchor="_Toc90312376" w:history="1">
        <w:r w:rsidR="00AA37A7" w:rsidRPr="00BF16A9">
          <w:rPr>
            <w:rStyle w:val="Hyperlink"/>
            <w:noProof/>
          </w:rPr>
          <w:t>Conclusion</w:t>
        </w:r>
        <w:r w:rsidR="00AA37A7">
          <w:rPr>
            <w:noProof/>
            <w:webHidden/>
          </w:rPr>
          <w:tab/>
        </w:r>
        <w:r w:rsidR="00AA37A7">
          <w:rPr>
            <w:noProof/>
            <w:webHidden/>
          </w:rPr>
          <w:fldChar w:fldCharType="begin"/>
        </w:r>
        <w:r w:rsidR="00AA37A7">
          <w:rPr>
            <w:noProof/>
            <w:webHidden/>
          </w:rPr>
          <w:instrText xml:space="preserve"> PAGEREF _Toc90312376 \h </w:instrText>
        </w:r>
        <w:r w:rsidR="00AA37A7">
          <w:rPr>
            <w:noProof/>
            <w:webHidden/>
          </w:rPr>
        </w:r>
        <w:r w:rsidR="00AA37A7">
          <w:rPr>
            <w:noProof/>
            <w:webHidden/>
          </w:rPr>
          <w:fldChar w:fldCharType="separate"/>
        </w:r>
        <w:r w:rsidR="00AA37A7">
          <w:rPr>
            <w:noProof/>
            <w:webHidden/>
          </w:rPr>
          <w:t>46</w:t>
        </w:r>
        <w:r w:rsidR="00AA37A7">
          <w:rPr>
            <w:noProof/>
            <w:webHidden/>
          </w:rPr>
          <w:fldChar w:fldCharType="end"/>
        </w:r>
      </w:hyperlink>
    </w:p>
    <w:p w14:paraId="47EC0393" w14:textId="7244BD5F" w:rsidR="00AA37A7" w:rsidRDefault="00CB1787">
      <w:pPr>
        <w:pStyle w:val="TOC1"/>
        <w:rPr>
          <w:rFonts w:asciiTheme="minorHAnsi" w:hAnsiTheme="minorHAnsi"/>
          <w:noProof/>
        </w:rPr>
      </w:pPr>
      <w:hyperlink w:anchor="_Toc90312377" w:history="1">
        <w:r w:rsidR="00AA37A7" w:rsidRPr="00BF16A9">
          <w:rPr>
            <w:rStyle w:val="Hyperlink"/>
            <w:noProof/>
          </w:rPr>
          <w:t>Appendix A: Technical summary of updated streamflow depletion calculations</w:t>
        </w:r>
        <w:r w:rsidR="00AA37A7">
          <w:rPr>
            <w:noProof/>
            <w:webHidden/>
          </w:rPr>
          <w:tab/>
        </w:r>
        <w:r w:rsidR="00AA37A7">
          <w:rPr>
            <w:noProof/>
            <w:webHidden/>
          </w:rPr>
          <w:fldChar w:fldCharType="begin"/>
        </w:r>
        <w:r w:rsidR="00AA37A7">
          <w:rPr>
            <w:noProof/>
            <w:webHidden/>
          </w:rPr>
          <w:instrText xml:space="preserve"> PAGEREF _Toc90312377 \h </w:instrText>
        </w:r>
        <w:r w:rsidR="00AA37A7">
          <w:rPr>
            <w:noProof/>
            <w:webHidden/>
          </w:rPr>
        </w:r>
        <w:r w:rsidR="00AA37A7">
          <w:rPr>
            <w:noProof/>
            <w:webHidden/>
          </w:rPr>
          <w:fldChar w:fldCharType="separate"/>
        </w:r>
        <w:r w:rsidR="00AA37A7">
          <w:rPr>
            <w:noProof/>
            <w:webHidden/>
          </w:rPr>
          <w:t>49</w:t>
        </w:r>
        <w:r w:rsidR="00AA37A7">
          <w:rPr>
            <w:noProof/>
            <w:webHidden/>
          </w:rPr>
          <w:fldChar w:fldCharType="end"/>
        </w:r>
      </w:hyperlink>
    </w:p>
    <w:p w14:paraId="4451F1A6" w14:textId="1D81C6F1" w:rsidR="00AA37A7" w:rsidRDefault="00CB1787">
      <w:pPr>
        <w:pStyle w:val="TOC1"/>
        <w:rPr>
          <w:rFonts w:asciiTheme="minorHAnsi" w:hAnsiTheme="minorHAnsi"/>
          <w:noProof/>
        </w:rPr>
      </w:pPr>
      <w:hyperlink w:anchor="_Toc90312378" w:history="1">
        <w:r w:rsidR="00AA37A7" w:rsidRPr="00BF16A9">
          <w:rPr>
            <w:rStyle w:val="Hyperlink"/>
            <w:noProof/>
          </w:rPr>
          <w:t>References</w:t>
        </w:r>
        <w:r w:rsidR="00AA37A7">
          <w:rPr>
            <w:noProof/>
            <w:webHidden/>
          </w:rPr>
          <w:tab/>
        </w:r>
        <w:r w:rsidR="00AA37A7">
          <w:rPr>
            <w:noProof/>
            <w:webHidden/>
          </w:rPr>
          <w:fldChar w:fldCharType="begin"/>
        </w:r>
        <w:r w:rsidR="00AA37A7">
          <w:rPr>
            <w:noProof/>
            <w:webHidden/>
          </w:rPr>
          <w:instrText xml:space="preserve"> PAGEREF _Toc90312378 \h </w:instrText>
        </w:r>
        <w:r w:rsidR="00AA37A7">
          <w:rPr>
            <w:noProof/>
            <w:webHidden/>
          </w:rPr>
        </w:r>
        <w:r w:rsidR="00AA37A7">
          <w:rPr>
            <w:noProof/>
            <w:webHidden/>
          </w:rPr>
          <w:fldChar w:fldCharType="separate"/>
        </w:r>
        <w:r w:rsidR="00AA37A7">
          <w:rPr>
            <w:noProof/>
            <w:webHidden/>
          </w:rPr>
          <w:t>59</w:t>
        </w:r>
        <w:r w:rsidR="00AA37A7">
          <w:rPr>
            <w:noProof/>
            <w:webHidden/>
          </w:rPr>
          <w:fldChar w:fldCharType="end"/>
        </w:r>
      </w:hyperlink>
    </w:p>
    <w:p w14:paraId="1D0EFFE5" w14:textId="16B03F94" w:rsidR="0080531E" w:rsidRPr="00FB249F" w:rsidRDefault="00775F57" w:rsidP="002B4778">
      <w:pPr>
        <w:pStyle w:val="Glossary"/>
      </w:pPr>
      <w:r w:rsidRPr="00FB249F">
        <w:rPr>
          <w:color w:val="0092CF"/>
        </w:rPr>
        <w:fldChar w:fldCharType="end"/>
      </w:r>
    </w:p>
    <w:p w14:paraId="637BAF88" w14:textId="77777777" w:rsidR="00796A6F" w:rsidRPr="00FB249F" w:rsidRDefault="00796A6F" w:rsidP="00554B30">
      <w:r w:rsidRPr="00FB249F">
        <w:br w:type="page"/>
      </w:r>
    </w:p>
    <w:p w14:paraId="1B09EF37" w14:textId="77777777" w:rsidR="00532334" w:rsidRPr="00FB249F" w:rsidRDefault="00532334" w:rsidP="0074110F">
      <w:pPr>
        <w:pStyle w:val="Heading"/>
      </w:pPr>
      <w:r w:rsidRPr="00FB249F">
        <w:lastRenderedPageBreak/>
        <w:t>Tables</w:t>
      </w:r>
    </w:p>
    <w:p w14:paraId="3A271585" w14:textId="01B4F132" w:rsidR="00AA37A7" w:rsidRDefault="004943C2">
      <w:pPr>
        <w:pStyle w:val="TableofFigures"/>
        <w:tabs>
          <w:tab w:val="right" w:pos="8495"/>
        </w:tabs>
        <w:rPr>
          <w:rFonts w:asciiTheme="minorHAnsi" w:hAnsiTheme="minorHAnsi"/>
          <w:noProof/>
        </w:rPr>
      </w:pPr>
      <w:r w:rsidRPr="00FB249F">
        <w:fldChar w:fldCharType="begin"/>
      </w:r>
      <w:r w:rsidRPr="00FB249F">
        <w:instrText xml:space="preserve"> TOC \h \z \t "Table heading" \c </w:instrText>
      </w:r>
      <w:r w:rsidRPr="00FB249F">
        <w:fldChar w:fldCharType="separate"/>
      </w:r>
      <w:hyperlink w:anchor="_Toc90312379" w:history="1">
        <w:r w:rsidR="00AA37A7" w:rsidRPr="00CD7E26">
          <w:rPr>
            <w:rStyle w:val="Hyperlink"/>
            <w:noProof/>
          </w:rPr>
          <w:t>Table 1:</w:t>
        </w:r>
        <w:r w:rsidR="00AA37A7">
          <w:rPr>
            <w:rFonts w:asciiTheme="minorHAnsi" w:hAnsiTheme="minorHAnsi"/>
            <w:noProof/>
          </w:rPr>
          <w:tab/>
        </w:r>
        <w:r w:rsidR="00AA37A7" w:rsidRPr="00CD7E26">
          <w:rPr>
            <w:rStyle w:val="Hyperlink"/>
            <w:noProof/>
          </w:rPr>
          <w:t>Comparison of first approach with previous works</w:t>
        </w:r>
        <w:r w:rsidR="00AA37A7">
          <w:rPr>
            <w:noProof/>
            <w:webHidden/>
          </w:rPr>
          <w:tab/>
        </w:r>
        <w:r w:rsidR="00AA37A7">
          <w:rPr>
            <w:noProof/>
            <w:webHidden/>
          </w:rPr>
          <w:fldChar w:fldCharType="begin"/>
        </w:r>
        <w:r w:rsidR="00AA37A7">
          <w:rPr>
            <w:noProof/>
            <w:webHidden/>
          </w:rPr>
          <w:instrText xml:space="preserve"> PAGEREF _Toc90312379 \h </w:instrText>
        </w:r>
        <w:r w:rsidR="00AA37A7">
          <w:rPr>
            <w:noProof/>
            <w:webHidden/>
          </w:rPr>
        </w:r>
        <w:r w:rsidR="00AA37A7">
          <w:rPr>
            <w:noProof/>
            <w:webHidden/>
          </w:rPr>
          <w:fldChar w:fldCharType="separate"/>
        </w:r>
        <w:r w:rsidR="00AA37A7">
          <w:rPr>
            <w:noProof/>
            <w:webHidden/>
          </w:rPr>
          <w:t>14</w:t>
        </w:r>
        <w:r w:rsidR="00AA37A7">
          <w:rPr>
            <w:noProof/>
            <w:webHidden/>
          </w:rPr>
          <w:fldChar w:fldCharType="end"/>
        </w:r>
      </w:hyperlink>
    </w:p>
    <w:p w14:paraId="08715A53" w14:textId="4B2798C6" w:rsidR="00AA37A7" w:rsidRDefault="00CB1787">
      <w:pPr>
        <w:pStyle w:val="TableofFigures"/>
        <w:tabs>
          <w:tab w:val="right" w:pos="8495"/>
        </w:tabs>
        <w:rPr>
          <w:rFonts w:asciiTheme="minorHAnsi" w:hAnsiTheme="minorHAnsi"/>
          <w:noProof/>
        </w:rPr>
      </w:pPr>
      <w:hyperlink w:anchor="_Toc90312380" w:history="1">
        <w:r w:rsidR="00AA37A7" w:rsidRPr="00CD7E26">
          <w:rPr>
            <w:rStyle w:val="Hyperlink"/>
            <w:noProof/>
          </w:rPr>
          <w:t>Table 2:</w:t>
        </w:r>
        <w:r w:rsidR="00AA37A7">
          <w:rPr>
            <w:rFonts w:asciiTheme="minorHAnsi" w:hAnsiTheme="minorHAnsi"/>
            <w:noProof/>
          </w:rPr>
          <w:tab/>
        </w:r>
        <w:r w:rsidR="00AA37A7" w:rsidRPr="00CD7E26">
          <w:rPr>
            <w:rStyle w:val="Hyperlink"/>
            <w:noProof/>
          </w:rPr>
          <w:t>Assignment of primary water use categories to measured non-hydropower abstraction sites</w:t>
        </w:r>
        <w:r w:rsidR="00AA37A7">
          <w:rPr>
            <w:noProof/>
            <w:webHidden/>
          </w:rPr>
          <w:tab/>
        </w:r>
        <w:r w:rsidR="00AA37A7">
          <w:rPr>
            <w:noProof/>
            <w:webHidden/>
          </w:rPr>
          <w:fldChar w:fldCharType="begin"/>
        </w:r>
        <w:r w:rsidR="00AA37A7">
          <w:rPr>
            <w:noProof/>
            <w:webHidden/>
          </w:rPr>
          <w:instrText xml:space="preserve"> PAGEREF _Toc90312380 \h </w:instrText>
        </w:r>
        <w:r w:rsidR="00AA37A7">
          <w:rPr>
            <w:noProof/>
            <w:webHidden/>
          </w:rPr>
        </w:r>
        <w:r w:rsidR="00AA37A7">
          <w:rPr>
            <w:noProof/>
            <w:webHidden/>
          </w:rPr>
          <w:fldChar w:fldCharType="separate"/>
        </w:r>
        <w:r w:rsidR="00AA37A7">
          <w:rPr>
            <w:noProof/>
            <w:webHidden/>
          </w:rPr>
          <w:t>15</w:t>
        </w:r>
        <w:r w:rsidR="00AA37A7">
          <w:rPr>
            <w:noProof/>
            <w:webHidden/>
          </w:rPr>
          <w:fldChar w:fldCharType="end"/>
        </w:r>
      </w:hyperlink>
    </w:p>
    <w:p w14:paraId="7FA2CECE" w14:textId="50A35B3D" w:rsidR="00AA37A7" w:rsidRDefault="00CB1787">
      <w:pPr>
        <w:pStyle w:val="TableofFigures"/>
        <w:tabs>
          <w:tab w:val="right" w:pos="8495"/>
        </w:tabs>
        <w:rPr>
          <w:rFonts w:asciiTheme="minorHAnsi" w:hAnsiTheme="minorHAnsi"/>
          <w:noProof/>
        </w:rPr>
      </w:pPr>
      <w:hyperlink w:anchor="_Toc90312381" w:history="1">
        <w:r w:rsidR="00AA37A7" w:rsidRPr="00CD7E26">
          <w:rPr>
            <w:rStyle w:val="Hyperlink"/>
            <w:noProof/>
          </w:rPr>
          <w:t>Table 3:</w:t>
        </w:r>
        <w:r w:rsidR="00AA37A7">
          <w:rPr>
            <w:rFonts w:asciiTheme="minorHAnsi" w:hAnsiTheme="minorHAnsi"/>
            <w:noProof/>
          </w:rPr>
          <w:tab/>
        </w:r>
        <w:r w:rsidR="00AA37A7" w:rsidRPr="00CD7E26">
          <w:rPr>
            <w:rStyle w:val="Hyperlink"/>
            <w:noProof/>
          </w:rPr>
          <w:t>Comparison of second approach with first approach and previous works</w:t>
        </w:r>
        <w:r w:rsidR="00AA37A7">
          <w:rPr>
            <w:noProof/>
            <w:webHidden/>
          </w:rPr>
          <w:tab/>
        </w:r>
        <w:r w:rsidR="00AA37A7">
          <w:rPr>
            <w:noProof/>
            <w:webHidden/>
          </w:rPr>
          <w:fldChar w:fldCharType="begin"/>
        </w:r>
        <w:r w:rsidR="00AA37A7">
          <w:rPr>
            <w:noProof/>
            <w:webHidden/>
          </w:rPr>
          <w:instrText xml:space="preserve"> PAGEREF _Toc90312381 \h </w:instrText>
        </w:r>
        <w:r w:rsidR="00AA37A7">
          <w:rPr>
            <w:noProof/>
            <w:webHidden/>
          </w:rPr>
        </w:r>
        <w:r w:rsidR="00AA37A7">
          <w:rPr>
            <w:noProof/>
            <w:webHidden/>
          </w:rPr>
          <w:fldChar w:fldCharType="separate"/>
        </w:r>
        <w:r w:rsidR="00AA37A7">
          <w:rPr>
            <w:noProof/>
            <w:webHidden/>
          </w:rPr>
          <w:t>27</w:t>
        </w:r>
        <w:r w:rsidR="00AA37A7">
          <w:rPr>
            <w:noProof/>
            <w:webHidden/>
          </w:rPr>
          <w:fldChar w:fldCharType="end"/>
        </w:r>
      </w:hyperlink>
    </w:p>
    <w:p w14:paraId="23E4BEEE" w14:textId="63BED402" w:rsidR="00AA37A7" w:rsidRDefault="00CB1787">
      <w:pPr>
        <w:pStyle w:val="TableofFigures"/>
        <w:tabs>
          <w:tab w:val="right" w:pos="8495"/>
        </w:tabs>
        <w:rPr>
          <w:rFonts w:asciiTheme="minorHAnsi" w:hAnsiTheme="minorHAnsi"/>
          <w:noProof/>
        </w:rPr>
      </w:pPr>
      <w:hyperlink w:anchor="_Toc90312382" w:history="1">
        <w:r w:rsidR="00AA37A7" w:rsidRPr="00CD7E26">
          <w:rPr>
            <w:rStyle w:val="Hyperlink"/>
            <w:noProof/>
          </w:rPr>
          <w:t>Table 4:</w:t>
        </w:r>
        <w:r w:rsidR="00AA37A7">
          <w:rPr>
            <w:rFonts w:asciiTheme="minorHAnsi" w:hAnsiTheme="minorHAnsi"/>
            <w:noProof/>
          </w:rPr>
          <w:tab/>
        </w:r>
        <w:r w:rsidR="00AA37A7" w:rsidRPr="00CD7E26">
          <w:rPr>
            <w:rStyle w:val="Hyperlink"/>
            <w:noProof/>
          </w:rPr>
          <w:t>Catchment details for Wellington region river- and streamflow gauging sites included in analysis</w:t>
        </w:r>
        <w:r w:rsidR="00AA37A7">
          <w:rPr>
            <w:noProof/>
            <w:webHidden/>
          </w:rPr>
          <w:tab/>
        </w:r>
        <w:r w:rsidR="00AA37A7">
          <w:rPr>
            <w:noProof/>
            <w:webHidden/>
          </w:rPr>
          <w:fldChar w:fldCharType="begin"/>
        </w:r>
        <w:r w:rsidR="00AA37A7">
          <w:rPr>
            <w:noProof/>
            <w:webHidden/>
          </w:rPr>
          <w:instrText xml:space="preserve"> PAGEREF _Toc90312382 \h </w:instrText>
        </w:r>
        <w:r w:rsidR="00AA37A7">
          <w:rPr>
            <w:noProof/>
            <w:webHidden/>
          </w:rPr>
        </w:r>
        <w:r w:rsidR="00AA37A7">
          <w:rPr>
            <w:noProof/>
            <w:webHidden/>
          </w:rPr>
          <w:fldChar w:fldCharType="separate"/>
        </w:r>
        <w:r w:rsidR="00AA37A7">
          <w:rPr>
            <w:noProof/>
            <w:webHidden/>
          </w:rPr>
          <w:t>29</w:t>
        </w:r>
        <w:r w:rsidR="00AA37A7">
          <w:rPr>
            <w:noProof/>
            <w:webHidden/>
          </w:rPr>
          <w:fldChar w:fldCharType="end"/>
        </w:r>
      </w:hyperlink>
    </w:p>
    <w:p w14:paraId="197D8150" w14:textId="56050DD3" w:rsidR="00AA37A7" w:rsidRDefault="00CB1787">
      <w:pPr>
        <w:pStyle w:val="TableofFigures"/>
        <w:tabs>
          <w:tab w:val="right" w:pos="8495"/>
        </w:tabs>
        <w:rPr>
          <w:rFonts w:asciiTheme="minorHAnsi" w:hAnsiTheme="minorHAnsi"/>
          <w:noProof/>
        </w:rPr>
      </w:pPr>
      <w:hyperlink w:anchor="_Toc90312383" w:history="1">
        <w:r w:rsidR="00AA37A7" w:rsidRPr="00CD7E26">
          <w:rPr>
            <w:rStyle w:val="Hyperlink"/>
            <w:noProof/>
          </w:rPr>
          <w:t>Table 5:</w:t>
        </w:r>
        <w:r w:rsidR="00AA37A7">
          <w:rPr>
            <w:rFonts w:asciiTheme="minorHAnsi" w:hAnsiTheme="minorHAnsi"/>
            <w:noProof/>
          </w:rPr>
          <w:tab/>
        </w:r>
        <w:r w:rsidR="00AA37A7" w:rsidRPr="00CD7E26">
          <w:rPr>
            <w:rStyle w:val="Hyperlink"/>
            <w:noProof/>
          </w:rPr>
          <w:t>Catchment details for Manawatū-Whanganui region river- and streamflow gauging sites included in analysis</w:t>
        </w:r>
        <w:r w:rsidR="00AA37A7">
          <w:rPr>
            <w:noProof/>
            <w:webHidden/>
          </w:rPr>
          <w:tab/>
        </w:r>
        <w:r w:rsidR="00AA37A7">
          <w:rPr>
            <w:noProof/>
            <w:webHidden/>
          </w:rPr>
          <w:fldChar w:fldCharType="begin"/>
        </w:r>
        <w:r w:rsidR="00AA37A7">
          <w:rPr>
            <w:noProof/>
            <w:webHidden/>
          </w:rPr>
          <w:instrText xml:space="preserve"> PAGEREF _Toc90312383 \h </w:instrText>
        </w:r>
        <w:r w:rsidR="00AA37A7">
          <w:rPr>
            <w:noProof/>
            <w:webHidden/>
          </w:rPr>
        </w:r>
        <w:r w:rsidR="00AA37A7">
          <w:rPr>
            <w:noProof/>
            <w:webHidden/>
          </w:rPr>
          <w:fldChar w:fldCharType="separate"/>
        </w:r>
        <w:r w:rsidR="00AA37A7">
          <w:rPr>
            <w:noProof/>
            <w:webHidden/>
          </w:rPr>
          <w:t>30</w:t>
        </w:r>
        <w:r w:rsidR="00AA37A7">
          <w:rPr>
            <w:noProof/>
            <w:webHidden/>
          </w:rPr>
          <w:fldChar w:fldCharType="end"/>
        </w:r>
      </w:hyperlink>
    </w:p>
    <w:p w14:paraId="7ED68D29" w14:textId="63A1704B" w:rsidR="00AA37A7" w:rsidRDefault="00CB1787">
      <w:pPr>
        <w:pStyle w:val="TableofFigures"/>
        <w:tabs>
          <w:tab w:val="right" w:pos="8495"/>
        </w:tabs>
        <w:rPr>
          <w:rFonts w:asciiTheme="minorHAnsi" w:hAnsiTheme="minorHAnsi"/>
          <w:noProof/>
        </w:rPr>
      </w:pPr>
      <w:hyperlink w:anchor="_Toc90312384" w:history="1">
        <w:r w:rsidR="00AA37A7" w:rsidRPr="00CD7E26">
          <w:rPr>
            <w:rStyle w:val="Hyperlink"/>
            <w:noProof/>
          </w:rPr>
          <w:t>Table 6:</w:t>
        </w:r>
        <w:r w:rsidR="00AA37A7">
          <w:rPr>
            <w:rFonts w:asciiTheme="minorHAnsi" w:hAnsiTheme="minorHAnsi"/>
            <w:noProof/>
          </w:rPr>
          <w:tab/>
        </w:r>
        <w:r w:rsidR="00AA37A7" w:rsidRPr="00CD7E26">
          <w:rPr>
            <w:rStyle w:val="Hyperlink"/>
            <w:noProof/>
          </w:rPr>
          <w:t>Summary of progression of analysis and recommended future works</w:t>
        </w:r>
        <w:r w:rsidR="00AA37A7">
          <w:rPr>
            <w:noProof/>
            <w:webHidden/>
          </w:rPr>
          <w:tab/>
        </w:r>
        <w:r w:rsidR="00AA37A7">
          <w:rPr>
            <w:noProof/>
            <w:webHidden/>
          </w:rPr>
          <w:fldChar w:fldCharType="begin"/>
        </w:r>
        <w:r w:rsidR="00AA37A7">
          <w:rPr>
            <w:noProof/>
            <w:webHidden/>
          </w:rPr>
          <w:instrText xml:space="preserve"> PAGEREF _Toc90312384 \h </w:instrText>
        </w:r>
        <w:r w:rsidR="00AA37A7">
          <w:rPr>
            <w:noProof/>
            <w:webHidden/>
          </w:rPr>
        </w:r>
        <w:r w:rsidR="00AA37A7">
          <w:rPr>
            <w:noProof/>
            <w:webHidden/>
          </w:rPr>
          <w:fldChar w:fldCharType="separate"/>
        </w:r>
        <w:r w:rsidR="00AA37A7">
          <w:rPr>
            <w:noProof/>
            <w:webHidden/>
          </w:rPr>
          <w:t>48</w:t>
        </w:r>
        <w:r w:rsidR="00AA37A7">
          <w:rPr>
            <w:noProof/>
            <w:webHidden/>
          </w:rPr>
          <w:fldChar w:fldCharType="end"/>
        </w:r>
      </w:hyperlink>
    </w:p>
    <w:p w14:paraId="72D2FF3A" w14:textId="07F25974" w:rsidR="00532334" w:rsidRPr="00FB249F" w:rsidRDefault="004943C2" w:rsidP="00D51469">
      <w:pPr>
        <w:pStyle w:val="BodyText"/>
      </w:pPr>
      <w:r w:rsidRPr="00FB249F">
        <w:fldChar w:fldCharType="end"/>
      </w:r>
    </w:p>
    <w:p w14:paraId="3ABCD266" w14:textId="77777777" w:rsidR="0074110F" w:rsidRPr="00FB249F" w:rsidRDefault="0074110F" w:rsidP="00D51469">
      <w:pPr>
        <w:pStyle w:val="BodyText"/>
      </w:pPr>
    </w:p>
    <w:p w14:paraId="5923337D" w14:textId="77777777" w:rsidR="00532334" w:rsidRPr="00FB249F" w:rsidRDefault="00B51610" w:rsidP="0074110F">
      <w:pPr>
        <w:pStyle w:val="Heading"/>
      </w:pPr>
      <w:r w:rsidRPr="00FB249F">
        <w:t>Figure</w:t>
      </w:r>
      <w:r w:rsidR="00532334" w:rsidRPr="00FB249F">
        <w:t>s</w:t>
      </w:r>
    </w:p>
    <w:p w14:paraId="0912FB51" w14:textId="22807A13" w:rsidR="00AA37A7" w:rsidRDefault="004943C2">
      <w:pPr>
        <w:pStyle w:val="TableofFigures"/>
        <w:tabs>
          <w:tab w:val="right" w:pos="8495"/>
        </w:tabs>
        <w:rPr>
          <w:rFonts w:asciiTheme="minorHAnsi" w:hAnsiTheme="minorHAnsi"/>
          <w:noProof/>
        </w:rPr>
      </w:pPr>
      <w:r w:rsidRPr="00FB249F">
        <w:fldChar w:fldCharType="begin"/>
      </w:r>
      <w:r w:rsidRPr="00FB249F">
        <w:instrText xml:space="preserve"> TOC \h \z \t "Figure heading" \c </w:instrText>
      </w:r>
      <w:r w:rsidRPr="00FB249F">
        <w:fldChar w:fldCharType="separate"/>
      </w:r>
      <w:hyperlink w:anchor="_Toc90312403" w:history="1">
        <w:r w:rsidR="00AA37A7" w:rsidRPr="0088575D">
          <w:rPr>
            <w:rStyle w:val="Hyperlink"/>
            <w:noProof/>
          </w:rPr>
          <w:t xml:space="preserve">Figure 1: </w:t>
        </w:r>
        <w:r w:rsidR="00AA37A7">
          <w:rPr>
            <w:rFonts w:asciiTheme="minorHAnsi" w:hAnsiTheme="minorHAnsi"/>
            <w:noProof/>
          </w:rPr>
          <w:tab/>
        </w:r>
        <w:r w:rsidR="00AA37A7" w:rsidRPr="0088575D">
          <w:rPr>
            <w:rStyle w:val="Hyperlink"/>
            <w:noProof/>
          </w:rPr>
          <w:t>Effects of taking water</w:t>
        </w:r>
        <w:r w:rsidR="00AA37A7">
          <w:rPr>
            <w:noProof/>
            <w:webHidden/>
          </w:rPr>
          <w:tab/>
        </w:r>
        <w:r w:rsidR="00AA37A7">
          <w:rPr>
            <w:noProof/>
            <w:webHidden/>
          </w:rPr>
          <w:fldChar w:fldCharType="begin"/>
        </w:r>
        <w:r w:rsidR="00AA37A7">
          <w:rPr>
            <w:noProof/>
            <w:webHidden/>
          </w:rPr>
          <w:instrText xml:space="preserve"> PAGEREF _Toc90312403 \h </w:instrText>
        </w:r>
        <w:r w:rsidR="00AA37A7">
          <w:rPr>
            <w:noProof/>
            <w:webHidden/>
          </w:rPr>
        </w:r>
        <w:r w:rsidR="00AA37A7">
          <w:rPr>
            <w:noProof/>
            <w:webHidden/>
          </w:rPr>
          <w:fldChar w:fldCharType="separate"/>
        </w:r>
        <w:r w:rsidR="00AA37A7">
          <w:rPr>
            <w:noProof/>
            <w:webHidden/>
          </w:rPr>
          <w:t>7</w:t>
        </w:r>
        <w:r w:rsidR="00AA37A7">
          <w:rPr>
            <w:noProof/>
            <w:webHidden/>
          </w:rPr>
          <w:fldChar w:fldCharType="end"/>
        </w:r>
      </w:hyperlink>
    </w:p>
    <w:p w14:paraId="38400634" w14:textId="778C292B" w:rsidR="00AA37A7" w:rsidRDefault="00CB1787">
      <w:pPr>
        <w:pStyle w:val="TableofFigures"/>
        <w:tabs>
          <w:tab w:val="right" w:pos="8495"/>
        </w:tabs>
        <w:rPr>
          <w:rFonts w:asciiTheme="minorHAnsi" w:hAnsiTheme="minorHAnsi"/>
          <w:noProof/>
        </w:rPr>
      </w:pPr>
      <w:hyperlink w:anchor="_Toc90312404" w:history="1">
        <w:r w:rsidR="00AA37A7" w:rsidRPr="0088575D">
          <w:rPr>
            <w:rStyle w:val="Hyperlink"/>
            <w:noProof/>
          </w:rPr>
          <w:t xml:space="preserve">Figure 2: </w:t>
        </w:r>
        <w:r w:rsidR="00AA37A7">
          <w:rPr>
            <w:rFonts w:asciiTheme="minorHAnsi" w:hAnsiTheme="minorHAnsi"/>
            <w:noProof/>
          </w:rPr>
          <w:tab/>
        </w:r>
        <w:r w:rsidR="00AA37A7" w:rsidRPr="0088575D">
          <w:rPr>
            <w:rStyle w:val="Hyperlink"/>
            <w:noProof/>
          </w:rPr>
          <w:t>Modelled potential streamflow reduction due to upstream consented abstractions for non-hydropower consumption for July 2017–June 2018, as a ratio of estimated long</w:t>
        </w:r>
        <w:r w:rsidR="00AA37A7" w:rsidRPr="0088575D">
          <w:rPr>
            <w:rStyle w:val="Hyperlink"/>
            <w:noProof/>
          </w:rPr>
          <w:noBreakHyphen/>
          <w:t>term natural median streamflow</w:t>
        </w:r>
        <w:r w:rsidR="00AA37A7">
          <w:rPr>
            <w:noProof/>
            <w:webHidden/>
          </w:rPr>
          <w:tab/>
        </w:r>
        <w:r w:rsidR="00AA37A7">
          <w:rPr>
            <w:noProof/>
            <w:webHidden/>
          </w:rPr>
          <w:fldChar w:fldCharType="begin"/>
        </w:r>
        <w:r w:rsidR="00AA37A7">
          <w:rPr>
            <w:noProof/>
            <w:webHidden/>
          </w:rPr>
          <w:instrText xml:space="preserve"> PAGEREF _Toc90312404 \h </w:instrText>
        </w:r>
        <w:r w:rsidR="00AA37A7">
          <w:rPr>
            <w:noProof/>
            <w:webHidden/>
          </w:rPr>
        </w:r>
        <w:r w:rsidR="00AA37A7">
          <w:rPr>
            <w:noProof/>
            <w:webHidden/>
          </w:rPr>
          <w:fldChar w:fldCharType="separate"/>
        </w:r>
        <w:r w:rsidR="00AA37A7">
          <w:rPr>
            <w:noProof/>
            <w:webHidden/>
          </w:rPr>
          <w:t>11</w:t>
        </w:r>
        <w:r w:rsidR="00AA37A7">
          <w:rPr>
            <w:noProof/>
            <w:webHidden/>
          </w:rPr>
          <w:fldChar w:fldCharType="end"/>
        </w:r>
      </w:hyperlink>
    </w:p>
    <w:p w14:paraId="0B3AC013" w14:textId="185D0832" w:rsidR="00AA37A7" w:rsidRDefault="00CB1787">
      <w:pPr>
        <w:pStyle w:val="TableofFigures"/>
        <w:tabs>
          <w:tab w:val="right" w:pos="8495"/>
        </w:tabs>
        <w:rPr>
          <w:rFonts w:asciiTheme="minorHAnsi" w:hAnsiTheme="minorHAnsi"/>
          <w:noProof/>
        </w:rPr>
      </w:pPr>
      <w:hyperlink w:anchor="_Toc90312405" w:history="1">
        <w:r w:rsidR="00AA37A7" w:rsidRPr="0088575D">
          <w:rPr>
            <w:rStyle w:val="Hyperlink"/>
            <w:noProof/>
          </w:rPr>
          <w:t xml:space="preserve">Figure 3: </w:t>
        </w:r>
        <w:r w:rsidR="00AA37A7">
          <w:rPr>
            <w:rFonts w:asciiTheme="minorHAnsi" w:hAnsiTheme="minorHAnsi"/>
            <w:noProof/>
          </w:rPr>
          <w:tab/>
        </w:r>
        <w:r w:rsidR="00AA37A7" w:rsidRPr="0088575D">
          <w:rPr>
            <w:rStyle w:val="Hyperlink"/>
            <w:noProof/>
          </w:rPr>
          <w:t>Primary water use for (non-hydropower) abstraction sites with measured abstraction data in the Wellington and Manawatū-Whanganui regions, June 2015–June 2018</w:t>
        </w:r>
        <w:r w:rsidR="00AA37A7">
          <w:rPr>
            <w:noProof/>
            <w:webHidden/>
          </w:rPr>
          <w:tab/>
        </w:r>
        <w:r w:rsidR="00AA37A7">
          <w:rPr>
            <w:noProof/>
            <w:webHidden/>
          </w:rPr>
          <w:fldChar w:fldCharType="begin"/>
        </w:r>
        <w:r w:rsidR="00AA37A7">
          <w:rPr>
            <w:noProof/>
            <w:webHidden/>
          </w:rPr>
          <w:instrText xml:space="preserve"> PAGEREF _Toc90312405 \h </w:instrText>
        </w:r>
        <w:r w:rsidR="00AA37A7">
          <w:rPr>
            <w:noProof/>
            <w:webHidden/>
          </w:rPr>
        </w:r>
        <w:r w:rsidR="00AA37A7">
          <w:rPr>
            <w:noProof/>
            <w:webHidden/>
          </w:rPr>
          <w:fldChar w:fldCharType="separate"/>
        </w:r>
        <w:r w:rsidR="00AA37A7">
          <w:rPr>
            <w:noProof/>
            <w:webHidden/>
          </w:rPr>
          <w:t>16</w:t>
        </w:r>
        <w:r w:rsidR="00AA37A7">
          <w:rPr>
            <w:noProof/>
            <w:webHidden/>
          </w:rPr>
          <w:fldChar w:fldCharType="end"/>
        </w:r>
      </w:hyperlink>
    </w:p>
    <w:p w14:paraId="67E761CE" w14:textId="7DAA11B2" w:rsidR="00AA37A7" w:rsidRDefault="00CB1787">
      <w:pPr>
        <w:pStyle w:val="TableofFigures"/>
        <w:tabs>
          <w:tab w:val="right" w:pos="8495"/>
        </w:tabs>
        <w:rPr>
          <w:rFonts w:asciiTheme="minorHAnsi" w:hAnsiTheme="minorHAnsi"/>
          <w:noProof/>
        </w:rPr>
      </w:pPr>
      <w:hyperlink w:anchor="_Toc90312406" w:history="1">
        <w:r w:rsidR="00AA37A7" w:rsidRPr="0088575D">
          <w:rPr>
            <w:rStyle w:val="Hyperlink"/>
            <w:noProof/>
          </w:rPr>
          <w:t xml:space="preserve">Figure 4: </w:t>
        </w:r>
        <w:r w:rsidR="00AA37A7">
          <w:rPr>
            <w:rFonts w:asciiTheme="minorHAnsi" w:hAnsiTheme="minorHAnsi"/>
            <w:noProof/>
          </w:rPr>
          <w:tab/>
        </w:r>
        <w:r w:rsidR="00AA37A7" w:rsidRPr="0088575D">
          <w:rPr>
            <w:rStyle w:val="Hyperlink"/>
            <w:noProof/>
          </w:rPr>
          <w:t>Average annual measured abstractions in million cubic metres for Wellington region sites by primary use type, June 2015–June 2018</w:t>
        </w:r>
        <w:r w:rsidR="00AA37A7">
          <w:rPr>
            <w:noProof/>
            <w:webHidden/>
          </w:rPr>
          <w:tab/>
        </w:r>
        <w:r w:rsidR="00AA37A7">
          <w:rPr>
            <w:noProof/>
            <w:webHidden/>
          </w:rPr>
          <w:fldChar w:fldCharType="begin"/>
        </w:r>
        <w:r w:rsidR="00AA37A7">
          <w:rPr>
            <w:noProof/>
            <w:webHidden/>
          </w:rPr>
          <w:instrText xml:space="preserve"> PAGEREF _Toc90312406 \h </w:instrText>
        </w:r>
        <w:r w:rsidR="00AA37A7">
          <w:rPr>
            <w:noProof/>
            <w:webHidden/>
          </w:rPr>
        </w:r>
        <w:r w:rsidR="00AA37A7">
          <w:rPr>
            <w:noProof/>
            <w:webHidden/>
          </w:rPr>
          <w:fldChar w:fldCharType="separate"/>
        </w:r>
        <w:r w:rsidR="00AA37A7">
          <w:rPr>
            <w:noProof/>
            <w:webHidden/>
          </w:rPr>
          <w:t>17</w:t>
        </w:r>
        <w:r w:rsidR="00AA37A7">
          <w:rPr>
            <w:noProof/>
            <w:webHidden/>
          </w:rPr>
          <w:fldChar w:fldCharType="end"/>
        </w:r>
      </w:hyperlink>
    </w:p>
    <w:p w14:paraId="32A011ED" w14:textId="68EA46BF" w:rsidR="00AA37A7" w:rsidRDefault="00CB1787">
      <w:pPr>
        <w:pStyle w:val="TableofFigures"/>
        <w:tabs>
          <w:tab w:val="right" w:pos="8495"/>
        </w:tabs>
        <w:rPr>
          <w:rFonts w:asciiTheme="minorHAnsi" w:hAnsiTheme="minorHAnsi"/>
          <w:noProof/>
        </w:rPr>
      </w:pPr>
      <w:hyperlink w:anchor="_Toc90312407" w:history="1">
        <w:r w:rsidR="00AA37A7" w:rsidRPr="0088575D">
          <w:rPr>
            <w:rStyle w:val="Hyperlink"/>
            <w:noProof/>
          </w:rPr>
          <w:t>Figure 5:</w:t>
        </w:r>
        <w:r w:rsidR="00AA37A7">
          <w:rPr>
            <w:rFonts w:asciiTheme="minorHAnsi" w:hAnsiTheme="minorHAnsi"/>
            <w:noProof/>
          </w:rPr>
          <w:tab/>
        </w:r>
        <w:r w:rsidR="00AA37A7" w:rsidRPr="0088575D">
          <w:rPr>
            <w:rStyle w:val="Hyperlink"/>
            <w:noProof/>
          </w:rPr>
          <w:t>Average annual measured (non-hydropower) abstractions in million cubic metres for Manawatū-Whanganui region sites by primary use type, June 2015–June 2018</w:t>
        </w:r>
        <w:r w:rsidR="00AA37A7">
          <w:rPr>
            <w:noProof/>
            <w:webHidden/>
          </w:rPr>
          <w:tab/>
        </w:r>
        <w:r w:rsidR="00AA37A7">
          <w:rPr>
            <w:noProof/>
            <w:webHidden/>
          </w:rPr>
          <w:fldChar w:fldCharType="begin"/>
        </w:r>
        <w:r w:rsidR="00AA37A7">
          <w:rPr>
            <w:noProof/>
            <w:webHidden/>
          </w:rPr>
          <w:instrText xml:space="preserve"> PAGEREF _Toc90312407 \h </w:instrText>
        </w:r>
        <w:r w:rsidR="00AA37A7">
          <w:rPr>
            <w:noProof/>
            <w:webHidden/>
          </w:rPr>
        </w:r>
        <w:r w:rsidR="00AA37A7">
          <w:rPr>
            <w:noProof/>
            <w:webHidden/>
          </w:rPr>
          <w:fldChar w:fldCharType="separate"/>
        </w:r>
        <w:r w:rsidR="00AA37A7">
          <w:rPr>
            <w:noProof/>
            <w:webHidden/>
          </w:rPr>
          <w:t>18</w:t>
        </w:r>
        <w:r w:rsidR="00AA37A7">
          <w:rPr>
            <w:noProof/>
            <w:webHidden/>
          </w:rPr>
          <w:fldChar w:fldCharType="end"/>
        </w:r>
      </w:hyperlink>
    </w:p>
    <w:p w14:paraId="41DC6EC4" w14:textId="5157B92A" w:rsidR="00AA37A7" w:rsidRDefault="00CB1787">
      <w:pPr>
        <w:pStyle w:val="TableofFigures"/>
        <w:tabs>
          <w:tab w:val="right" w:pos="8495"/>
        </w:tabs>
        <w:rPr>
          <w:rFonts w:asciiTheme="minorHAnsi" w:hAnsiTheme="minorHAnsi"/>
          <w:noProof/>
        </w:rPr>
      </w:pPr>
      <w:hyperlink w:anchor="_Toc90312408" w:history="1">
        <w:r w:rsidR="00AA37A7" w:rsidRPr="0088575D">
          <w:rPr>
            <w:rStyle w:val="Hyperlink"/>
            <w:noProof/>
          </w:rPr>
          <w:t xml:space="preserve">Figure 6: </w:t>
        </w:r>
        <w:r w:rsidR="00AA37A7">
          <w:rPr>
            <w:rFonts w:asciiTheme="minorHAnsi" w:hAnsiTheme="minorHAnsi"/>
            <w:noProof/>
          </w:rPr>
          <w:tab/>
        </w:r>
        <w:r w:rsidR="00AA37A7" w:rsidRPr="0088575D">
          <w:rPr>
            <w:rStyle w:val="Hyperlink"/>
            <w:noProof/>
          </w:rPr>
          <w:t>Estimated streamflow depletion from measured non-hydropower abstractions in the Wellington and Manawatū-Whanganui regions on 14 February 2016, 2017 and 2018</w:t>
        </w:r>
        <w:r w:rsidR="00AA37A7">
          <w:rPr>
            <w:noProof/>
            <w:webHidden/>
          </w:rPr>
          <w:tab/>
        </w:r>
        <w:r w:rsidR="00AA37A7">
          <w:rPr>
            <w:noProof/>
            <w:webHidden/>
          </w:rPr>
          <w:fldChar w:fldCharType="begin"/>
        </w:r>
        <w:r w:rsidR="00AA37A7">
          <w:rPr>
            <w:noProof/>
            <w:webHidden/>
          </w:rPr>
          <w:instrText xml:space="preserve"> PAGEREF _Toc90312408 \h </w:instrText>
        </w:r>
        <w:r w:rsidR="00AA37A7">
          <w:rPr>
            <w:noProof/>
            <w:webHidden/>
          </w:rPr>
        </w:r>
        <w:r w:rsidR="00AA37A7">
          <w:rPr>
            <w:noProof/>
            <w:webHidden/>
          </w:rPr>
          <w:fldChar w:fldCharType="separate"/>
        </w:r>
        <w:r w:rsidR="00AA37A7">
          <w:rPr>
            <w:noProof/>
            <w:webHidden/>
          </w:rPr>
          <w:t>20</w:t>
        </w:r>
        <w:r w:rsidR="00AA37A7">
          <w:rPr>
            <w:noProof/>
            <w:webHidden/>
          </w:rPr>
          <w:fldChar w:fldCharType="end"/>
        </w:r>
      </w:hyperlink>
    </w:p>
    <w:p w14:paraId="40921B7C" w14:textId="11ED19F7" w:rsidR="00AA37A7" w:rsidRDefault="00CB1787">
      <w:pPr>
        <w:pStyle w:val="TableofFigures"/>
        <w:tabs>
          <w:tab w:val="right" w:pos="8495"/>
        </w:tabs>
        <w:rPr>
          <w:rFonts w:asciiTheme="minorHAnsi" w:hAnsiTheme="minorHAnsi"/>
          <w:noProof/>
        </w:rPr>
      </w:pPr>
      <w:hyperlink w:anchor="_Toc90312409" w:history="1">
        <w:r w:rsidR="00AA37A7" w:rsidRPr="0088575D">
          <w:rPr>
            <w:rStyle w:val="Hyperlink"/>
            <w:noProof/>
          </w:rPr>
          <w:t xml:space="preserve">Figure 7: </w:t>
        </w:r>
        <w:r w:rsidR="00AA37A7">
          <w:rPr>
            <w:rFonts w:asciiTheme="minorHAnsi" w:hAnsiTheme="minorHAnsi"/>
            <w:noProof/>
          </w:rPr>
          <w:tab/>
        </w:r>
        <w:r w:rsidR="00AA37A7" w:rsidRPr="0088575D">
          <w:rPr>
            <w:rStyle w:val="Hyperlink"/>
            <w:noProof/>
          </w:rPr>
          <w:t>Average estimated daily streamflow depletion due to measured abstractions in the Wellington region, as a ratio of estimated long-term natural median flow, June 2015–June 2018</w:t>
        </w:r>
        <w:r w:rsidR="00AA37A7">
          <w:rPr>
            <w:noProof/>
            <w:webHidden/>
          </w:rPr>
          <w:tab/>
        </w:r>
        <w:r w:rsidR="00AA37A7">
          <w:rPr>
            <w:noProof/>
            <w:webHidden/>
          </w:rPr>
          <w:fldChar w:fldCharType="begin"/>
        </w:r>
        <w:r w:rsidR="00AA37A7">
          <w:rPr>
            <w:noProof/>
            <w:webHidden/>
          </w:rPr>
          <w:instrText xml:space="preserve"> PAGEREF _Toc90312409 \h </w:instrText>
        </w:r>
        <w:r w:rsidR="00AA37A7">
          <w:rPr>
            <w:noProof/>
            <w:webHidden/>
          </w:rPr>
        </w:r>
        <w:r w:rsidR="00AA37A7">
          <w:rPr>
            <w:noProof/>
            <w:webHidden/>
          </w:rPr>
          <w:fldChar w:fldCharType="separate"/>
        </w:r>
        <w:r w:rsidR="00AA37A7">
          <w:rPr>
            <w:noProof/>
            <w:webHidden/>
          </w:rPr>
          <w:t>22</w:t>
        </w:r>
        <w:r w:rsidR="00AA37A7">
          <w:rPr>
            <w:noProof/>
            <w:webHidden/>
          </w:rPr>
          <w:fldChar w:fldCharType="end"/>
        </w:r>
      </w:hyperlink>
    </w:p>
    <w:p w14:paraId="40354C6C" w14:textId="0C2FCB22" w:rsidR="00AA37A7" w:rsidRDefault="00CB1787">
      <w:pPr>
        <w:pStyle w:val="TableofFigures"/>
        <w:tabs>
          <w:tab w:val="right" w:pos="8495"/>
        </w:tabs>
        <w:rPr>
          <w:rFonts w:asciiTheme="minorHAnsi" w:hAnsiTheme="minorHAnsi"/>
          <w:noProof/>
        </w:rPr>
      </w:pPr>
      <w:hyperlink w:anchor="_Toc90312410" w:history="1">
        <w:r w:rsidR="00AA37A7" w:rsidRPr="0088575D">
          <w:rPr>
            <w:rStyle w:val="Hyperlink"/>
            <w:noProof/>
          </w:rPr>
          <w:t xml:space="preserve">Figure 8: </w:t>
        </w:r>
        <w:r w:rsidR="00AA37A7">
          <w:rPr>
            <w:rFonts w:asciiTheme="minorHAnsi" w:hAnsiTheme="minorHAnsi"/>
            <w:noProof/>
          </w:rPr>
          <w:tab/>
        </w:r>
        <w:r w:rsidR="00AA37A7" w:rsidRPr="0088575D">
          <w:rPr>
            <w:rStyle w:val="Hyperlink"/>
            <w:noProof/>
          </w:rPr>
          <w:t>Average estimated daily streamflow depletion due to measured (non</w:t>
        </w:r>
        <w:r w:rsidR="00AA37A7" w:rsidRPr="0088575D">
          <w:rPr>
            <w:rStyle w:val="Hyperlink"/>
            <w:noProof/>
          </w:rPr>
          <w:noBreakHyphen/>
          <w:t>hydropower) abstractions in the Manawatū-Whanganui region, as a ratio of estimated natural median streamflow, June 2015–June 2018</w:t>
        </w:r>
        <w:r w:rsidR="00AA37A7">
          <w:rPr>
            <w:noProof/>
            <w:webHidden/>
          </w:rPr>
          <w:tab/>
        </w:r>
        <w:r w:rsidR="00AA37A7">
          <w:rPr>
            <w:noProof/>
            <w:webHidden/>
          </w:rPr>
          <w:fldChar w:fldCharType="begin"/>
        </w:r>
        <w:r w:rsidR="00AA37A7">
          <w:rPr>
            <w:noProof/>
            <w:webHidden/>
          </w:rPr>
          <w:instrText xml:space="preserve"> PAGEREF _Toc90312410 \h </w:instrText>
        </w:r>
        <w:r w:rsidR="00AA37A7">
          <w:rPr>
            <w:noProof/>
            <w:webHidden/>
          </w:rPr>
        </w:r>
        <w:r w:rsidR="00AA37A7">
          <w:rPr>
            <w:noProof/>
            <w:webHidden/>
          </w:rPr>
          <w:fldChar w:fldCharType="separate"/>
        </w:r>
        <w:r w:rsidR="00AA37A7">
          <w:rPr>
            <w:noProof/>
            <w:webHidden/>
          </w:rPr>
          <w:t>23</w:t>
        </w:r>
        <w:r w:rsidR="00AA37A7">
          <w:rPr>
            <w:noProof/>
            <w:webHidden/>
          </w:rPr>
          <w:fldChar w:fldCharType="end"/>
        </w:r>
      </w:hyperlink>
    </w:p>
    <w:p w14:paraId="57C1A60C" w14:textId="0951C926" w:rsidR="00AA37A7" w:rsidRDefault="00CB1787">
      <w:pPr>
        <w:pStyle w:val="TableofFigures"/>
        <w:tabs>
          <w:tab w:val="right" w:pos="8495"/>
        </w:tabs>
        <w:rPr>
          <w:rFonts w:asciiTheme="minorHAnsi" w:hAnsiTheme="minorHAnsi"/>
          <w:noProof/>
        </w:rPr>
      </w:pPr>
      <w:hyperlink w:anchor="_Toc90312411" w:history="1">
        <w:r w:rsidR="00AA37A7" w:rsidRPr="0088575D">
          <w:rPr>
            <w:rStyle w:val="Hyperlink"/>
            <w:noProof/>
          </w:rPr>
          <w:t>Figure 9:</w:t>
        </w:r>
        <w:r w:rsidR="00AA37A7">
          <w:rPr>
            <w:rFonts w:asciiTheme="minorHAnsi" w:hAnsiTheme="minorHAnsi"/>
            <w:noProof/>
          </w:rPr>
          <w:tab/>
        </w:r>
        <w:r w:rsidR="00AA37A7" w:rsidRPr="0088575D">
          <w:rPr>
            <w:rStyle w:val="Hyperlink"/>
            <w:noProof/>
          </w:rPr>
          <w:t>Comparison of average estimated daily streamflow depletion to predicted maximum annual streamflow depletion for river segments with measured and consented allocation data for July 2017–June 2018 (as a ratio of estimated long-term natural median flow)</w:t>
        </w:r>
        <w:r w:rsidR="00AA37A7">
          <w:rPr>
            <w:noProof/>
            <w:webHidden/>
          </w:rPr>
          <w:tab/>
        </w:r>
        <w:r w:rsidR="00AA37A7">
          <w:rPr>
            <w:noProof/>
            <w:webHidden/>
          </w:rPr>
          <w:fldChar w:fldCharType="begin"/>
        </w:r>
        <w:r w:rsidR="00AA37A7">
          <w:rPr>
            <w:noProof/>
            <w:webHidden/>
          </w:rPr>
          <w:instrText xml:space="preserve"> PAGEREF _Toc90312411 \h </w:instrText>
        </w:r>
        <w:r w:rsidR="00AA37A7">
          <w:rPr>
            <w:noProof/>
            <w:webHidden/>
          </w:rPr>
        </w:r>
        <w:r w:rsidR="00AA37A7">
          <w:rPr>
            <w:noProof/>
            <w:webHidden/>
          </w:rPr>
          <w:fldChar w:fldCharType="separate"/>
        </w:r>
        <w:r w:rsidR="00AA37A7">
          <w:rPr>
            <w:noProof/>
            <w:webHidden/>
          </w:rPr>
          <w:t>25</w:t>
        </w:r>
        <w:r w:rsidR="00AA37A7">
          <w:rPr>
            <w:noProof/>
            <w:webHidden/>
          </w:rPr>
          <w:fldChar w:fldCharType="end"/>
        </w:r>
      </w:hyperlink>
    </w:p>
    <w:p w14:paraId="3B0BF9E5" w14:textId="5517CAAA" w:rsidR="00AA37A7" w:rsidRDefault="00CB1787">
      <w:pPr>
        <w:pStyle w:val="TableofFigures"/>
        <w:tabs>
          <w:tab w:val="right" w:pos="8495"/>
        </w:tabs>
        <w:rPr>
          <w:rFonts w:asciiTheme="minorHAnsi" w:hAnsiTheme="minorHAnsi"/>
          <w:noProof/>
        </w:rPr>
      </w:pPr>
      <w:hyperlink w:anchor="_Toc90312412" w:history="1">
        <w:r w:rsidR="00AA37A7" w:rsidRPr="0088575D">
          <w:rPr>
            <w:rStyle w:val="Hyperlink"/>
            <w:noProof/>
          </w:rPr>
          <w:t xml:space="preserve">Figure 10: </w:t>
        </w:r>
        <w:r w:rsidR="00AA37A7">
          <w:rPr>
            <w:rFonts w:asciiTheme="minorHAnsi" w:hAnsiTheme="minorHAnsi"/>
            <w:noProof/>
          </w:rPr>
          <w:tab/>
        </w:r>
        <w:r w:rsidR="00AA37A7" w:rsidRPr="0088575D">
          <w:rPr>
            <w:rStyle w:val="Hyperlink"/>
            <w:noProof/>
          </w:rPr>
          <w:t>Locations of GWRC river- and streamflow gauging sites in the Wellington region</w:t>
        </w:r>
        <w:r w:rsidR="00AA37A7">
          <w:rPr>
            <w:noProof/>
            <w:webHidden/>
          </w:rPr>
          <w:tab/>
        </w:r>
        <w:r w:rsidR="00AA37A7">
          <w:rPr>
            <w:noProof/>
            <w:webHidden/>
          </w:rPr>
          <w:fldChar w:fldCharType="begin"/>
        </w:r>
        <w:r w:rsidR="00AA37A7">
          <w:rPr>
            <w:noProof/>
            <w:webHidden/>
          </w:rPr>
          <w:instrText xml:space="preserve"> PAGEREF _Toc90312412 \h </w:instrText>
        </w:r>
        <w:r w:rsidR="00AA37A7">
          <w:rPr>
            <w:noProof/>
            <w:webHidden/>
          </w:rPr>
        </w:r>
        <w:r w:rsidR="00AA37A7">
          <w:rPr>
            <w:noProof/>
            <w:webHidden/>
          </w:rPr>
          <w:fldChar w:fldCharType="separate"/>
        </w:r>
        <w:r w:rsidR="00AA37A7">
          <w:rPr>
            <w:noProof/>
            <w:webHidden/>
          </w:rPr>
          <w:t>28</w:t>
        </w:r>
        <w:r w:rsidR="00AA37A7">
          <w:rPr>
            <w:noProof/>
            <w:webHidden/>
          </w:rPr>
          <w:fldChar w:fldCharType="end"/>
        </w:r>
      </w:hyperlink>
    </w:p>
    <w:p w14:paraId="557E905F" w14:textId="3F50828E" w:rsidR="00AA37A7" w:rsidRDefault="00CB1787">
      <w:pPr>
        <w:pStyle w:val="TableofFigures"/>
        <w:tabs>
          <w:tab w:val="right" w:pos="8495"/>
        </w:tabs>
        <w:rPr>
          <w:rFonts w:asciiTheme="minorHAnsi" w:hAnsiTheme="minorHAnsi"/>
          <w:noProof/>
        </w:rPr>
      </w:pPr>
      <w:hyperlink w:anchor="_Toc90312413" w:history="1">
        <w:r w:rsidR="00AA37A7" w:rsidRPr="0088575D">
          <w:rPr>
            <w:rStyle w:val="Hyperlink"/>
            <w:noProof/>
          </w:rPr>
          <w:t xml:space="preserve">Figure 11: </w:t>
        </w:r>
        <w:r w:rsidR="00AA37A7">
          <w:rPr>
            <w:rFonts w:asciiTheme="minorHAnsi" w:hAnsiTheme="minorHAnsi"/>
            <w:noProof/>
          </w:rPr>
          <w:tab/>
        </w:r>
        <w:r w:rsidR="00AA37A7" w:rsidRPr="0088575D">
          <w:rPr>
            <w:rStyle w:val="Hyperlink"/>
            <w:noProof/>
          </w:rPr>
          <w:t>Locations of Horizons river- and streamflow gauging sites in the Manawatū-Whanganui region</w:t>
        </w:r>
        <w:r w:rsidR="00AA37A7">
          <w:rPr>
            <w:noProof/>
            <w:webHidden/>
          </w:rPr>
          <w:tab/>
        </w:r>
        <w:r w:rsidR="00AA37A7">
          <w:rPr>
            <w:noProof/>
            <w:webHidden/>
          </w:rPr>
          <w:fldChar w:fldCharType="begin"/>
        </w:r>
        <w:r w:rsidR="00AA37A7">
          <w:rPr>
            <w:noProof/>
            <w:webHidden/>
          </w:rPr>
          <w:instrText xml:space="preserve"> PAGEREF _Toc90312413 \h </w:instrText>
        </w:r>
        <w:r w:rsidR="00AA37A7">
          <w:rPr>
            <w:noProof/>
            <w:webHidden/>
          </w:rPr>
        </w:r>
        <w:r w:rsidR="00AA37A7">
          <w:rPr>
            <w:noProof/>
            <w:webHidden/>
          </w:rPr>
          <w:fldChar w:fldCharType="separate"/>
        </w:r>
        <w:r w:rsidR="00AA37A7">
          <w:rPr>
            <w:noProof/>
            <w:webHidden/>
          </w:rPr>
          <w:t>31</w:t>
        </w:r>
        <w:r w:rsidR="00AA37A7">
          <w:rPr>
            <w:noProof/>
            <w:webHidden/>
          </w:rPr>
          <w:fldChar w:fldCharType="end"/>
        </w:r>
      </w:hyperlink>
    </w:p>
    <w:p w14:paraId="73755F9B" w14:textId="50F5C91B" w:rsidR="00AA37A7" w:rsidRDefault="00CB1787">
      <w:pPr>
        <w:pStyle w:val="TableofFigures"/>
        <w:tabs>
          <w:tab w:val="right" w:pos="8495"/>
        </w:tabs>
        <w:rPr>
          <w:rFonts w:asciiTheme="minorHAnsi" w:hAnsiTheme="minorHAnsi"/>
          <w:noProof/>
        </w:rPr>
      </w:pPr>
      <w:hyperlink w:anchor="_Toc90312414" w:history="1">
        <w:r w:rsidR="00AA37A7" w:rsidRPr="0088575D">
          <w:rPr>
            <w:rStyle w:val="Hyperlink"/>
            <w:noProof/>
          </w:rPr>
          <w:t xml:space="preserve">Figure 12: </w:t>
        </w:r>
        <w:r w:rsidR="00AA37A7">
          <w:rPr>
            <w:rFonts w:asciiTheme="minorHAnsi" w:hAnsiTheme="minorHAnsi"/>
            <w:noProof/>
          </w:rPr>
          <w:tab/>
        </w:r>
        <w:r w:rsidR="00AA37A7" w:rsidRPr="0088575D">
          <w:rPr>
            <w:rStyle w:val="Hyperlink"/>
            <w:noProof/>
          </w:rPr>
          <w:t>Monthly median daily streamflow measured at assessed river- and streamflow gauging sites in the Wellington region by catchment, June 2015–May 2018</w:t>
        </w:r>
        <w:r w:rsidR="00AA37A7">
          <w:rPr>
            <w:noProof/>
            <w:webHidden/>
          </w:rPr>
          <w:tab/>
        </w:r>
        <w:r w:rsidR="00AA37A7">
          <w:rPr>
            <w:noProof/>
            <w:webHidden/>
          </w:rPr>
          <w:fldChar w:fldCharType="begin"/>
        </w:r>
        <w:r w:rsidR="00AA37A7">
          <w:rPr>
            <w:noProof/>
            <w:webHidden/>
          </w:rPr>
          <w:instrText xml:space="preserve"> PAGEREF _Toc90312414 \h </w:instrText>
        </w:r>
        <w:r w:rsidR="00AA37A7">
          <w:rPr>
            <w:noProof/>
            <w:webHidden/>
          </w:rPr>
        </w:r>
        <w:r w:rsidR="00AA37A7">
          <w:rPr>
            <w:noProof/>
            <w:webHidden/>
          </w:rPr>
          <w:fldChar w:fldCharType="separate"/>
        </w:r>
        <w:r w:rsidR="00AA37A7">
          <w:rPr>
            <w:noProof/>
            <w:webHidden/>
          </w:rPr>
          <w:t>33</w:t>
        </w:r>
        <w:r w:rsidR="00AA37A7">
          <w:rPr>
            <w:noProof/>
            <w:webHidden/>
          </w:rPr>
          <w:fldChar w:fldCharType="end"/>
        </w:r>
      </w:hyperlink>
    </w:p>
    <w:p w14:paraId="78E1A801" w14:textId="4E7A550F" w:rsidR="00AA37A7" w:rsidRDefault="00CB1787">
      <w:pPr>
        <w:pStyle w:val="TableofFigures"/>
        <w:tabs>
          <w:tab w:val="right" w:pos="8495"/>
        </w:tabs>
        <w:rPr>
          <w:rFonts w:asciiTheme="minorHAnsi" w:hAnsiTheme="minorHAnsi"/>
          <w:noProof/>
        </w:rPr>
      </w:pPr>
      <w:hyperlink w:anchor="_Toc90312415" w:history="1">
        <w:r w:rsidR="00AA37A7" w:rsidRPr="0088575D">
          <w:rPr>
            <w:rStyle w:val="Hyperlink"/>
            <w:noProof/>
          </w:rPr>
          <w:t xml:space="preserve">Figure 13: </w:t>
        </w:r>
        <w:r w:rsidR="00AA37A7">
          <w:rPr>
            <w:rFonts w:asciiTheme="minorHAnsi" w:hAnsiTheme="minorHAnsi"/>
            <w:noProof/>
          </w:rPr>
          <w:tab/>
        </w:r>
        <w:r w:rsidR="00AA37A7" w:rsidRPr="0088575D">
          <w:rPr>
            <w:rStyle w:val="Hyperlink"/>
            <w:noProof/>
          </w:rPr>
          <w:t>Monthly median daily streamflow measured at assessed river- and streamflow gauging sites in the Manawat</w:t>
        </w:r>
        <w:r w:rsidR="00AA37A7" w:rsidRPr="0088575D">
          <w:rPr>
            <w:rStyle w:val="Hyperlink"/>
            <w:rFonts w:cstheme="minorHAnsi"/>
            <w:noProof/>
          </w:rPr>
          <w:t>ū</w:t>
        </w:r>
        <w:r w:rsidR="00AA37A7" w:rsidRPr="0088575D">
          <w:rPr>
            <w:rStyle w:val="Hyperlink"/>
            <w:noProof/>
          </w:rPr>
          <w:t>-Whanganui region by catchment, June 2015–May 2018</w:t>
        </w:r>
        <w:r w:rsidR="00AA37A7">
          <w:rPr>
            <w:noProof/>
            <w:webHidden/>
          </w:rPr>
          <w:tab/>
        </w:r>
        <w:r w:rsidR="00AA37A7">
          <w:rPr>
            <w:noProof/>
            <w:webHidden/>
          </w:rPr>
          <w:fldChar w:fldCharType="begin"/>
        </w:r>
        <w:r w:rsidR="00AA37A7">
          <w:rPr>
            <w:noProof/>
            <w:webHidden/>
          </w:rPr>
          <w:instrText xml:space="preserve"> PAGEREF _Toc90312415 \h </w:instrText>
        </w:r>
        <w:r w:rsidR="00AA37A7">
          <w:rPr>
            <w:noProof/>
            <w:webHidden/>
          </w:rPr>
        </w:r>
        <w:r w:rsidR="00AA37A7">
          <w:rPr>
            <w:noProof/>
            <w:webHidden/>
          </w:rPr>
          <w:fldChar w:fldCharType="separate"/>
        </w:r>
        <w:r w:rsidR="00AA37A7">
          <w:rPr>
            <w:noProof/>
            <w:webHidden/>
          </w:rPr>
          <w:t>34</w:t>
        </w:r>
        <w:r w:rsidR="00AA37A7">
          <w:rPr>
            <w:noProof/>
            <w:webHidden/>
          </w:rPr>
          <w:fldChar w:fldCharType="end"/>
        </w:r>
      </w:hyperlink>
    </w:p>
    <w:p w14:paraId="03F72162" w14:textId="6E099520" w:rsidR="00AA37A7" w:rsidRDefault="00CB1787">
      <w:pPr>
        <w:pStyle w:val="TableofFigures"/>
        <w:tabs>
          <w:tab w:val="right" w:pos="8495"/>
        </w:tabs>
        <w:rPr>
          <w:rFonts w:asciiTheme="minorHAnsi" w:hAnsiTheme="minorHAnsi"/>
          <w:noProof/>
        </w:rPr>
      </w:pPr>
      <w:hyperlink w:anchor="_Toc90312416" w:history="1">
        <w:r w:rsidR="00AA37A7" w:rsidRPr="0088575D">
          <w:rPr>
            <w:rStyle w:val="Hyperlink"/>
            <w:noProof/>
          </w:rPr>
          <w:t xml:space="preserve">Figure 14: </w:t>
        </w:r>
        <w:r w:rsidR="00AA37A7">
          <w:rPr>
            <w:rFonts w:asciiTheme="minorHAnsi" w:hAnsiTheme="minorHAnsi"/>
            <w:noProof/>
          </w:rPr>
          <w:tab/>
        </w:r>
        <w:r w:rsidR="00AA37A7" w:rsidRPr="0088575D">
          <w:rPr>
            <w:rStyle w:val="Hyperlink"/>
            <w:noProof/>
          </w:rPr>
          <w:t>Monthly average total daily surface- and groundwater abstraction rates measured upstream of assessed river- and streamflow gauging sites in the Wellington region by catchment, June 2015–May 2018</w:t>
        </w:r>
        <w:r w:rsidR="00AA37A7">
          <w:rPr>
            <w:noProof/>
            <w:webHidden/>
          </w:rPr>
          <w:tab/>
        </w:r>
        <w:r w:rsidR="00AA37A7">
          <w:rPr>
            <w:noProof/>
            <w:webHidden/>
          </w:rPr>
          <w:fldChar w:fldCharType="begin"/>
        </w:r>
        <w:r w:rsidR="00AA37A7">
          <w:rPr>
            <w:noProof/>
            <w:webHidden/>
          </w:rPr>
          <w:instrText xml:space="preserve"> PAGEREF _Toc90312416 \h </w:instrText>
        </w:r>
        <w:r w:rsidR="00AA37A7">
          <w:rPr>
            <w:noProof/>
            <w:webHidden/>
          </w:rPr>
        </w:r>
        <w:r w:rsidR="00AA37A7">
          <w:rPr>
            <w:noProof/>
            <w:webHidden/>
          </w:rPr>
          <w:fldChar w:fldCharType="separate"/>
        </w:r>
        <w:r w:rsidR="00AA37A7">
          <w:rPr>
            <w:noProof/>
            <w:webHidden/>
          </w:rPr>
          <w:t>35</w:t>
        </w:r>
        <w:r w:rsidR="00AA37A7">
          <w:rPr>
            <w:noProof/>
            <w:webHidden/>
          </w:rPr>
          <w:fldChar w:fldCharType="end"/>
        </w:r>
      </w:hyperlink>
    </w:p>
    <w:p w14:paraId="3AC8592F" w14:textId="421731A9" w:rsidR="00AA37A7" w:rsidRDefault="00CB1787">
      <w:pPr>
        <w:pStyle w:val="TableofFigures"/>
        <w:tabs>
          <w:tab w:val="right" w:pos="8495"/>
        </w:tabs>
        <w:rPr>
          <w:rFonts w:asciiTheme="minorHAnsi" w:hAnsiTheme="minorHAnsi"/>
          <w:noProof/>
        </w:rPr>
      </w:pPr>
      <w:hyperlink w:anchor="_Toc90312417" w:history="1">
        <w:r w:rsidR="00AA37A7" w:rsidRPr="0088575D">
          <w:rPr>
            <w:rStyle w:val="Hyperlink"/>
            <w:noProof/>
          </w:rPr>
          <w:t xml:space="preserve">Figure 15: </w:t>
        </w:r>
        <w:r w:rsidR="00AA37A7">
          <w:rPr>
            <w:rFonts w:asciiTheme="minorHAnsi" w:hAnsiTheme="minorHAnsi"/>
            <w:noProof/>
          </w:rPr>
          <w:tab/>
        </w:r>
        <w:r w:rsidR="00AA37A7" w:rsidRPr="0088575D">
          <w:rPr>
            <w:rStyle w:val="Hyperlink"/>
            <w:noProof/>
          </w:rPr>
          <w:t>Monthly average total daily surface- and groundwater abstraction rates for non</w:t>
        </w:r>
        <w:r w:rsidR="00AA37A7" w:rsidRPr="0088575D">
          <w:rPr>
            <w:rStyle w:val="Hyperlink"/>
            <w:noProof/>
          </w:rPr>
          <w:noBreakHyphen/>
          <w:t>hydropower use, measured upstream of assessed river- and streamflow gauging sites in the Manawatū-Whanganui region by parent catchment, June 2015</w:t>
        </w:r>
        <w:r w:rsidR="00AA37A7" w:rsidRPr="0088575D">
          <w:rPr>
            <w:rStyle w:val="Hyperlink"/>
            <w:rFonts w:ascii="MS Mincho" w:eastAsia="MS Mincho" w:hAnsi="MS Mincho" w:cs="MS Mincho"/>
            <w:noProof/>
            <w:lang w:eastAsia="ja-JP"/>
          </w:rPr>
          <w:t>–</w:t>
        </w:r>
        <w:r w:rsidR="00AA37A7" w:rsidRPr="0088575D">
          <w:rPr>
            <w:rStyle w:val="Hyperlink"/>
            <w:noProof/>
          </w:rPr>
          <w:t>May 2018</w:t>
        </w:r>
        <w:r w:rsidR="00AA37A7">
          <w:rPr>
            <w:noProof/>
            <w:webHidden/>
          </w:rPr>
          <w:tab/>
        </w:r>
        <w:r w:rsidR="00AA37A7">
          <w:rPr>
            <w:noProof/>
            <w:webHidden/>
          </w:rPr>
          <w:fldChar w:fldCharType="begin"/>
        </w:r>
        <w:r w:rsidR="00AA37A7">
          <w:rPr>
            <w:noProof/>
            <w:webHidden/>
          </w:rPr>
          <w:instrText xml:space="preserve"> PAGEREF _Toc90312417 \h </w:instrText>
        </w:r>
        <w:r w:rsidR="00AA37A7">
          <w:rPr>
            <w:noProof/>
            <w:webHidden/>
          </w:rPr>
        </w:r>
        <w:r w:rsidR="00AA37A7">
          <w:rPr>
            <w:noProof/>
            <w:webHidden/>
          </w:rPr>
          <w:fldChar w:fldCharType="separate"/>
        </w:r>
        <w:r w:rsidR="00AA37A7">
          <w:rPr>
            <w:noProof/>
            <w:webHidden/>
          </w:rPr>
          <w:t>36</w:t>
        </w:r>
        <w:r w:rsidR="00AA37A7">
          <w:rPr>
            <w:noProof/>
            <w:webHidden/>
          </w:rPr>
          <w:fldChar w:fldCharType="end"/>
        </w:r>
      </w:hyperlink>
    </w:p>
    <w:p w14:paraId="33123CD6" w14:textId="06C1E952" w:rsidR="00AA37A7" w:rsidRDefault="00CB1787">
      <w:pPr>
        <w:pStyle w:val="TableofFigures"/>
        <w:tabs>
          <w:tab w:val="right" w:pos="8495"/>
        </w:tabs>
        <w:rPr>
          <w:rFonts w:asciiTheme="minorHAnsi" w:hAnsiTheme="minorHAnsi"/>
          <w:noProof/>
        </w:rPr>
      </w:pPr>
      <w:hyperlink w:anchor="_Toc90312418" w:history="1">
        <w:r w:rsidR="00AA37A7" w:rsidRPr="0088575D">
          <w:rPr>
            <w:rStyle w:val="Hyperlink"/>
            <w:noProof/>
          </w:rPr>
          <w:t>Figure 16:</w:t>
        </w:r>
        <w:r w:rsidR="00AA37A7">
          <w:rPr>
            <w:rFonts w:asciiTheme="minorHAnsi" w:hAnsiTheme="minorHAnsi"/>
            <w:noProof/>
          </w:rPr>
          <w:tab/>
        </w:r>
        <w:r w:rsidR="00AA37A7" w:rsidRPr="0088575D">
          <w:rPr>
            <w:rStyle w:val="Hyperlink"/>
            <w:noProof/>
          </w:rPr>
          <w:t>Average daily ratio of estimated streamflow depletion to estimated natural streamflow at gauging sites in the Wellington and Manawatū-Whanganui regions by season,  winter 2015–autumn 2018</w:t>
        </w:r>
        <w:r w:rsidR="00AA37A7">
          <w:rPr>
            <w:noProof/>
            <w:webHidden/>
          </w:rPr>
          <w:tab/>
        </w:r>
        <w:r w:rsidR="00AA37A7">
          <w:rPr>
            <w:noProof/>
            <w:webHidden/>
          </w:rPr>
          <w:fldChar w:fldCharType="begin"/>
        </w:r>
        <w:r w:rsidR="00AA37A7">
          <w:rPr>
            <w:noProof/>
            <w:webHidden/>
          </w:rPr>
          <w:instrText xml:space="preserve"> PAGEREF _Toc90312418 \h </w:instrText>
        </w:r>
        <w:r w:rsidR="00AA37A7">
          <w:rPr>
            <w:noProof/>
            <w:webHidden/>
          </w:rPr>
        </w:r>
        <w:r w:rsidR="00AA37A7">
          <w:rPr>
            <w:noProof/>
            <w:webHidden/>
          </w:rPr>
          <w:fldChar w:fldCharType="separate"/>
        </w:r>
        <w:r w:rsidR="00AA37A7">
          <w:rPr>
            <w:noProof/>
            <w:webHidden/>
          </w:rPr>
          <w:t>40</w:t>
        </w:r>
        <w:r w:rsidR="00AA37A7">
          <w:rPr>
            <w:noProof/>
            <w:webHidden/>
          </w:rPr>
          <w:fldChar w:fldCharType="end"/>
        </w:r>
      </w:hyperlink>
    </w:p>
    <w:p w14:paraId="5DB4B2A2" w14:textId="72AEE2A9" w:rsidR="00AA37A7" w:rsidRDefault="00CB1787">
      <w:pPr>
        <w:pStyle w:val="TableofFigures"/>
        <w:tabs>
          <w:tab w:val="right" w:pos="8495"/>
        </w:tabs>
        <w:rPr>
          <w:rFonts w:asciiTheme="minorHAnsi" w:hAnsiTheme="minorHAnsi"/>
          <w:noProof/>
        </w:rPr>
      </w:pPr>
      <w:hyperlink w:anchor="_Toc90312419" w:history="1">
        <w:r w:rsidR="00AA37A7" w:rsidRPr="0088575D">
          <w:rPr>
            <w:rStyle w:val="Hyperlink"/>
            <w:noProof/>
          </w:rPr>
          <w:t xml:space="preserve">Figure 17: </w:t>
        </w:r>
        <w:r w:rsidR="00AA37A7">
          <w:rPr>
            <w:rFonts w:asciiTheme="minorHAnsi" w:hAnsiTheme="minorHAnsi"/>
            <w:noProof/>
          </w:rPr>
          <w:tab/>
        </w:r>
        <w:r w:rsidR="00AA37A7" w:rsidRPr="0088575D">
          <w:rPr>
            <w:rStyle w:val="Hyperlink"/>
            <w:noProof/>
          </w:rPr>
          <w:t>Percentage of spring, summer, autumn and winter days where the ratio of upstream depletion to estimated natural streamflow exceeded thresholds at gauging sites in the Wellington region, June 2015–May 2018</w:t>
        </w:r>
        <w:r w:rsidR="00AA37A7">
          <w:rPr>
            <w:noProof/>
            <w:webHidden/>
          </w:rPr>
          <w:tab/>
        </w:r>
        <w:r w:rsidR="00AA37A7">
          <w:rPr>
            <w:noProof/>
            <w:webHidden/>
          </w:rPr>
          <w:fldChar w:fldCharType="begin"/>
        </w:r>
        <w:r w:rsidR="00AA37A7">
          <w:rPr>
            <w:noProof/>
            <w:webHidden/>
          </w:rPr>
          <w:instrText xml:space="preserve"> PAGEREF _Toc90312419 \h </w:instrText>
        </w:r>
        <w:r w:rsidR="00AA37A7">
          <w:rPr>
            <w:noProof/>
            <w:webHidden/>
          </w:rPr>
        </w:r>
        <w:r w:rsidR="00AA37A7">
          <w:rPr>
            <w:noProof/>
            <w:webHidden/>
          </w:rPr>
          <w:fldChar w:fldCharType="separate"/>
        </w:r>
        <w:r w:rsidR="00AA37A7">
          <w:rPr>
            <w:noProof/>
            <w:webHidden/>
          </w:rPr>
          <w:t>42</w:t>
        </w:r>
        <w:r w:rsidR="00AA37A7">
          <w:rPr>
            <w:noProof/>
            <w:webHidden/>
          </w:rPr>
          <w:fldChar w:fldCharType="end"/>
        </w:r>
      </w:hyperlink>
    </w:p>
    <w:p w14:paraId="7835E955" w14:textId="319F59CD" w:rsidR="00AA37A7" w:rsidRDefault="00CB1787">
      <w:pPr>
        <w:pStyle w:val="TableofFigures"/>
        <w:tabs>
          <w:tab w:val="right" w:pos="8495"/>
        </w:tabs>
        <w:rPr>
          <w:rFonts w:asciiTheme="minorHAnsi" w:hAnsiTheme="minorHAnsi"/>
          <w:noProof/>
        </w:rPr>
      </w:pPr>
      <w:hyperlink w:anchor="_Toc90312420" w:history="1">
        <w:r w:rsidR="00AA37A7" w:rsidRPr="0088575D">
          <w:rPr>
            <w:rStyle w:val="Hyperlink"/>
            <w:noProof/>
          </w:rPr>
          <w:t xml:space="preserve">Figure 18: </w:t>
        </w:r>
        <w:r w:rsidR="00AA37A7">
          <w:rPr>
            <w:rFonts w:asciiTheme="minorHAnsi" w:hAnsiTheme="minorHAnsi"/>
            <w:noProof/>
          </w:rPr>
          <w:tab/>
        </w:r>
        <w:r w:rsidR="00AA37A7" w:rsidRPr="0088575D">
          <w:rPr>
            <w:rStyle w:val="Hyperlink"/>
            <w:noProof/>
          </w:rPr>
          <w:t>Percentage of spring, summer, autumn and winter days where the ratio of upstream depletion to estimated natural streamflow exceeded thresholds at gauging sites in the Manawatū-Whanganui region, June 2015–May 2018</w:t>
        </w:r>
        <w:r w:rsidR="00AA37A7">
          <w:rPr>
            <w:noProof/>
            <w:webHidden/>
          </w:rPr>
          <w:tab/>
        </w:r>
        <w:r w:rsidR="00AA37A7">
          <w:rPr>
            <w:noProof/>
            <w:webHidden/>
          </w:rPr>
          <w:fldChar w:fldCharType="begin"/>
        </w:r>
        <w:r w:rsidR="00AA37A7">
          <w:rPr>
            <w:noProof/>
            <w:webHidden/>
          </w:rPr>
          <w:instrText xml:space="preserve"> PAGEREF _Toc90312420 \h </w:instrText>
        </w:r>
        <w:r w:rsidR="00AA37A7">
          <w:rPr>
            <w:noProof/>
            <w:webHidden/>
          </w:rPr>
        </w:r>
        <w:r w:rsidR="00AA37A7">
          <w:rPr>
            <w:noProof/>
            <w:webHidden/>
          </w:rPr>
          <w:fldChar w:fldCharType="separate"/>
        </w:r>
        <w:r w:rsidR="00AA37A7">
          <w:rPr>
            <w:noProof/>
            <w:webHidden/>
          </w:rPr>
          <w:t>43</w:t>
        </w:r>
        <w:r w:rsidR="00AA37A7">
          <w:rPr>
            <w:noProof/>
            <w:webHidden/>
          </w:rPr>
          <w:fldChar w:fldCharType="end"/>
        </w:r>
      </w:hyperlink>
    </w:p>
    <w:p w14:paraId="2DC0A05C" w14:textId="47456514" w:rsidR="008A2FF1" w:rsidRPr="00FB249F" w:rsidRDefault="004943C2" w:rsidP="00D51469">
      <w:pPr>
        <w:pStyle w:val="BodyText"/>
      </w:pPr>
      <w:r w:rsidRPr="00FB249F">
        <w:fldChar w:fldCharType="end"/>
      </w:r>
    </w:p>
    <w:p w14:paraId="5E108713" w14:textId="77777777" w:rsidR="00E2203D" w:rsidRPr="00FB249F" w:rsidRDefault="00796A6F" w:rsidP="00CF1904">
      <w:pPr>
        <w:pStyle w:val="Heading1"/>
        <w:rPr>
          <w:rStyle w:val="Heading1Char"/>
          <w:b/>
          <w:bCs/>
        </w:rPr>
      </w:pPr>
      <w:bookmarkStart w:id="0" w:name="_Toc215561202"/>
      <w:r w:rsidRPr="00FB249F">
        <w:br w:type="page"/>
      </w:r>
      <w:bookmarkStart w:id="1" w:name="_Toc88208516"/>
      <w:bookmarkStart w:id="2" w:name="_Toc90312361"/>
      <w:r w:rsidR="00E2203D" w:rsidRPr="00FB249F">
        <w:rPr>
          <w:rStyle w:val="Heading1Char"/>
          <w:b/>
        </w:rPr>
        <w:lastRenderedPageBreak/>
        <w:t>Executive summary</w:t>
      </w:r>
      <w:bookmarkEnd w:id="1"/>
      <w:bookmarkEnd w:id="2"/>
    </w:p>
    <w:p w14:paraId="3B1ADDBD" w14:textId="282A2726" w:rsidR="00E2203D" w:rsidRPr="00FB249F" w:rsidRDefault="00E2203D" w:rsidP="00E2203D">
      <w:pPr>
        <w:pStyle w:val="BodyText"/>
      </w:pPr>
      <w:r w:rsidRPr="00FB249F">
        <w:t>Our freshwater ecosystems and species, our economy and our way of life rely on the freshwater that moves through our streams, rivers, lakes and aquifers. Aotearoa New Zealand’s expansive freshwater system provides us with hydropower, opportunities for recreation and enjoyment of nature, and our drinking and irrigation water. It is therefore critical we protect our freshwater resources from overuse, to ensure enough freshwater is</w:t>
      </w:r>
      <w:r w:rsidR="0069407A">
        <w:t> </w:t>
      </w:r>
      <w:r w:rsidRPr="00FB249F">
        <w:t>available to sustain ecosystems and human needs.</w:t>
      </w:r>
    </w:p>
    <w:p w14:paraId="10B95C7A" w14:textId="04AE3324" w:rsidR="00E2203D" w:rsidRPr="00FB249F" w:rsidRDefault="00E2203D" w:rsidP="00E2203D">
      <w:pPr>
        <w:pStyle w:val="BodyText"/>
      </w:pPr>
      <w:r w:rsidRPr="00FB249F">
        <w:t>To effectively protect our freshwater resources, we need a sound understanding of how much</w:t>
      </w:r>
      <w:r w:rsidR="0058771B" w:rsidRPr="00FB249F">
        <w:t> </w:t>
      </w:r>
      <w:r w:rsidRPr="00FB249F">
        <w:t xml:space="preserve">water: </w:t>
      </w:r>
    </w:p>
    <w:p w14:paraId="321D6C5E" w14:textId="77777777" w:rsidR="00E2203D" w:rsidRPr="00FB249F" w:rsidRDefault="00E2203D" w:rsidP="00E2203D">
      <w:pPr>
        <w:pStyle w:val="Bullet"/>
      </w:pPr>
      <w:r w:rsidRPr="00FB249F">
        <w:t>we have</w:t>
      </w:r>
    </w:p>
    <w:p w14:paraId="2DD326E5" w14:textId="77777777" w:rsidR="00E2203D" w:rsidRPr="00FB249F" w:rsidRDefault="00E2203D" w:rsidP="00E2203D">
      <w:pPr>
        <w:pStyle w:val="Bullet"/>
        <w:tabs>
          <w:tab w:val="num" w:pos="397"/>
        </w:tabs>
      </w:pPr>
      <w:r w:rsidRPr="00FB249F">
        <w:t>we (and the environment) need</w:t>
      </w:r>
    </w:p>
    <w:p w14:paraId="1887E361" w14:textId="77777777" w:rsidR="00E2203D" w:rsidRPr="00FB249F" w:rsidRDefault="00E2203D" w:rsidP="00E2203D">
      <w:pPr>
        <w:pStyle w:val="Bullet"/>
        <w:tabs>
          <w:tab w:val="num" w:pos="397"/>
        </w:tabs>
      </w:pPr>
      <w:r w:rsidRPr="00FB249F">
        <w:t xml:space="preserve">we use. </w:t>
      </w:r>
    </w:p>
    <w:p w14:paraId="302ABEF4" w14:textId="517C704E" w:rsidR="00E2203D" w:rsidRPr="00FB249F" w:rsidRDefault="00E2203D" w:rsidP="00E2203D">
      <w:pPr>
        <w:pStyle w:val="BodyText"/>
      </w:pPr>
      <w:r w:rsidRPr="00FB249F">
        <w:t xml:space="preserve">Despite this, our water use to date has not been effectively measured, analysed and reported at the national level. We have a good idea of how much water has been legally allocated for use through consents, so can estimate the maximum potential pressure our water use can exert on the freshwater system, but we cannot estimate the actual pressure. The Ministry for the Environment and Stats NZ most recently reported the potential impacts of water allocation on river and streamflows in </w:t>
      </w:r>
      <w:hyperlink r:id="rId20" w:history="1">
        <w:r w:rsidRPr="00FB249F">
          <w:rPr>
            <w:rStyle w:val="Hyperlink"/>
            <w:i/>
            <w:iCs/>
          </w:rPr>
          <w:t>Our freshwater 2020</w:t>
        </w:r>
      </w:hyperlink>
      <w:r w:rsidRPr="00FB249F">
        <w:rPr>
          <w:rStyle w:val="Hyperlink"/>
          <w:i/>
          <w:iCs/>
        </w:rPr>
        <w:t xml:space="preserve"> </w:t>
      </w:r>
      <w:r w:rsidRPr="00FB249F">
        <w:t xml:space="preserve">(Ministry for the Environment &amp; Stats NZ, 2020), using allocation data and National Institute of </w:t>
      </w:r>
      <w:r w:rsidR="000700B3">
        <w:t>Water</w:t>
      </w:r>
      <w:r w:rsidR="000700B3" w:rsidRPr="00FB249F">
        <w:t xml:space="preserve"> </w:t>
      </w:r>
      <w:r w:rsidRPr="00FB249F">
        <w:t>and Atmospheric Research (NIWA) streamflow depletion models.</w:t>
      </w:r>
    </w:p>
    <w:p w14:paraId="72EC71C0" w14:textId="6D99031F" w:rsidR="00E2203D" w:rsidRPr="00FB249F" w:rsidRDefault="00E2203D" w:rsidP="00E2203D">
      <w:pPr>
        <w:pStyle w:val="BodyText"/>
      </w:pPr>
      <w:r w:rsidRPr="00FB249F">
        <w:t>Owing to the tightening of requirements under the Resource Management (Measurement and Reporting of Water Takes) Regulations 2010 (as amended in 2016 and 2020), and initiatives of some regional councils, measured water abstraction data is becoming more readily available. While it will be some time before useable datasets are available for all regional councils, this case study aims to demonstrate some of the insights that can be drawn from these data, by using abstraction datasets obtained from Greater Wellington and Horizons Regional Councils for the three years from June 2015 to June 2018.</w:t>
      </w:r>
    </w:p>
    <w:p w14:paraId="73D4CE27" w14:textId="66607C66" w:rsidR="00E2203D" w:rsidRPr="00FB249F" w:rsidRDefault="001C3C0B" w:rsidP="00E2203D">
      <w:pPr>
        <w:pStyle w:val="BodyText"/>
      </w:pPr>
      <w:r>
        <w:t>M</w:t>
      </w:r>
      <w:r w:rsidR="00E2203D" w:rsidRPr="00FB249F">
        <w:t xml:space="preserve">ethods used </w:t>
      </w:r>
      <w:r w:rsidR="00247FD3">
        <w:t xml:space="preserve">for </w:t>
      </w:r>
      <w:r w:rsidR="00E2203D" w:rsidRPr="00FB249F">
        <w:t xml:space="preserve">previous environmental reporting </w:t>
      </w:r>
      <w:r w:rsidR="00247FD3">
        <w:t xml:space="preserve">have </w:t>
      </w:r>
      <w:r w:rsidR="00E2203D" w:rsidRPr="00FB249F">
        <w:t>used</w:t>
      </w:r>
      <w:r w:rsidR="0058771B" w:rsidRPr="00FB249F">
        <w:t> </w:t>
      </w:r>
      <w:r w:rsidR="00E2203D" w:rsidRPr="00FB249F">
        <w:t xml:space="preserve">maximum consented abstraction rates to calculate the maximum potential impact of consented water use on river and stream flows. </w:t>
      </w:r>
      <w:r w:rsidR="0009641F">
        <w:t>Previous assessments have</w:t>
      </w:r>
      <w:r w:rsidR="00E2203D" w:rsidRPr="00FB249F">
        <w:t xml:space="preserve"> </w:t>
      </w:r>
      <w:r w:rsidR="0009641F" w:rsidRPr="00FB249F">
        <w:t>compar</w:t>
      </w:r>
      <w:r w:rsidR="0009641F">
        <w:t>ed</w:t>
      </w:r>
      <w:r w:rsidR="0009641F" w:rsidRPr="00FB249F">
        <w:t xml:space="preserve"> </w:t>
      </w:r>
      <w:r w:rsidR="00E2203D" w:rsidRPr="00FB249F">
        <w:t xml:space="preserve">these calculations to available estimates of long-term natural median streamflow, </w:t>
      </w:r>
      <w:r w:rsidR="004D28DB">
        <w:t>which has</w:t>
      </w:r>
      <w:r w:rsidR="00E2203D" w:rsidRPr="00FB249F">
        <w:t xml:space="preserve"> provide</w:t>
      </w:r>
      <w:r w:rsidR="004D28DB">
        <w:t>d</w:t>
      </w:r>
      <w:r w:rsidR="00E2203D" w:rsidRPr="00FB249F">
        <w:t xml:space="preserve"> useful insights into the </w:t>
      </w:r>
      <w:r w:rsidR="00E2203D" w:rsidRPr="00FB249F">
        <w:rPr>
          <w:i/>
          <w:iCs/>
        </w:rPr>
        <w:t>potential</w:t>
      </w:r>
      <w:r w:rsidR="00E2203D" w:rsidRPr="00FB249F">
        <w:t xml:space="preserve"> magnitude of streamflow depletion effects experienced by individual rivers and streams at the </w:t>
      </w:r>
      <w:r w:rsidR="00E2203D" w:rsidRPr="00FB249F">
        <w:rPr>
          <w:i/>
          <w:iCs/>
        </w:rPr>
        <w:t>annual</w:t>
      </w:r>
      <w:r w:rsidR="00E2203D" w:rsidRPr="00FB249F">
        <w:t xml:space="preserve"> scale. This case study </w:t>
      </w:r>
      <w:r w:rsidR="00924DC3">
        <w:t xml:space="preserve">builds on these methods </w:t>
      </w:r>
      <w:r w:rsidR="004A5708">
        <w:t xml:space="preserve">by </w:t>
      </w:r>
      <w:r w:rsidR="004A5708" w:rsidRPr="00FB249F">
        <w:t>us</w:t>
      </w:r>
      <w:r w:rsidR="004A5708">
        <w:t>ing</w:t>
      </w:r>
      <w:r w:rsidR="004A5708" w:rsidRPr="00FB249F">
        <w:t xml:space="preserve"> </w:t>
      </w:r>
      <w:r w:rsidR="00E2203D" w:rsidRPr="00FB249F">
        <w:t xml:space="preserve">measured </w:t>
      </w:r>
      <w:r w:rsidR="00924DC3">
        <w:t xml:space="preserve">abstraction and flow </w:t>
      </w:r>
      <w:r w:rsidR="00E2203D" w:rsidRPr="00FB249F">
        <w:t xml:space="preserve">data provided by Greater Wellington and Horizons regional councils to </w:t>
      </w:r>
      <w:r w:rsidR="00D60323">
        <w:t xml:space="preserve">derive </w:t>
      </w:r>
      <w:r w:rsidR="004B416B">
        <w:t>more meaningful insights</w:t>
      </w:r>
      <w:r w:rsidR="00E2203D" w:rsidRPr="00FB249F">
        <w:t xml:space="preserve">. </w:t>
      </w:r>
    </w:p>
    <w:p w14:paraId="45F5B4AA" w14:textId="58E6151F" w:rsidR="00E2203D" w:rsidRPr="00FB249F" w:rsidRDefault="00E2203D" w:rsidP="00E2203D">
      <w:pPr>
        <w:pStyle w:val="BodyText"/>
      </w:pPr>
      <w:r w:rsidRPr="00FB249F">
        <w:t xml:space="preserve">First, it uses daily measured abstraction rates to estimate the </w:t>
      </w:r>
      <w:r w:rsidRPr="003C3DA0">
        <w:rPr>
          <w:i/>
          <w:iCs/>
        </w:rPr>
        <w:t>actual</w:t>
      </w:r>
      <w:r w:rsidRPr="00FB249F">
        <w:t xml:space="preserve"> impact of water use on</w:t>
      </w:r>
      <w:r w:rsidR="0058771B" w:rsidRPr="00FB249F">
        <w:t> </w:t>
      </w:r>
      <w:r w:rsidRPr="00FB249F">
        <w:t xml:space="preserve">river and stream flows, and second, it compares these estimates to daily measured streamflows. By connecting these two datasets, the new analyses were able to estimate the </w:t>
      </w:r>
      <w:r w:rsidR="00040742">
        <w:t>proportion of flow removed</w:t>
      </w:r>
      <w:r w:rsidR="00882517">
        <w:t xml:space="preserve"> from rivers and streams</w:t>
      </w:r>
      <w:r w:rsidRPr="00FB249F">
        <w:t xml:space="preserve"> </w:t>
      </w:r>
      <w:r w:rsidR="001447E8">
        <w:t>on</w:t>
      </w:r>
      <w:r w:rsidR="001447E8" w:rsidRPr="00FB249F">
        <w:t xml:space="preserve"> </w:t>
      </w:r>
      <w:r w:rsidRPr="00FB249F">
        <w:t>every day of the three-year study period, providing much more precise insights into depletion pressures than previously possible.</w:t>
      </w:r>
    </w:p>
    <w:p w14:paraId="5F6285DB" w14:textId="47A08C7E" w:rsidR="00A90507" w:rsidRDefault="00616DFD" w:rsidP="00616DFD">
      <w:pPr>
        <w:pStyle w:val="BodyText"/>
        <w:spacing w:before="240"/>
      </w:pPr>
      <w:r w:rsidRPr="00FB249F">
        <w:lastRenderedPageBreak/>
        <w:t xml:space="preserve">The case study achieved its primary objective, which was to demonstrate viable methodologies for estimating the streamflow depletion effects of </w:t>
      </w:r>
      <w:r w:rsidR="00E723CA">
        <w:t>measured</w:t>
      </w:r>
      <w:r w:rsidR="00E723CA" w:rsidRPr="00FB249F">
        <w:t xml:space="preserve"> </w:t>
      </w:r>
      <w:r w:rsidRPr="00FB249F">
        <w:t>water abstractions at a more meaningful temporal scale than previous methods. These analyses are repeatable and can be</w:t>
      </w:r>
      <w:r w:rsidR="00347743">
        <w:t> </w:t>
      </w:r>
      <w:r w:rsidRPr="00FB249F">
        <w:t xml:space="preserve">used for other regions as more data become available, and </w:t>
      </w:r>
      <w:r w:rsidR="00613EC5">
        <w:t xml:space="preserve">the methods </w:t>
      </w:r>
      <w:r w:rsidRPr="00FB249F">
        <w:t xml:space="preserve">can be </w:t>
      </w:r>
      <w:r w:rsidR="002D24B0">
        <w:t>refined over time</w:t>
      </w:r>
      <w:r w:rsidRPr="00FB249F">
        <w:t>. The case study also clarified existing</w:t>
      </w:r>
      <w:r w:rsidR="00347743">
        <w:t> </w:t>
      </w:r>
      <w:r w:rsidRPr="00FB249F">
        <w:t xml:space="preserve">barriers to wider implementation of the analyses and identified opportunities for improvements to the methods. </w:t>
      </w:r>
    </w:p>
    <w:p w14:paraId="51D4BFBD" w14:textId="75CF93BE" w:rsidR="00796A6F" w:rsidRPr="00FB249F" w:rsidRDefault="00616DFD" w:rsidP="00616DFD">
      <w:pPr>
        <w:pStyle w:val="BodyText"/>
        <w:spacing w:before="240"/>
      </w:pPr>
      <w:r w:rsidRPr="00FB249F">
        <w:t>These findings will provide useful insights that can feed into national guidance on water use measurement, reporting, and data protocols, and development of reliable tools that regional councils can use for freshwater quantity accounting under the National Policy Statement for Freshwater Management 2020.</w:t>
      </w:r>
    </w:p>
    <w:p w14:paraId="409F4D6C" w14:textId="641095ED" w:rsidR="00504BBA" w:rsidRPr="00FB249F" w:rsidRDefault="00504BBA">
      <w:pPr>
        <w:spacing w:before="0" w:after="200" w:line="276" w:lineRule="auto"/>
        <w:jc w:val="left"/>
      </w:pPr>
      <w:r w:rsidRPr="00FB249F">
        <w:br w:type="page"/>
      </w:r>
    </w:p>
    <w:p w14:paraId="0415DC38" w14:textId="77777777" w:rsidR="00E03267" w:rsidRPr="00FB249F" w:rsidRDefault="00E03267" w:rsidP="00CF1904">
      <w:pPr>
        <w:pStyle w:val="Heading1"/>
      </w:pPr>
      <w:bookmarkStart w:id="3" w:name="_Toc88208517"/>
      <w:bookmarkStart w:id="4" w:name="_Toc90312362"/>
      <w:r w:rsidRPr="00FB249F">
        <w:lastRenderedPageBreak/>
        <w:t>Background</w:t>
      </w:r>
      <w:bookmarkEnd w:id="3"/>
      <w:bookmarkEnd w:id="4"/>
    </w:p>
    <w:p w14:paraId="55AE0697" w14:textId="1DAF69F4" w:rsidR="00E03267" w:rsidRPr="00FB249F" w:rsidRDefault="00E03267" w:rsidP="00E03267">
      <w:pPr>
        <w:pStyle w:val="Heading2"/>
        <w:spacing w:before="240"/>
      </w:pPr>
      <w:bookmarkStart w:id="5" w:name="_Toc88208518"/>
      <w:bookmarkStart w:id="6" w:name="_Toc90312363"/>
      <w:r w:rsidRPr="00FB249F">
        <w:t>Importance and potential consequences of water use</w:t>
      </w:r>
      <w:bookmarkEnd w:id="5"/>
      <w:bookmarkEnd w:id="6"/>
    </w:p>
    <w:p w14:paraId="103FBC2E" w14:textId="366A6694" w:rsidR="00E03267" w:rsidRPr="00FB249F" w:rsidRDefault="00E03267" w:rsidP="00E03267">
      <w:pPr>
        <w:pStyle w:val="BodyText"/>
      </w:pPr>
      <w:r w:rsidRPr="00FB249F">
        <w:t>The use of freshwater supports our economy and way of life in Aotearoa New Zealand. In te</w:t>
      </w:r>
      <w:r w:rsidR="00742D12" w:rsidRPr="00FB249F">
        <w:t> </w:t>
      </w:r>
      <w:r w:rsidRPr="00FB249F">
        <w:t>ao</w:t>
      </w:r>
      <w:r w:rsidR="00402C40" w:rsidRPr="00FB249F">
        <w:t> </w:t>
      </w:r>
      <w:r w:rsidRPr="00FB249F">
        <w:t>Māori, water has vital intrinsic importance (Te Mana o te Wai) that prioritises the health of</w:t>
      </w:r>
      <w:r w:rsidR="00402C40" w:rsidRPr="00FB249F">
        <w:t> </w:t>
      </w:r>
      <w:r w:rsidRPr="00FB249F">
        <w:t>water and people above its other uses</w:t>
      </w:r>
      <w:r w:rsidR="004606AA">
        <w:t xml:space="preserve"> (see </w:t>
      </w:r>
      <w:hyperlink w:anchor="_Water_allocation_and" w:history="1">
        <w:r w:rsidR="004606AA" w:rsidRPr="00054600">
          <w:rPr>
            <w:rStyle w:val="Hyperlink"/>
          </w:rPr>
          <w:t>Water allocation and accounting</w:t>
        </w:r>
      </w:hyperlink>
      <w:r w:rsidR="004606AA">
        <w:t>)</w:t>
      </w:r>
      <w:r w:rsidRPr="00FB249F">
        <w:t>. This concept is central to how we manage the surface water, and groundwater taken from aquifers, we rely on for drinking, domestic, and industrial uses, irrigation for agriculture, and for power – most of our electricity is provided by hydroelectric power schemes that capture renewable energy from freshwater as it moves from the mountains to the sea (Ministry of Business, Innovation &amp; Employment, 2020). Alongside these uses, freshwater also provides for recreation, fishing and other social and cultural opportunities essential for the wellbeing of all of our communities.</w:t>
      </w:r>
    </w:p>
    <w:p w14:paraId="7822E4B5" w14:textId="32FE6CCC" w:rsidR="00E03267" w:rsidRPr="00FB249F" w:rsidRDefault="00E03267" w:rsidP="00E03267">
      <w:pPr>
        <w:pStyle w:val="BodyText"/>
      </w:pPr>
      <w:r w:rsidRPr="00FB249F">
        <w:t>However, removing water can reduce the flow of water in rivers and streams, and decrease the level of groundwater in aquifers. So can diverting, capturing and storing freshwater for hydroelectric power generation. Surface- and groundwater are part of the same hydrological system, so removing water from aquifers can reduce river and stream flows, and vice versa. Even in areas where removing, diverting or storing water do not reduce the overall streamflow, these activities can still alter natural seasonal streamflow patterns. Greater impacts on streamflow occur when larger volumes of water are removed, diverted or captured, particularly in dry periods (Ministry for the Environment &amp; Stats NZ, 2020). All these activities can decrease the mauri of our waterways.</w:t>
      </w:r>
    </w:p>
    <w:p w14:paraId="6DACF634" w14:textId="44169E98" w:rsidR="00B9364A" w:rsidRDefault="00E03267" w:rsidP="00E03267">
      <w:pPr>
        <w:pStyle w:val="BodyText"/>
      </w:pPr>
      <w:r w:rsidRPr="00FB249F">
        <w:t xml:space="preserve">Reduced river and stream flows and groundwater levels can have several consequences. Unnaturally low streamflow reduces the habitat for freshwater fish and other species that depend on available freshwater. For instance, </w:t>
      </w:r>
      <w:bookmarkStart w:id="7" w:name="_Hlk67908397"/>
      <w:r w:rsidRPr="00FB249F">
        <w:t>taking water can reduce the flows and number of channels in braided rivers, which affects some threatened birds like wrybill and kakī (black stilt)</w:t>
      </w:r>
      <w:bookmarkEnd w:id="7"/>
      <w:r w:rsidRPr="00FB249F">
        <w:t>. Reduced streamflow can also lead to secondary impacts on freshwater ecosystems; lower flows can increase the concentrations of nutrients, pathogens and other pollutants in rivers, and can raise the temperature of the water. Increased nutrients combined with higher temperatures make rivers more susceptible to algal blooms. All of these effects degrade freshwater ecosystems and habitats, and can make waterways unfit for recreational and cultural uses. Finally, reduced streamflow and groundwater levels may mean that less water is</w:t>
      </w:r>
      <w:r w:rsidR="00347743">
        <w:t> </w:t>
      </w:r>
      <w:r w:rsidRPr="00FB249F">
        <w:t>available for domestic supply, sanitation, or commercial uses such as irrigation that rely on these sources (Ministry for the Environment &amp; Stats NZ, 2020; see figure 1).</w:t>
      </w:r>
    </w:p>
    <w:p w14:paraId="32CF09E8" w14:textId="77777777" w:rsidR="00B9364A" w:rsidRDefault="00B9364A">
      <w:pPr>
        <w:spacing w:before="0" w:after="200" w:line="276" w:lineRule="auto"/>
        <w:jc w:val="left"/>
      </w:pPr>
      <w:r>
        <w:br w:type="page"/>
      </w:r>
    </w:p>
    <w:p w14:paraId="52F04068" w14:textId="17B40E80" w:rsidR="004410F0" w:rsidRDefault="0031097B" w:rsidP="00B9364A">
      <w:pPr>
        <w:pStyle w:val="Figureheading"/>
      </w:pPr>
      <w:bookmarkStart w:id="8" w:name="_Toc88208541"/>
      <w:bookmarkStart w:id="9" w:name="_Toc90312403"/>
      <w:r>
        <w:rPr>
          <w:noProof/>
        </w:rPr>
        <w:lastRenderedPageBreak/>
        <w:drawing>
          <wp:anchor distT="0" distB="0" distL="114300" distR="114300" simplePos="0" relativeHeight="251658241" behindDoc="1" locked="0" layoutInCell="1" allowOverlap="1" wp14:anchorId="0EB1287A" wp14:editId="508B1B19">
            <wp:simplePos x="0" y="0"/>
            <wp:positionH relativeFrom="column">
              <wp:posOffset>-1080135</wp:posOffset>
            </wp:positionH>
            <wp:positionV relativeFrom="paragraph">
              <wp:posOffset>236855</wp:posOffset>
            </wp:positionV>
            <wp:extent cx="7585075" cy="8703945"/>
            <wp:effectExtent l="0" t="0" r="0" b="1905"/>
            <wp:wrapTight wrapText="bothSides">
              <wp:wrapPolygon edited="0">
                <wp:start x="0" y="0"/>
                <wp:lineTo x="0" y="21557"/>
                <wp:lineTo x="21537" y="21557"/>
                <wp:lineTo x="21537"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1">
                      <a:extLst>
                        <a:ext uri="{28A0092B-C50C-407E-A947-70E740481C1C}">
                          <a14:useLocalDpi xmlns:a14="http://schemas.microsoft.com/office/drawing/2010/main" val="0"/>
                        </a:ext>
                      </a:extLst>
                    </a:blip>
                    <a:srcRect t="15909" b="2935"/>
                    <a:stretch/>
                  </pic:blipFill>
                  <pic:spPr bwMode="auto">
                    <a:xfrm>
                      <a:off x="0" y="0"/>
                      <a:ext cx="7585075" cy="87039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0B67" w:rsidRPr="00FB249F">
        <w:t xml:space="preserve">Figure 1: </w:t>
      </w:r>
      <w:r w:rsidR="002D0B67" w:rsidRPr="00FB249F">
        <w:tab/>
        <w:t>Effects of taking water</w:t>
      </w:r>
      <w:bookmarkEnd w:id="8"/>
      <w:bookmarkEnd w:id="9"/>
    </w:p>
    <w:p w14:paraId="7162709B" w14:textId="33DBF0DD" w:rsidR="002D0B67" w:rsidRPr="00FB249F" w:rsidRDefault="002D0B67" w:rsidP="00A92328">
      <w:pPr>
        <w:pStyle w:val="Source"/>
      </w:pPr>
      <w:r w:rsidRPr="00FB249F">
        <w:t xml:space="preserve">Source: </w:t>
      </w:r>
      <w:hyperlink r:id="rId22" w:history="1">
        <w:r w:rsidRPr="00FB249F">
          <w:rPr>
            <w:rStyle w:val="Hyperlink"/>
          </w:rPr>
          <w:t>Environment Aotearoa 2019</w:t>
        </w:r>
      </w:hyperlink>
    </w:p>
    <w:p w14:paraId="41E9EC40" w14:textId="77777777" w:rsidR="006C4B2E" w:rsidRPr="00FB249F" w:rsidRDefault="006C4B2E" w:rsidP="006C4B2E">
      <w:pPr>
        <w:pStyle w:val="Heading2"/>
      </w:pPr>
      <w:bookmarkStart w:id="10" w:name="_Water_allocation_and"/>
      <w:bookmarkStart w:id="11" w:name="_Toc88208519"/>
      <w:bookmarkStart w:id="12" w:name="_Toc90312364"/>
      <w:bookmarkEnd w:id="10"/>
      <w:r w:rsidRPr="00FB249F">
        <w:lastRenderedPageBreak/>
        <w:t>Water allocation and accounting</w:t>
      </w:r>
      <w:bookmarkEnd w:id="11"/>
      <w:bookmarkEnd w:id="12"/>
    </w:p>
    <w:p w14:paraId="46191E07" w14:textId="5006D6DC" w:rsidR="006C4B2E" w:rsidRPr="00FB249F" w:rsidRDefault="006C4B2E" w:rsidP="006C4B2E">
      <w:pPr>
        <w:pStyle w:val="BodyText"/>
      </w:pPr>
      <w:r w:rsidRPr="00FB249F">
        <w:t>Regional authorities are responsible for allocating water under the Resource Management Act 1991 (RMA)</w:t>
      </w:r>
      <w:r w:rsidR="004E54F2">
        <w:t>,</w:t>
      </w:r>
      <w:r w:rsidRPr="00FB249F">
        <w:t xml:space="preserve"> and granting consents (permits) to abstract freshwater for specific uses through the resource consent process. Consents may have specified conditions, such as how much water can be abstracted from where, at what rate, and at what times. Regional authorities can</w:t>
      </w:r>
      <w:r w:rsidR="007A4433">
        <w:t> </w:t>
      </w:r>
      <w:r w:rsidRPr="00FB249F">
        <w:t>limit the total consented allocation within catchments or water management zones. They can also permit abstractions that are under specified limits (by rate and/or volume) without consent, and these limits are sometimes specific to what the water is used for.</w:t>
      </w:r>
    </w:p>
    <w:p w14:paraId="4CA1D705" w14:textId="70D46762" w:rsidR="006C4B2E" w:rsidRPr="00FB249F" w:rsidRDefault="006C4B2E" w:rsidP="006C4B2E">
      <w:pPr>
        <w:pStyle w:val="BodyText"/>
      </w:pPr>
      <w:r w:rsidRPr="00FB249F">
        <w:t xml:space="preserve">Given the potential consequences of water use for aquatic ecosystems and secure reliable water supplies, it is vital water is used efficiently and allocated equitably. To enable this, the National Policy Statement for Freshwater Management 2020 (NPS-FM) requires that regional </w:t>
      </w:r>
      <w:r w:rsidR="00786E7B">
        <w:t>authorities</w:t>
      </w:r>
      <w:r w:rsidR="00786E7B" w:rsidRPr="00FB249F">
        <w:t xml:space="preserve"> </w:t>
      </w:r>
      <w:r w:rsidRPr="00FB249F">
        <w:t>set environmental targets for river and stream flows, and river, lake and groundwater levels, and that they set limits on water abstraction to achieve these targets. These measures must be implemented in a way that gives effect to Te Mana o te Wai</w:t>
      </w:r>
      <w:r w:rsidR="0073545B" w:rsidRPr="0073545B">
        <w:t xml:space="preserve"> Wai (as defined in </w:t>
      </w:r>
      <w:hyperlink r:id="rId23" w:history="1">
        <w:r w:rsidR="0073545B" w:rsidRPr="000A250A">
          <w:rPr>
            <w:rStyle w:val="Hyperlink"/>
          </w:rPr>
          <w:t>part 1.3 of the NPS-FM</w:t>
        </w:r>
      </w:hyperlink>
      <w:r w:rsidR="0073545B" w:rsidRPr="0073545B">
        <w:t>)</w:t>
      </w:r>
      <w:r w:rsidRPr="00FB249F">
        <w:t xml:space="preserve">, by ensuring the health and wellbeing of water sources is protected and human health needs are provided for, before enabling other uses of water. To provide the information required to set targets, every regional council is required to establish, operate and maintain freshwater quantity accounting systems for all freshwater bodies in its region. These record information on the amount of water abstracted, the proportion abstracted for each major type of use, and the proportion abstracted relative to abstraction limits. NPS-FM policy directs regional councils to: </w:t>
      </w:r>
    </w:p>
    <w:p w14:paraId="77C2CAE8" w14:textId="77777777" w:rsidR="006C4B2E" w:rsidRPr="00FB249F" w:rsidRDefault="006C4B2E" w:rsidP="006C4B2E">
      <w:pPr>
        <w:pStyle w:val="Bullet"/>
        <w:tabs>
          <w:tab w:val="num" w:pos="397"/>
        </w:tabs>
      </w:pPr>
      <w:r w:rsidRPr="00FB249F">
        <w:t>implement these measures to ensure water is allocated and used efficiently</w:t>
      </w:r>
    </w:p>
    <w:p w14:paraId="06EF1C4C" w14:textId="77777777" w:rsidR="006C4B2E" w:rsidRPr="00FB249F" w:rsidRDefault="006C4B2E" w:rsidP="006C4B2E">
      <w:pPr>
        <w:pStyle w:val="Bullet"/>
        <w:tabs>
          <w:tab w:val="num" w:pos="397"/>
        </w:tabs>
      </w:pPr>
      <w:r w:rsidRPr="00FB249F">
        <w:t xml:space="preserve">phase out consents that grant water in excess of abstraction limits (over-allocation) </w:t>
      </w:r>
    </w:p>
    <w:p w14:paraId="1E1D4662" w14:textId="77777777" w:rsidR="006C4B2E" w:rsidRPr="00FB249F" w:rsidRDefault="006C4B2E" w:rsidP="006C4B2E">
      <w:pPr>
        <w:pStyle w:val="Bullet"/>
        <w:tabs>
          <w:tab w:val="num" w:pos="397"/>
        </w:tabs>
      </w:pPr>
      <w:r w:rsidRPr="00FB249F">
        <w:t>avoid future over-allocation.</w:t>
      </w:r>
    </w:p>
    <w:p w14:paraId="6421EEF9" w14:textId="63D1F42D" w:rsidR="006C4B2E" w:rsidRPr="00FB249F" w:rsidRDefault="006C4B2E" w:rsidP="006C4B2E">
      <w:pPr>
        <w:pStyle w:val="BodyText"/>
      </w:pPr>
      <w:r w:rsidRPr="00FB249F">
        <w:t>Holders of consents to abstract water for consumptive uses are required by the Resource Management (Measurement and Reporting of Water Takes) Regulations 2010 (the 2010 regulations) to measure and report how much water they abstract if their use exceeds certain amounts. The regulations came into force in November 2010, but for existing consents the requirements were introduced in stages over the following six years, based on abstraction rates. Beginning in 2012, the regulations were applied to holders of consumptive water use consents that allowed water to be abstracted at a rate of 20 litres per second or more. In 2014, this extended to consents that allowed water to be abstracted at a rate of 10 litres per second or more, and finally in 2016, 5 litres per second or more. Under the requirements, consent holders must measure their water use every 15 minutes and submit these data to their regional council every day.</w:t>
      </w:r>
    </w:p>
    <w:p w14:paraId="04D9AA57" w14:textId="24FE0302" w:rsidR="006C4B2E" w:rsidRPr="00FB249F" w:rsidRDefault="006C4B2E" w:rsidP="006C4B2E">
      <w:pPr>
        <w:pStyle w:val="BodyText"/>
      </w:pPr>
      <w:r w:rsidRPr="00FB249F">
        <w:t>To improve the accuracy of water use monitoring, the 2010 regulations were amended in 2016 to require consent holders to install measuring devices, have them independently verified for accuracy, and submit their data electronically. Despite these requirements, in many cases the data supplied to regional councils has been of poor and irregular quality (Controller &amp; Auditor General, 2018). The regulations were amended on 3 September 2020 (the 2020 regulations) to</w:t>
      </w:r>
      <w:r w:rsidR="00347743">
        <w:t> </w:t>
      </w:r>
      <w:r w:rsidRPr="00FB249F">
        <w:t>introduce stricter requirements (including meters that can be accessed via telemetry), to ensure greater accuracy and consistency of measuring and reporting. It is hoped improved data will enable better national reporting, but data gaps will remain.</w:t>
      </w:r>
    </w:p>
    <w:p w14:paraId="2D6883F4" w14:textId="5D2A9A13" w:rsidR="006C4B2E" w:rsidRPr="00FB249F" w:rsidRDefault="006C4B2E" w:rsidP="006C4B2E">
      <w:pPr>
        <w:pStyle w:val="BodyText"/>
      </w:pPr>
      <w:r w:rsidRPr="00FB249F">
        <w:t xml:space="preserve">Councils can require consent holders who abstract less than 5 litres per second to monitor and report their water use, but as it is not required by the 2020 regulations, most councils do not require this. There is also no monitoring or reporting requirement for permitted abstractions </w:t>
      </w:r>
      <w:r w:rsidRPr="00FB249F">
        <w:lastRenderedPageBreak/>
        <w:t>that do not require consents (for example, for stock and domestic supply or minor irrigation activities). Some councils estimate and report this kind of permitted use using models based</w:t>
      </w:r>
      <w:r w:rsidR="00347743">
        <w:t> </w:t>
      </w:r>
      <w:r w:rsidRPr="00FB249F">
        <w:t>on assumptions about property and land-use types and likely consumption rates, but others do</w:t>
      </w:r>
      <w:r w:rsidR="00347743">
        <w:t> </w:t>
      </w:r>
      <w:r w:rsidRPr="00FB249F">
        <w:t>not report on this use at all. Therefore, many legal water abstractions, as well as non-permitted (illegal) abstractions, are not accounted for.</w:t>
      </w:r>
    </w:p>
    <w:p w14:paraId="1D9AF1E6" w14:textId="6A062ECF" w:rsidR="006C4B2E" w:rsidRPr="00FB249F" w:rsidRDefault="006C4B2E" w:rsidP="006C4B2E">
      <w:pPr>
        <w:pStyle w:val="Heading2"/>
      </w:pPr>
      <w:bookmarkStart w:id="13" w:name="_Understanding_the_effects"/>
      <w:bookmarkStart w:id="14" w:name="_Toc88208520"/>
      <w:bookmarkStart w:id="15" w:name="_Toc90312365"/>
      <w:bookmarkEnd w:id="13"/>
      <w:r w:rsidRPr="00FB249F">
        <w:t>Understanding the effects of water use on</w:t>
      </w:r>
      <w:r w:rsidR="00D279D7" w:rsidRPr="00FB249F">
        <w:t> </w:t>
      </w:r>
      <w:r w:rsidRPr="00FB249F">
        <w:t>river and stream flows</w:t>
      </w:r>
      <w:bookmarkEnd w:id="14"/>
      <w:bookmarkEnd w:id="15"/>
    </w:p>
    <w:p w14:paraId="5C3EB841" w14:textId="584516AF" w:rsidR="006C4B2E" w:rsidRPr="00FB249F" w:rsidRDefault="006C4B2E" w:rsidP="006C4B2E">
      <w:pPr>
        <w:pStyle w:val="BodyText"/>
      </w:pPr>
      <w:r w:rsidRPr="00FB249F">
        <w:t>The Ministry for the Environment and Stats NZ are required to regularly report on the state</w:t>
      </w:r>
      <w:r w:rsidR="00EE1723" w:rsidRPr="00FB249F">
        <w:t> </w:t>
      </w:r>
      <w:r w:rsidRPr="00FB249F">
        <w:t>(condition) of the freshwater environment under the Environmental Reporting Act 2015</w:t>
      </w:r>
      <w:r w:rsidR="00EE1723" w:rsidRPr="00FB249F">
        <w:t> </w:t>
      </w:r>
      <w:r w:rsidRPr="00FB249F">
        <w:t>(the</w:t>
      </w:r>
      <w:r w:rsidR="00EE1723" w:rsidRPr="00FB249F">
        <w:t> </w:t>
      </w:r>
      <w:r w:rsidRPr="00FB249F">
        <w:t>ERA 2015). The mandated reporting topics relating to water use are set out in the</w:t>
      </w:r>
      <w:r w:rsidR="00EE1723" w:rsidRPr="00FB249F">
        <w:t> </w:t>
      </w:r>
      <w:r w:rsidRPr="00FB249F">
        <w:t>Environmental Reporting (Topics for Environmental Reports) Regulations 2016, and include</w:t>
      </w:r>
      <w:r w:rsidR="00EE1723" w:rsidRPr="00FB249F">
        <w:t> </w:t>
      </w:r>
      <w:r w:rsidRPr="00FB249F">
        <w:t>the:</w:t>
      </w:r>
    </w:p>
    <w:p w14:paraId="6D2F7C30" w14:textId="77777777" w:rsidR="006C4B2E" w:rsidRPr="00FB249F" w:rsidRDefault="006C4B2E" w:rsidP="006C4B2E">
      <w:pPr>
        <w:pStyle w:val="Bullet"/>
        <w:tabs>
          <w:tab w:val="num" w:pos="397"/>
        </w:tabs>
      </w:pPr>
      <w:r w:rsidRPr="00FB249F">
        <w:t>state of freshwater quantity and flows</w:t>
      </w:r>
    </w:p>
    <w:p w14:paraId="51BC30D4" w14:textId="01714098" w:rsidR="006C4B2E" w:rsidRPr="00FB249F" w:rsidRDefault="006C4B2E" w:rsidP="006C4B2E">
      <w:pPr>
        <w:pStyle w:val="Bullet"/>
        <w:tabs>
          <w:tab w:val="num" w:pos="397"/>
        </w:tabs>
      </w:pPr>
      <w:r w:rsidRPr="00FB249F">
        <w:t>pressures on the state of the freshwater environment from abstractions and diversions of</w:t>
      </w:r>
      <w:r w:rsidR="00EE1723" w:rsidRPr="00FB249F">
        <w:t> </w:t>
      </w:r>
      <w:r w:rsidRPr="00FB249F">
        <w:t>water</w:t>
      </w:r>
    </w:p>
    <w:p w14:paraId="3BAA045E" w14:textId="77777777" w:rsidR="006C4B2E" w:rsidRPr="00FB249F" w:rsidRDefault="006C4B2E" w:rsidP="00E55C72">
      <w:pPr>
        <w:pStyle w:val="Bullet"/>
      </w:pPr>
      <w:r w:rsidRPr="00FB249F">
        <w:t>impacts of freshwater use on biodiversity and ecosystem processes, public health, the economy, culture and recreation.</w:t>
      </w:r>
    </w:p>
    <w:p w14:paraId="04764B57" w14:textId="77777777" w:rsidR="006C4B2E" w:rsidRPr="00FB249F" w:rsidRDefault="006C4B2E" w:rsidP="00E55C72">
      <w:pPr>
        <w:pStyle w:val="BodyText"/>
      </w:pPr>
      <w:r w:rsidRPr="00FB249F">
        <w:t xml:space="preserve">The Ministry and Stats NZ most recently reported on the freshwater environment in </w:t>
      </w:r>
      <w:hyperlink r:id="rId24" w:history="1">
        <w:r w:rsidRPr="00FB249F">
          <w:rPr>
            <w:rStyle w:val="Hyperlink"/>
            <w:i/>
          </w:rPr>
          <w:t>Our freshwater 2020</w:t>
        </w:r>
      </w:hyperlink>
      <w:r w:rsidRPr="00FB249F">
        <w:rPr>
          <w:rStyle w:val="Hyperlink"/>
          <w:i/>
        </w:rPr>
        <w:t xml:space="preserve"> </w:t>
      </w:r>
      <w:r w:rsidRPr="00FB249F">
        <w:t>(Ministry for the Environment &amp; Stats NZ, 2020).</w:t>
      </w:r>
    </w:p>
    <w:p w14:paraId="4934FD21" w14:textId="77777777" w:rsidR="006C4B2E" w:rsidRPr="00FB249F" w:rsidRDefault="006C4B2E" w:rsidP="00E55C72">
      <w:pPr>
        <w:pStyle w:val="BodyText"/>
      </w:pPr>
      <w:r w:rsidRPr="00FB249F">
        <w:t xml:space="preserve">Owing to the poor and inconsistent quality of data supplied by many consent holders, and inconsistencies between regional council datasets, accurate measured abstraction data has not been available from all regional authorities to date. This has prevented measured data being used to report on the effects of consumptive water use on freshwater resources. As a result, national environmental reporting has relied on water use consent information to estimate abstraction pressures. This information is available nationally, and can be used to determine: </w:t>
      </w:r>
    </w:p>
    <w:p w14:paraId="10DFC17E" w14:textId="77777777" w:rsidR="006C4B2E" w:rsidRPr="00FB249F" w:rsidRDefault="006C4B2E" w:rsidP="006C4B2E">
      <w:pPr>
        <w:pStyle w:val="Bullet"/>
        <w:tabs>
          <w:tab w:val="num" w:pos="397"/>
        </w:tabs>
      </w:pPr>
      <w:r w:rsidRPr="00FB249F">
        <w:t>where water abstraction has been consented</w:t>
      </w:r>
    </w:p>
    <w:p w14:paraId="730EC4D4" w14:textId="77777777" w:rsidR="006C4B2E" w:rsidRPr="00FB249F" w:rsidRDefault="006C4B2E" w:rsidP="006C4B2E">
      <w:pPr>
        <w:pStyle w:val="Bullet"/>
        <w:tabs>
          <w:tab w:val="num" w:pos="397"/>
        </w:tabs>
      </w:pPr>
      <w:r w:rsidRPr="00FB249F">
        <w:t>the maximum amount of water that has been allocated by each consent</w:t>
      </w:r>
    </w:p>
    <w:p w14:paraId="18A1F2DA" w14:textId="77777777" w:rsidR="006C4B2E" w:rsidRPr="00FB249F" w:rsidRDefault="006C4B2E" w:rsidP="006C4B2E">
      <w:pPr>
        <w:pStyle w:val="Bullet"/>
        <w:tabs>
          <w:tab w:val="num" w:pos="397"/>
        </w:tabs>
      </w:pPr>
      <w:r w:rsidRPr="00FB249F">
        <w:t xml:space="preserve">what the water is used for. </w:t>
      </w:r>
    </w:p>
    <w:p w14:paraId="17EE5629" w14:textId="08915391" w:rsidR="006C4B2E" w:rsidRPr="00FB249F" w:rsidRDefault="006C4B2E" w:rsidP="006C4B2E">
      <w:pPr>
        <w:pStyle w:val="BodyText"/>
      </w:pPr>
      <w:r w:rsidRPr="00FB249F">
        <w:t>However</w:t>
      </w:r>
      <w:r w:rsidR="006D27ED">
        <w:t>,</w:t>
      </w:r>
      <w:r w:rsidRPr="00FB249F">
        <w:t xml:space="preserve"> national data are not available to determine these statistics for permitted non-consented abstractions, as these abstractions are generally not registered, and are only estimated by some regional authorities. Consent data therefore cannot be used to estimate all</w:t>
      </w:r>
      <w:r w:rsidR="00E55C72" w:rsidRPr="00FB249F">
        <w:t> </w:t>
      </w:r>
      <w:r w:rsidRPr="00FB249F">
        <w:t>abstraction pressures.</w:t>
      </w:r>
    </w:p>
    <w:p w14:paraId="2D6C28E1" w14:textId="5EFACD70" w:rsidR="006A0214" w:rsidRDefault="006C4B2E" w:rsidP="006C4B2E">
      <w:pPr>
        <w:pStyle w:val="BodyText"/>
      </w:pPr>
      <w:r w:rsidRPr="00FB249F">
        <w:t xml:space="preserve">Nationwide consent information was compiled by the National Institute of </w:t>
      </w:r>
      <w:r w:rsidR="000700B3">
        <w:t>Water</w:t>
      </w:r>
      <w:r w:rsidR="000700B3" w:rsidRPr="00FB249F">
        <w:t xml:space="preserve"> </w:t>
      </w:r>
      <w:r w:rsidRPr="00FB249F">
        <w:t>and Atmospheric Research (NIWA)</w:t>
      </w:r>
      <w:r w:rsidR="006D27ED">
        <w:t>,</w:t>
      </w:r>
      <w:r w:rsidRPr="00FB249F">
        <w:t xml:space="preserve"> and used to calculate the potential reduction of streamflow as a result of all upstream consented allocation for every river segment in Aotearoa for July 2013–June 2014 and July 2017–June 2018 (Booker et al, 2016; Booker &amp; Henderson, 2019). The 2019 analysis estimated that abstracting water for irrigation had the greatest potential to cause widespread reductions in river and stream flows compared with other water uses, and </w:t>
      </w:r>
      <w:r w:rsidRPr="00FB249F">
        <w:lastRenderedPageBreak/>
        <w:t>that abstracting water for ‘consumptive’ hydroelectricity generation</w:t>
      </w:r>
      <w:r w:rsidRPr="00FB249F">
        <w:rPr>
          <w:rStyle w:val="FootnoteReference"/>
        </w:rPr>
        <w:footnoteReference w:id="2"/>
      </w:r>
      <w:r w:rsidRPr="00FB249F">
        <w:t xml:space="preserve"> had the potential to significantly reduce streamflow in some large rivers. In some parts of Canterbury and Hawke’s Bay the accumulated streamflow depletion modelled based on the consented maximum abstraction rates for non-hydropower uses exceeded the estimated long-term natural median streamflow</w:t>
      </w:r>
      <w:r w:rsidRPr="00FB249F">
        <w:rPr>
          <w:rStyle w:val="FootnoteReference"/>
        </w:rPr>
        <w:footnoteReference w:id="3"/>
      </w:r>
      <w:r w:rsidRPr="00FB249F">
        <w:t xml:space="preserve"> (see values &gt;1 on figure 2). These estimates are based on the conservative assumption that groundwater abstractions </w:t>
      </w:r>
      <w:r w:rsidR="00D62961">
        <w:t xml:space="preserve">only </w:t>
      </w:r>
      <w:r w:rsidRPr="00FB249F">
        <w:t>deplete flow from rivers</w:t>
      </w:r>
      <w:r w:rsidR="00E55C72" w:rsidRPr="00FB249F">
        <w:t> </w:t>
      </w:r>
      <w:r w:rsidRPr="00FB249F">
        <w:t>and streams</w:t>
      </w:r>
      <w:r w:rsidR="002853F7">
        <w:t xml:space="preserve"> </w:t>
      </w:r>
      <w:r w:rsidR="000A544D">
        <w:t>up to two</w:t>
      </w:r>
      <w:r w:rsidR="0046752B">
        <w:t xml:space="preserve"> kilometres away</w:t>
      </w:r>
      <w:r w:rsidRPr="00FB249F">
        <w:t>, which happens relatively quickly. In reality</w:t>
      </w:r>
      <w:r w:rsidR="00653F9E">
        <w:t>,</w:t>
      </w:r>
      <w:r w:rsidRPr="00FB249F">
        <w:t xml:space="preserve"> many of these abstractions, particularly the deeper ones, would cause some or all of their flow depletion in rivers and streams much farther away and over considerably longer timeframes.</w:t>
      </w:r>
    </w:p>
    <w:p w14:paraId="00EC9768" w14:textId="77777777" w:rsidR="006A0214" w:rsidRDefault="006A0214">
      <w:pPr>
        <w:spacing w:before="0" w:after="200" w:line="276" w:lineRule="auto"/>
        <w:jc w:val="left"/>
      </w:pPr>
      <w:r>
        <w:br w:type="page"/>
      </w:r>
    </w:p>
    <w:p w14:paraId="7C98393D" w14:textId="5BE43FE4" w:rsidR="006A0214" w:rsidRDefault="00E94C71" w:rsidP="006A0214">
      <w:pPr>
        <w:pStyle w:val="Figureheading"/>
      </w:pPr>
      <w:bookmarkStart w:id="16" w:name="_Toc88208542"/>
      <w:bookmarkStart w:id="17" w:name="_Toc90312404"/>
      <w:r w:rsidRPr="00FB249F">
        <w:lastRenderedPageBreak/>
        <w:t xml:space="preserve">Figure 2: </w:t>
      </w:r>
      <w:r w:rsidRPr="00FB249F">
        <w:tab/>
        <w:t>Modelled potential streamflow reduction due to upstream consented abstractions for</w:t>
      </w:r>
      <w:r w:rsidR="00125206" w:rsidRPr="00FB249F">
        <w:t> </w:t>
      </w:r>
      <w:r w:rsidRPr="00FB249F">
        <w:t>non-hydropower consumption for July 2017–June 2018, as</w:t>
      </w:r>
      <w:r w:rsidR="000E5653">
        <w:t> </w:t>
      </w:r>
      <w:r w:rsidRPr="00FB249F">
        <w:t>a ratio of estimated long</w:t>
      </w:r>
      <w:r w:rsidR="00125206" w:rsidRPr="00FB249F">
        <w:noBreakHyphen/>
      </w:r>
      <w:r w:rsidRPr="00FB249F">
        <w:t>term natural median streamflow</w:t>
      </w:r>
      <w:bookmarkEnd w:id="16"/>
      <w:bookmarkEnd w:id="17"/>
    </w:p>
    <w:p w14:paraId="46C91118" w14:textId="771BB268" w:rsidR="00E94C71" w:rsidRPr="00FB249F" w:rsidRDefault="00BA1521" w:rsidP="00E94C71">
      <w:pPr>
        <w:pStyle w:val="BodyText"/>
        <w:jc w:val="center"/>
      </w:pPr>
      <w:r>
        <w:rPr>
          <w:noProof/>
        </w:rPr>
        <w:drawing>
          <wp:inline distT="0" distB="0" distL="0" distR="0" wp14:anchorId="3DF74657" wp14:editId="7F4BACE6">
            <wp:extent cx="5206089" cy="71913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
                      <a:extLst>
                        <a:ext uri="{28A0092B-C50C-407E-A947-70E740481C1C}">
                          <a14:useLocalDpi xmlns:a14="http://schemas.microsoft.com/office/drawing/2010/main" val="0"/>
                        </a:ext>
                      </a:extLst>
                    </a:blip>
                    <a:srcRect l="3356" t="5566" r="4430" b="3588"/>
                    <a:stretch/>
                  </pic:blipFill>
                  <pic:spPr bwMode="auto">
                    <a:xfrm>
                      <a:off x="0" y="0"/>
                      <a:ext cx="5238644" cy="7236345"/>
                    </a:xfrm>
                    <a:prstGeom prst="rect">
                      <a:avLst/>
                    </a:prstGeom>
                    <a:noFill/>
                    <a:ln>
                      <a:noFill/>
                    </a:ln>
                    <a:extLst>
                      <a:ext uri="{53640926-AAD7-44D8-BBD7-CCE9431645EC}">
                        <a14:shadowObscured xmlns:a14="http://schemas.microsoft.com/office/drawing/2010/main"/>
                      </a:ext>
                    </a:extLst>
                  </pic:spPr>
                </pic:pic>
              </a:graphicData>
            </a:graphic>
          </wp:inline>
        </w:drawing>
      </w:r>
    </w:p>
    <w:p w14:paraId="2AA19CA3" w14:textId="34619503" w:rsidR="00E94C71" w:rsidRPr="00FB249F" w:rsidRDefault="00E94C71" w:rsidP="00125206">
      <w:pPr>
        <w:pStyle w:val="Source"/>
      </w:pPr>
      <w:r w:rsidRPr="00FB249F">
        <w:t>Source: Our freshwater 2020</w:t>
      </w:r>
    </w:p>
    <w:p w14:paraId="1502E7AB" w14:textId="77777777" w:rsidR="00E94C71" w:rsidRPr="00FB249F" w:rsidRDefault="00E94C71" w:rsidP="00125206">
      <w:pPr>
        <w:pStyle w:val="Note"/>
      </w:pPr>
      <w:r w:rsidRPr="00FB249F">
        <w:t>Note: Data used is for maximum consented volumes and does not include the potential impacts of water use restrictions (Booker &amp; Henderson, 2019). Abstractions for hydropower can have potentially significant impacts on streamflow, but hydropower consents could not be included in the analysis because they are not easily comparable to non-hydropower consents. Flow reduction is shown as a proportion of modelled long-term natural median streamflow, not measured flow. Analysis assumes that all groundwater abstractions deplete streamflow, and that no abstracted surface- or groundwater is returned to the river network.</w:t>
      </w:r>
    </w:p>
    <w:p w14:paraId="2B7E456B" w14:textId="77777777" w:rsidR="00E94C71" w:rsidRPr="00FB249F" w:rsidRDefault="00E94C71" w:rsidP="00E94C71">
      <w:pPr>
        <w:pStyle w:val="BodyText"/>
      </w:pPr>
      <w:r w:rsidRPr="00FB249F">
        <w:lastRenderedPageBreak/>
        <w:t xml:space="preserve">Using consented allocation to estimate streamflow depletion has many known limitations (Booker et al, 2016). Consented allocation does not equate to actual water abstraction, meaning that it only provides an indication of the </w:t>
      </w:r>
      <w:r w:rsidRPr="00FB249F">
        <w:rPr>
          <w:i/>
          <w:iCs/>
        </w:rPr>
        <w:t>maximum potential</w:t>
      </w:r>
      <w:r w:rsidRPr="00FB249F">
        <w:t xml:space="preserve"> impact on streamflow, rather than the </w:t>
      </w:r>
      <w:r w:rsidRPr="00FB249F">
        <w:rPr>
          <w:i/>
          <w:iCs/>
        </w:rPr>
        <w:t>actual</w:t>
      </w:r>
      <w:r w:rsidRPr="00FB249F">
        <w:t xml:space="preserve"> streamflow alteration. </w:t>
      </w:r>
    </w:p>
    <w:p w14:paraId="2639D97D" w14:textId="44DB19C8" w:rsidR="00E94C71" w:rsidRPr="00FB249F" w:rsidRDefault="00E94C71" w:rsidP="00E94C71">
      <w:pPr>
        <w:pStyle w:val="BodyText"/>
      </w:pPr>
      <w:r w:rsidRPr="00FB249F">
        <w:t>Maps of accumulated pressure represent a ‘worst case scenario’ in which each consent is fully</w:t>
      </w:r>
      <w:r w:rsidR="00347743">
        <w:t> </w:t>
      </w:r>
      <w:r w:rsidRPr="00FB249F">
        <w:t>implemented to maximum abstraction rate. These maps cannot represent actual impacts on streamflow because they do not consider temporal patterns in streamflow or water abstractions. Furthermore, water consents are often complex; some consent conditions require abstractions to cease or be restricted during times of low flow or other environmental conditions. National analysis of consented freshwater abstractions to date does not account for the potential effects of these restrictions, due to a lack of nationwide data availability (Booker et al, 2016; Booker &amp; Henderson, 2019).</w:t>
      </w:r>
    </w:p>
    <w:p w14:paraId="6B5489B9" w14:textId="6622CB80" w:rsidR="00A975A2" w:rsidRPr="00FB249F" w:rsidRDefault="00A975A2">
      <w:pPr>
        <w:spacing w:before="0" w:after="200" w:line="276" w:lineRule="auto"/>
        <w:jc w:val="left"/>
      </w:pPr>
      <w:r w:rsidRPr="00FB249F">
        <w:br w:type="page"/>
      </w:r>
    </w:p>
    <w:p w14:paraId="106301D3" w14:textId="77777777" w:rsidR="00A975A2" w:rsidRPr="00FB249F" w:rsidRDefault="00A975A2" w:rsidP="00CF1904">
      <w:pPr>
        <w:pStyle w:val="Heading1"/>
      </w:pPr>
      <w:bookmarkStart w:id="18" w:name="_Toc88208521"/>
      <w:bookmarkStart w:id="19" w:name="_Toc90312366"/>
      <w:r w:rsidRPr="00FB249F">
        <w:lastRenderedPageBreak/>
        <w:t>Purpose and approach</w:t>
      </w:r>
      <w:bookmarkEnd w:id="18"/>
      <w:bookmarkEnd w:id="19"/>
    </w:p>
    <w:p w14:paraId="4149A863" w14:textId="19C724A7" w:rsidR="00A975A2" w:rsidRPr="00FB249F" w:rsidRDefault="00A975A2" w:rsidP="00A975A2">
      <w:pPr>
        <w:pStyle w:val="BodyText"/>
      </w:pPr>
      <w:r w:rsidRPr="00FB249F">
        <w:t>The overarching goal of this case study was to help build the analytical capability of the Ministry for the Environment and Stats NZ environmental reporting, to enable better future understanding and reporting of the effects of water use on river and stream flows nationally. To do this, it set out to demonstrate a viable and replicable methodology for estimating the</w:t>
      </w:r>
      <w:r w:rsidR="00347743">
        <w:t> </w:t>
      </w:r>
      <w:r w:rsidRPr="00FB249F">
        <w:t xml:space="preserve">depletion effects of </w:t>
      </w:r>
      <w:r w:rsidR="00D8443A">
        <w:t>measured</w:t>
      </w:r>
      <w:r w:rsidR="00D8443A" w:rsidRPr="00FB249F">
        <w:t xml:space="preserve"> </w:t>
      </w:r>
      <w:r w:rsidRPr="00FB249F">
        <w:t>water abstractions on natural streamflow, using consented abstraction and river and stream flow datasets supplied by Greater Wellington Regional Council (GWRC) and Horizons Regional Council (Horizons). It also aimed to clarify some of the</w:t>
      </w:r>
      <w:r w:rsidR="00347743">
        <w:t> </w:t>
      </w:r>
      <w:r w:rsidRPr="00FB249F">
        <w:t>technical challenges and barriers to accessing, processing and using council datasets for these purposes, and</w:t>
      </w:r>
      <w:r w:rsidR="00653F9E">
        <w:t xml:space="preserve"> to</w:t>
      </w:r>
      <w:r w:rsidRPr="00FB249F">
        <w:t xml:space="preserve"> identify opportunities for improvement.</w:t>
      </w:r>
    </w:p>
    <w:p w14:paraId="41CDA24D" w14:textId="77777777" w:rsidR="00A975A2" w:rsidRPr="00FB249F" w:rsidRDefault="00A975A2" w:rsidP="00A975A2">
      <w:pPr>
        <w:pStyle w:val="BodyText"/>
      </w:pPr>
      <w:r w:rsidRPr="00FB249F">
        <w:t>This report details two analytical approaches trialled in the case study, and the methodological steps undertaken to develop them. Where relevant and to the extent possible, it presents and discusses the findings of the analyses to demonstrate the kinds of insights they can provide. The analyses comprise the following:</w:t>
      </w:r>
    </w:p>
    <w:p w14:paraId="08D830A1" w14:textId="77777777" w:rsidR="00A975A2" w:rsidRPr="00FB249F" w:rsidRDefault="00A975A2" w:rsidP="00A975A2">
      <w:pPr>
        <w:pStyle w:val="Numberedparagraph"/>
      </w:pPr>
      <w:r w:rsidRPr="00FB249F">
        <w:t xml:space="preserve">The first approach compares the streamflow depletion effects of measured abstractions with modelled estimates of natural flow, similar to analyses undertaken previously using consented maximum allocation data (see </w:t>
      </w:r>
      <w:hyperlink w:anchor="_Understanding_the_effects" w:history="1">
        <w:r w:rsidRPr="00FB249F">
          <w:rPr>
            <w:rStyle w:val="Hyperlink"/>
          </w:rPr>
          <w:t>Understanding the effects of water use on river and stream flows</w:t>
        </w:r>
      </w:hyperlink>
      <w:r w:rsidRPr="00FB249F">
        <w:t>). Supplemental to this, it also uses metadata supplied by GWRC and Horizons to:</w:t>
      </w:r>
    </w:p>
    <w:p w14:paraId="68CE3CFE" w14:textId="77777777" w:rsidR="00A975A2" w:rsidRPr="00FB249F" w:rsidRDefault="00A975A2" w:rsidP="00A975A2">
      <w:pPr>
        <w:pStyle w:val="Sub-list"/>
      </w:pPr>
      <w:r w:rsidRPr="00FB249F">
        <w:t xml:space="preserve">assign a primary water use to each measured abstraction site, to add greater context for the measured abstraction data and enable statistical and spatial comparisons of different water uses (similar to </w:t>
      </w:r>
      <w:hyperlink r:id="rId26" w:history="1">
        <w:r w:rsidRPr="00FB249F">
          <w:rPr>
            <w:rStyle w:val="Hyperlink"/>
            <w:i/>
            <w:iCs/>
          </w:rPr>
          <w:t>Our freshwater 2020</w:t>
        </w:r>
      </w:hyperlink>
      <w:r w:rsidRPr="00FB249F">
        <w:t>)</w:t>
      </w:r>
    </w:p>
    <w:p w14:paraId="4B06D86E" w14:textId="389C1AAF" w:rsidR="00A975A2" w:rsidRPr="00FB249F" w:rsidRDefault="00A975A2" w:rsidP="00A975A2">
      <w:pPr>
        <w:pStyle w:val="Sub-list"/>
      </w:pPr>
      <w:r w:rsidRPr="00FB249F">
        <w:t xml:space="preserve">employ a </w:t>
      </w:r>
      <w:r w:rsidR="009177E0">
        <w:t>s</w:t>
      </w:r>
      <w:r w:rsidR="00E249E3">
        <w:t>eparate</w:t>
      </w:r>
      <w:r w:rsidRPr="00FB249F">
        <w:t xml:space="preserve"> model </w:t>
      </w:r>
      <w:r w:rsidR="009177E0">
        <w:t>for</w:t>
      </w:r>
      <w:r w:rsidR="009177E0" w:rsidRPr="00FB249F">
        <w:t xml:space="preserve"> estimat</w:t>
      </w:r>
      <w:r w:rsidR="009177E0">
        <w:t>ing</w:t>
      </w:r>
      <w:r w:rsidR="009177E0" w:rsidRPr="00FB249F">
        <w:t xml:space="preserve"> </w:t>
      </w:r>
      <w:r w:rsidRPr="00FB249F">
        <w:t>streamflow depletion from groundwater wells deeper than 30 metres, based on the aquifer conditions expected at these depths</w:t>
      </w:r>
    </w:p>
    <w:p w14:paraId="60A9CCF9" w14:textId="77777777" w:rsidR="00A975A2" w:rsidRPr="00FB249F" w:rsidRDefault="00A975A2" w:rsidP="00A975A2">
      <w:pPr>
        <w:pStyle w:val="Sub-list"/>
      </w:pPr>
      <w:r w:rsidRPr="00FB249F">
        <w:t>generate a like-for-like comparison of the new approach with the analyses undertaken previously that used consented maximum allocation data.</w:t>
      </w:r>
    </w:p>
    <w:p w14:paraId="6D296491" w14:textId="7A0382D9" w:rsidR="00A975A2" w:rsidRPr="00FB249F" w:rsidRDefault="00A975A2" w:rsidP="00A975A2">
      <w:pPr>
        <w:pStyle w:val="Numberedparagraph"/>
      </w:pPr>
      <w:r w:rsidRPr="00FB249F">
        <w:t>The second approach builds on the first, by comparing the streamflow depletion effects of</w:t>
      </w:r>
      <w:r w:rsidR="00CF3D5D" w:rsidRPr="00FB249F">
        <w:t> </w:t>
      </w:r>
      <w:r w:rsidRPr="00FB249F">
        <w:t>measured abstractions with estimates of natural flow derived from measured river and</w:t>
      </w:r>
      <w:r w:rsidR="00CF3D5D" w:rsidRPr="00FB249F">
        <w:t> </w:t>
      </w:r>
      <w:r w:rsidRPr="00FB249F">
        <w:t>stream flow. It also uses metadata supplied by GWRC and Horizons to:</w:t>
      </w:r>
    </w:p>
    <w:p w14:paraId="6803EF08" w14:textId="1B44CE4C" w:rsidR="00A975A2" w:rsidRPr="00FB249F" w:rsidRDefault="00A975A2" w:rsidP="00A975A2">
      <w:pPr>
        <w:pStyle w:val="Sub-list"/>
      </w:pPr>
      <w:r w:rsidRPr="00FB249F">
        <w:t>segregate measured abstraction timeseries data by catchment and by source type, to</w:t>
      </w:r>
      <w:r w:rsidR="00CF3D5D" w:rsidRPr="00FB249F">
        <w:t> </w:t>
      </w:r>
      <w:r w:rsidRPr="00FB249F">
        <w:t>enable comparisons of spatial and temporal surface- and groundwater abstraction patterns</w:t>
      </w:r>
    </w:p>
    <w:p w14:paraId="79F5F685" w14:textId="77777777" w:rsidR="00A975A2" w:rsidRPr="00FB249F" w:rsidRDefault="00A975A2" w:rsidP="00A975A2">
      <w:pPr>
        <w:pStyle w:val="Sub-list"/>
      </w:pPr>
      <w:r w:rsidRPr="00FB249F">
        <w:t>segregate measured river and stream flow timeseries data by catchment, to enable comparisons of spatial and temporal abstraction pattens with measured river and stream flow patterns.</w:t>
      </w:r>
    </w:p>
    <w:p w14:paraId="6BFF4CBE" w14:textId="77777777" w:rsidR="00A975A2" w:rsidRPr="00FB249F" w:rsidRDefault="00A975A2" w:rsidP="00A975A2">
      <w:pPr>
        <w:pStyle w:val="BodyText"/>
      </w:pPr>
      <w:r w:rsidRPr="00FB249F">
        <w:t>The report finishes with a conclusion section, which discusses the:</w:t>
      </w:r>
    </w:p>
    <w:p w14:paraId="3C2FFBC0" w14:textId="6DEBAFF0" w:rsidR="00A975A2" w:rsidRPr="00FB249F" w:rsidRDefault="00A975A2" w:rsidP="00A975A2">
      <w:pPr>
        <w:pStyle w:val="Bullet"/>
        <w:tabs>
          <w:tab w:val="num" w:pos="397"/>
        </w:tabs>
      </w:pPr>
      <w:r w:rsidRPr="00FB249F">
        <w:t>extent to which the analytical approaches were able to improve our understanding of the</w:t>
      </w:r>
      <w:r w:rsidR="00CF3D5D" w:rsidRPr="00FB249F">
        <w:t> </w:t>
      </w:r>
      <w:r w:rsidRPr="00FB249F">
        <w:t>effects of water use on river and stream flows</w:t>
      </w:r>
    </w:p>
    <w:p w14:paraId="17D9CFCA" w14:textId="77777777" w:rsidR="00A975A2" w:rsidRPr="00FB249F" w:rsidRDefault="00A975A2" w:rsidP="00A975A2">
      <w:pPr>
        <w:pStyle w:val="Bullet"/>
        <w:tabs>
          <w:tab w:val="num" w:pos="397"/>
        </w:tabs>
      </w:pPr>
      <w:r w:rsidRPr="00FB249F">
        <w:t>barriers encountered in the case study, and opportunities for improvement</w:t>
      </w:r>
    </w:p>
    <w:p w14:paraId="1A054676" w14:textId="77777777" w:rsidR="00A975A2" w:rsidRPr="00FB249F" w:rsidRDefault="00A975A2" w:rsidP="00A975A2">
      <w:pPr>
        <w:pStyle w:val="Bullet"/>
        <w:tabs>
          <w:tab w:val="num" w:pos="397"/>
        </w:tabs>
      </w:pPr>
      <w:r w:rsidRPr="00FB249F">
        <w:t>potential implications of these developments on future measurement, analysis and reporting of water use and its effects on river and stream flows.</w:t>
      </w:r>
    </w:p>
    <w:p w14:paraId="27EFD9E1" w14:textId="448A3F10" w:rsidR="00B224B5" w:rsidRPr="00FB249F" w:rsidRDefault="00B224B5" w:rsidP="00CF1904">
      <w:pPr>
        <w:pStyle w:val="Heading1"/>
      </w:pPr>
      <w:bookmarkStart w:id="20" w:name="_Streamflow_depletion_as"/>
      <w:bookmarkStart w:id="21" w:name="_Toc88208522"/>
      <w:bookmarkStart w:id="22" w:name="_Toc90312367"/>
      <w:bookmarkEnd w:id="20"/>
      <w:r w:rsidRPr="00FB249F">
        <w:lastRenderedPageBreak/>
        <w:t>Streamflow depletion as a proportion of long-term natural</w:t>
      </w:r>
      <w:r w:rsidR="007A4433">
        <w:t xml:space="preserve"> </w:t>
      </w:r>
      <w:r w:rsidRPr="00FB249F">
        <w:t>median flow</w:t>
      </w:r>
      <w:bookmarkEnd w:id="21"/>
      <w:bookmarkEnd w:id="22"/>
    </w:p>
    <w:p w14:paraId="3786659B" w14:textId="73D1B96E" w:rsidR="00B224B5" w:rsidRPr="00FB249F" w:rsidRDefault="00B224B5" w:rsidP="00B224B5">
      <w:pPr>
        <w:pStyle w:val="BodyText"/>
      </w:pPr>
      <w:r w:rsidRPr="00FB249F">
        <w:t>Our first approach to exploring the relationship between measured abstractions and river and</w:t>
      </w:r>
      <w:r w:rsidR="00347743">
        <w:t> </w:t>
      </w:r>
      <w:r w:rsidRPr="00FB249F">
        <w:t>stream flow was to model the streamflow depletion effects of measured abstractions, and</w:t>
      </w:r>
      <w:r w:rsidR="00347743">
        <w:t> </w:t>
      </w:r>
      <w:r w:rsidRPr="00FB249F">
        <w:t xml:space="preserve">compare these estimates with estimates of long-term natural median streamflow. It was intended to replicate the Booker &amp; Henderson (2019) approach adopted in </w:t>
      </w:r>
      <w:hyperlink r:id="rId27" w:history="1">
        <w:r w:rsidRPr="00FB249F">
          <w:rPr>
            <w:rStyle w:val="Hyperlink"/>
            <w:i/>
            <w:iCs/>
          </w:rPr>
          <w:t>Our freshwater 2020</w:t>
        </w:r>
      </w:hyperlink>
      <w:r w:rsidRPr="00FB249F">
        <w:rPr>
          <w:rStyle w:val="Hyperlink"/>
          <w:i/>
          <w:iCs/>
        </w:rPr>
        <w:t xml:space="preserve"> </w:t>
      </w:r>
      <w:r w:rsidRPr="00FB249F">
        <w:t xml:space="preserve">(Ministry for the Environment &amp; Stats NZ, 2020), which explored the maximum potential streamflow depletion effects of consented non-hydropower water allocation, but with improved </w:t>
      </w:r>
      <w:r w:rsidR="0047259D">
        <w:t>utility</w:t>
      </w:r>
      <w:r w:rsidR="0047259D" w:rsidRPr="00FB249F">
        <w:t xml:space="preserve"> </w:t>
      </w:r>
      <w:r w:rsidRPr="00FB249F">
        <w:t xml:space="preserve">and temporal resolution through use of daily measured abstraction data instead of the maximum annual allocation allowed by consents. This new approach used a </w:t>
      </w:r>
      <w:r w:rsidRPr="00DA5464">
        <w:rPr>
          <w:spacing w:val="-2"/>
        </w:rPr>
        <w:t>different model for estimating the streamflow depletion effects from groundwater abstractions</w:t>
      </w:r>
      <w:r w:rsidRPr="00FB249F">
        <w:t xml:space="preserve"> deeper than 30 metres, </w:t>
      </w:r>
      <w:r w:rsidR="00906048">
        <w:t>which</w:t>
      </w:r>
      <w:r w:rsidR="00906048" w:rsidRPr="00FB249F">
        <w:t xml:space="preserve"> </w:t>
      </w:r>
      <w:r w:rsidRPr="00FB249F">
        <w:t xml:space="preserve">accounts for the </w:t>
      </w:r>
      <w:r w:rsidR="00253BA3">
        <w:t xml:space="preserve">greater influence </w:t>
      </w:r>
      <w:r w:rsidR="00E22112">
        <w:t>that</w:t>
      </w:r>
      <w:r w:rsidR="00253BA3">
        <w:t xml:space="preserve"> </w:t>
      </w:r>
      <w:r w:rsidR="007C06A1">
        <w:t>some aquifer characteristics</w:t>
      </w:r>
      <w:r w:rsidR="00E22112">
        <w:t xml:space="preserve"> are</w:t>
      </w:r>
      <w:r w:rsidR="007C06A1">
        <w:t xml:space="preserve"> </w:t>
      </w:r>
      <w:r w:rsidRPr="00FB249F">
        <w:t xml:space="preserve">expected </w:t>
      </w:r>
      <w:r w:rsidR="0074690D">
        <w:t>to have on</w:t>
      </w:r>
      <w:r w:rsidR="001E4F93">
        <w:t xml:space="preserve"> the</w:t>
      </w:r>
      <w:r w:rsidRPr="00FB249F">
        <w:t xml:space="preserve"> </w:t>
      </w:r>
      <w:r w:rsidR="00233CD3" w:rsidRPr="00FB249F">
        <w:t>tim</w:t>
      </w:r>
      <w:r w:rsidR="00233CD3">
        <w:t xml:space="preserve">ing </w:t>
      </w:r>
      <w:r w:rsidR="00B2069F">
        <w:t>and rates</w:t>
      </w:r>
      <w:r w:rsidR="00233CD3">
        <w:t xml:space="preserve"> of depletion resulting from abstractions</w:t>
      </w:r>
      <w:r w:rsidR="00C371C2">
        <w:t xml:space="preserve"> below this depth</w:t>
      </w:r>
      <w:r w:rsidRPr="00FB249F">
        <w:t xml:space="preserve"> (Booker et al 2019)</w:t>
      </w:r>
      <w:r w:rsidR="000A250A">
        <w:t>. S</w:t>
      </w:r>
      <w:r w:rsidRPr="00FB249F">
        <w:t xml:space="preserve">ee table </w:t>
      </w:r>
      <w:r w:rsidR="002D24B0">
        <w:t>1</w:t>
      </w:r>
      <w:r w:rsidRPr="00FB249F">
        <w:t>.</w:t>
      </w:r>
    </w:p>
    <w:p w14:paraId="39F4AF1F" w14:textId="1FE03E43" w:rsidR="00B224B5" w:rsidRPr="00FB249F" w:rsidRDefault="00B224B5" w:rsidP="00B224B5">
      <w:pPr>
        <w:pStyle w:val="Tableheading"/>
      </w:pPr>
      <w:bookmarkStart w:id="23" w:name="_Toc88208535"/>
      <w:bookmarkStart w:id="24" w:name="_Toc90312379"/>
      <w:r w:rsidRPr="00FB249F">
        <w:t xml:space="preserve">Table </w:t>
      </w:r>
      <w:r w:rsidR="002D24B0">
        <w:t>1</w:t>
      </w:r>
      <w:r w:rsidRPr="00FB249F">
        <w:t>:</w:t>
      </w:r>
      <w:r w:rsidRPr="00FB249F">
        <w:tab/>
        <w:t>Comparison of first approach with previous works</w:t>
      </w:r>
      <w:bookmarkEnd w:id="23"/>
      <w:bookmarkEnd w:id="24"/>
    </w:p>
    <w:tbl>
      <w:tblPr>
        <w:tblStyle w:val="TableGrid"/>
        <w:tblW w:w="8505" w:type="dxa"/>
        <w:tblInd w:w="113"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1838"/>
        <w:gridCol w:w="3969"/>
        <w:gridCol w:w="1368"/>
        <w:gridCol w:w="1330"/>
      </w:tblGrid>
      <w:tr w:rsidR="00C21FF3" w:rsidRPr="00FB249F" w14:paraId="1787161C" w14:textId="77777777" w:rsidTr="00C21FF3">
        <w:trPr>
          <w:tblHeader/>
        </w:trPr>
        <w:tc>
          <w:tcPr>
            <w:tcW w:w="5807" w:type="dxa"/>
            <w:gridSpan w:val="2"/>
            <w:shd w:val="clear" w:color="auto" w:fill="1B556B"/>
            <w:vAlign w:val="center"/>
          </w:tcPr>
          <w:p w14:paraId="7AEEFA7F" w14:textId="77777777" w:rsidR="00B224B5" w:rsidRPr="00FB249F" w:rsidRDefault="00B224B5" w:rsidP="00F23144">
            <w:pPr>
              <w:pStyle w:val="TableTextbold"/>
              <w:jc w:val="center"/>
              <w:rPr>
                <w:color w:val="FFFFFF" w:themeColor="background1"/>
              </w:rPr>
            </w:pPr>
            <w:r w:rsidRPr="00FB249F">
              <w:rPr>
                <w:color w:val="FFFFFF" w:themeColor="background1"/>
              </w:rPr>
              <w:t>Analysis</w:t>
            </w:r>
          </w:p>
        </w:tc>
        <w:tc>
          <w:tcPr>
            <w:tcW w:w="1368" w:type="dxa"/>
            <w:shd w:val="clear" w:color="auto" w:fill="1B556B"/>
            <w:vAlign w:val="center"/>
          </w:tcPr>
          <w:p w14:paraId="3D0CC9DB" w14:textId="77777777" w:rsidR="00B224B5" w:rsidRPr="00FB249F" w:rsidRDefault="00B224B5" w:rsidP="00F23144">
            <w:pPr>
              <w:pStyle w:val="TableTextbold"/>
              <w:jc w:val="center"/>
              <w:rPr>
                <w:color w:val="FFFFFF" w:themeColor="background1"/>
              </w:rPr>
            </w:pPr>
            <w:r w:rsidRPr="00FB249F">
              <w:rPr>
                <w:color w:val="FFFFFF" w:themeColor="background1"/>
              </w:rPr>
              <w:t>Previous works</w:t>
            </w:r>
          </w:p>
        </w:tc>
        <w:tc>
          <w:tcPr>
            <w:tcW w:w="1330" w:type="dxa"/>
            <w:shd w:val="clear" w:color="auto" w:fill="1B556B"/>
            <w:vAlign w:val="center"/>
          </w:tcPr>
          <w:p w14:paraId="2EA8A9CE" w14:textId="77777777" w:rsidR="00B224B5" w:rsidRPr="00FB249F" w:rsidRDefault="00B224B5" w:rsidP="00F23144">
            <w:pPr>
              <w:pStyle w:val="TableTextbold"/>
              <w:jc w:val="center"/>
              <w:rPr>
                <w:color w:val="FFFFFF" w:themeColor="background1"/>
              </w:rPr>
            </w:pPr>
            <w:r w:rsidRPr="00FB249F">
              <w:rPr>
                <w:color w:val="FFFFFF" w:themeColor="background1"/>
              </w:rPr>
              <w:t>This approach</w:t>
            </w:r>
          </w:p>
        </w:tc>
      </w:tr>
      <w:tr w:rsidR="00B224B5" w:rsidRPr="00FB249F" w14:paraId="677B149D" w14:textId="77777777" w:rsidTr="00C21FF3">
        <w:trPr>
          <w:trHeight w:val="360"/>
        </w:trPr>
        <w:tc>
          <w:tcPr>
            <w:tcW w:w="1838" w:type="dxa"/>
            <w:vMerge w:val="restart"/>
            <w:shd w:val="clear" w:color="auto" w:fill="auto"/>
            <w:vAlign w:val="center"/>
          </w:tcPr>
          <w:p w14:paraId="3467F495" w14:textId="77777777" w:rsidR="00B224B5" w:rsidRPr="00FB249F" w:rsidRDefault="00B224B5" w:rsidP="00F23144">
            <w:pPr>
              <w:pStyle w:val="TableText"/>
              <w:jc w:val="center"/>
            </w:pPr>
            <w:r w:rsidRPr="00FB249F">
              <w:t>Consented maximum annual allocation</w:t>
            </w:r>
          </w:p>
        </w:tc>
        <w:tc>
          <w:tcPr>
            <w:tcW w:w="3969" w:type="dxa"/>
            <w:shd w:val="clear" w:color="auto" w:fill="auto"/>
            <w:vAlign w:val="center"/>
          </w:tcPr>
          <w:p w14:paraId="131ECBC0" w14:textId="77777777" w:rsidR="00B224B5" w:rsidRPr="00FB249F" w:rsidRDefault="00B224B5" w:rsidP="00F23144">
            <w:pPr>
              <w:pStyle w:val="TableText"/>
              <w:jc w:val="center"/>
            </w:pPr>
            <w:r w:rsidRPr="00FB249F">
              <w:t>Water use type</w:t>
            </w:r>
          </w:p>
        </w:tc>
        <w:tc>
          <w:tcPr>
            <w:tcW w:w="1368" w:type="dxa"/>
            <w:vAlign w:val="center"/>
          </w:tcPr>
          <w:p w14:paraId="1F7B5380" w14:textId="77777777" w:rsidR="00B224B5" w:rsidRPr="00FB249F" w:rsidRDefault="00B224B5" w:rsidP="00F23144">
            <w:pPr>
              <w:pStyle w:val="TableText"/>
              <w:jc w:val="center"/>
              <w:rPr>
                <w:b/>
                <w:bCs/>
              </w:rPr>
            </w:pPr>
            <w:r w:rsidRPr="00FB249F">
              <w:rPr>
                <w:rFonts w:ascii="Segoe UI Symbol" w:hAnsi="Segoe UI Symbol" w:cs="Segoe UI Symbol"/>
                <w:b/>
                <w:bCs/>
              </w:rPr>
              <w:t>🗸</w:t>
            </w:r>
          </w:p>
        </w:tc>
        <w:tc>
          <w:tcPr>
            <w:tcW w:w="1330" w:type="dxa"/>
          </w:tcPr>
          <w:p w14:paraId="593F2BAB" w14:textId="77777777" w:rsidR="00B224B5" w:rsidRPr="00FB249F" w:rsidRDefault="00B224B5" w:rsidP="00F23144">
            <w:pPr>
              <w:pStyle w:val="TableText"/>
              <w:jc w:val="center"/>
              <w:rPr>
                <w:b/>
                <w:bCs/>
              </w:rPr>
            </w:pPr>
          </w:p>
        </w:tc>
      </w:tr>
      <w:tr w:rsidR="00B224B5" w:rsidRPr="00FB249F" w14:paraId="04F5FA11" w14:textId="77777777" w:rsidTr="00C21FF3">
        <w:trPr>
          <w:trHeight w:val="360"/>
        </w:trPr>
        <w:tc>
          <w:tcPr>
            <w:tcW w:w="1838" w:type="dxa"/>
            <w:vMerge/>
            <w:shd w:val="clear" w:color="auto" w:fill="auto"/>
            <w:textDirection w:val="btLr"/>
            <w:vAlign w:val="center"/>
          </w:tcPr>
          <w:p w14:paraId="77D2AE89" w14:textId="77777777" w:rsidR="00B224B5" w:rsidRPr="00FB249F" w:rsidRDefault="00B224B5" w:rsidP="00F23144">
            <w:pPr>
              <w:pStyle w:val="TableText"/>
              <w:ind w:left="113" w:right="113"/>
              <w:jc w:val="center"/>
            </w:pPr>
          </w:p>
        </w:tc>
        <w:tc>
          <w:tcPr>
            <w:tcW w:w="3969" w:type="dxa"/>
            <w:shd w:val="clear" w:color="auto" w:fill="auto"/>
            <w:vAlign w:val="center"/>
          </w:tcPr>
          <w:p w14:paraId="687EC65D" w14:textId="77777777" w:rsidR="00B224B5" w:rsidRPr="00FB249F" w:rsidRDefault="00B224B5" w:rsidP="00F23144">
            <w:pPr>
              <w:pStyle w:val="TableText"/>
              <w:jc w:val="center"/>
            </w:pPr>
            <w:r w:rsidRPr="00FB249F">
              <w:t>Modelled streamflow depletion</w:t>
            </w:r>
          </w:p>
        </w:tc>
        <w:tc>
          <w:tcPr>
            <w:tcW w:w="1368" w:type="dxa"/>
            <w:vAlign w:val="center"/>
          </w:tcPr>
          <w:p w14:paraId="628CBCB8" w14:textId="77777777" w:rsidR="00B224B5" w:rsidRPr="00FB249F" w:rsidRDefault="00B224B5" w:rsidP="00F23144">
            <w:pPr>
              <w:pStyle w:val="TableText"/>
              <w:jc w:val="center"/>
              <w:rPr>
                <w:rFonts w:ascii="Segoe UI Symbol" w:hAnsi="Segoe UI Symbol" w:cs="Segoe UI Symbol"/>
                <w:b/>
                <w:bCs/>
              </w:rPr>
            </w:pPr>
            <w:r w:rsidRPr="00FB249F">
              <w:rPr>
                <w:rFonts w:ascii="Segoe UI Symbol" w:hAnsi="Segoe UI Symbol" w:cs="Segoe UI Symbol"/>
                <w:b/>
                <w:bCs/>
              </w:rPr>
              <w:t>🗸</w:t>
            </w:r>
            <w:r w:rsidRPr="00FB249F">
              <w:rPr>
                <w:rFonts w:ascii="Segoe UI Symbol" w:hAnsi="Segoe UI Symbol" w:cs="Segoe UI Symbol"/>
                <w:vertAlign w:val="superscript"/>
              </w:rPr>
              <w:t xml:space="preserve"> 1</w:t>
            </w:r>
          </w:p>
        </w:tc>
        <w:tc>
          <w:tcPr>
            <w:tcW w:w="1330" w:type="dxa"/>
          </w:tcPr>
          <w:p w14:paraId="4C30BE01" w14:textId="77777777" w:rsidR="00B224B5" w:rsidRPr="00FB249F" w:rsidRDefault="00B224B5" w:rsidP="00F23144">
            <w:pPr>
              <w:pStyle w:val="TableText"/>
              <w:jc w:val="center"/>
              <w:rPr>
                <w:b/>
                <w:bCs/>
              </w:rPr>
            </w:pPr>
          </w:p>
        </w:tc>
      </w:tr>
      <w:tr w:rsidR="00B224B5" w:rsidRPr="00FB249F" w14:paraId="2A95F632" w14:textId="77777777" w:rsidTr="00C21FF3">
        <w:trPr>
          <w:trHeight w:val="360"/>
        </w:trPr>
        <w:tc>
          <w:tcPr>
            <w:tcW w:w="1838" w:type="dxa"/>
            <w:vMerge/>
            <w:shd w:val="clear" w:color="auto" w:fill="auto"/>
            <w:textDirection w:val="btLr"/>
            <w:vAlign w:val="center"/>
          </w:tcPr>
          <w:p w14:paraId="6B871F83" w14:textId="77777777" w:rsidR="00B224B5" w:rsidRPr="00FB249F" w:rsidRDefault="00B224B5" w:rsidP="00F23144">
            <w:pPr>
              <w:pStyle w:val="TableText"/>
              <w:ind w:left="113" w:right="113"/>
              <w:jc w:val="center"/>
            </w:pPr>
          </w:p>
        </w:tc>
        <w:tc>
          <w:tcPr>
            <w:tcW w:w="3969" w:type="dxa"/>
            <w:shd w:val="clear" w:color="auto" w:fill="auto"/>
            <w:vAlign w:val="center"/>
          </w:tcPr>
          <w:p w14:paraId="39D0CD6A" w14:textId="77777777" w:rsidR="00B224B5" w:rsidRPr="00FB249F" w:rsidRDefault="00B224B5" w:rsidP="00F23144">
            <w:pPr>
              <w:pStyle w:val="TableText"/>
              <w:jc w:val="center"/>
            </w:pPr>
            <w:r w:rsidRPr="00FB249F">
              <w:t>Modelled long-term natural median streamflow</w:t>
            </w:r>
          </w:p>
        </w:tc>
        <w:tc>
          <w:tcPr>
            <w:tcW w:w="1368" w:type="dxa"/>
            <w:vAlign w:val="center"/>
          </w:tcPr>
          <w:p w14:paraId="1A6539D8" w14:textId="77777777" w:rsidR="00B224B5" w:rsidRPr="00FB249F" w:rsidRDefault="00B224B5" w:rsidP="00F23144">
            <w:pPr>
              <w:pStyle w:val="TableText"/>
              <w:jc w:val="center"/>
              <w:rPr>
                <w:rFonts w:ascii="Segoe UI Symbol" w:hAnsi="Segoe UI Symbol" w:cs="Segoe UI Symbol"/>
                <w:b/>
                <w:bCs/>
              </w:rPr>
            </w:pPr>
            <w:r w:rsidRPr="00FB249F">
              <w:rPr>
                <w:rFonts w:ascii="Segoe UI Symbol" w:hAnsi="Segoe UI Symbol" w:cs="Segoe UI Symbol"/>
                <w:b/>
                <w:bCs/>
              </w:rPr>
              <w:t>🗸</w:t>
            </w:r>
          </w:p>
        </w:tc>
        <w:tc>
          <w:tcPr>
            <w:tcW w:w="1330" w:type="dxa"/>
          </w:tcPr>
          <w:p w14:paraId="3868E13F" w14:textId="77777777" w:rsidR="00B224B5" w:rsidRPr="00FB249F" w:rsidRDefault="00B224B5" w:rsidP="00F23144">
            <w:pPr>
              <w:pStyle w:val="TableText"/>
              <w:jc w:val="center"/>
              <w:rPr>
                <w:b/>
                <w:bCs/>
              </w:rPr>
            </w:pPr>
          </w:p>
        </w:tc>
      </w:tr>
      <w:tr w:rsidR="00B224B5" w:rsidRPr="00FB249F" w14:paraId="44E08C2B" w14:textId="77777777" w:rsidTr="00C21FF3">
        <w:trPr>
          <w:trHeight w:val="360"/>
        </w:trPr>
        <w:tc>
          <w:tcPr>
            <w:tcW w:w="1838" w:type="dxa"/>
            <w:vMerge w:val="restart"/>
            <w:shd w:val="clear" w:color="auto" w:fill="auto"/>
            <w:vAlign w:val="center"/>
          </w:tcPr>
          <w:p w14:paraId="56129A81" w14:textId="77777777" w:rsidR="00B224B5" w:rsidRPr="00FB249F" w:rsidRDefault="00B224B5" w:rsidP="00F23144">
            <w:pPr>
              <w:pStyle w:val="TableText"/>
              <w:jc w:val="center"/>
            </w:pPr>
            <w:r w:rsidRPr="00FB249F">
              <w:t xml:space="preserve">Measured daily abstraction rates </w:t>
            </w:r>
          </w:p>
        </w:tc>
        <w:tc>
          <w:tcPr>
            <w:tcW w:w="3969" w:type="dxa"/>
            <w:shd w:val="clear" w:color="auto" w:fill="auto"/>
            <w:vAlign w:val="center"/>
          </w:tcPr>
          <w:p w14:paraId="22BE2580" w14:textId="77777777" w:rsidR="00B224B5" w:rsidRPr="00FB249F" w:rsidRDefault="00B224B5" w:rsidP="00F23144">
            <w:pPr>
              <w:pStyle w:val="TableText"/>
              <w:jc w:val="center"/>
            </w:pPr>
            <w:r w:rsidRPr="00FB249F">
              <w:t>Water use type</w:t>
            </w:r>
          </w:p>
        </w:tc>
        <w:tc>
          <w:tcPr>
            <w:tcW w:w="1368" w:type="dxa"/>
            <w:vAlign w:val="center"/>
          </w:tcPr>
          <w:p w14:paraId="73B162C8" w14:textId="77777777" w:rsidR="00B224B5" w:rsidRPr="00FB249F" w:rsidRDefault="00B224B5" w:rsidP="00F23144">
            <w:pPr>
              <w:pStyle w:val="TableText"/>
              <w:jc w:val="center"/>
              <w:rPr>
                <w:rFonts w:ascii="Segoe UI Symbol" w:hAnsi="Segoe UI Symbol" w:cs="Segoe UI Symbol"/>
                <w:b/>
                <w:bCs/>
              </w:rPr>
            </w:pPr>
            <w:r w:rsidRPr="00FB249F">
              <w:rPr>
                <w:rFonts w:ascii="Segoe UI Symbol" w:hAnsi="Segoe UI Symbol" w:cs="Segoe UI Symbol"/>
                <w:b/>
                <w:bCs/>
              </w:rPr>
              <w:t>🗸</w:t>
            </w:r>
          </w:p>
        </w:tc>
        <w:tc>
          <w:tcPr>
            <w:tcW w:w="1330" w:type="dxa"/>
          </w:tcPr>
          <w:p w14:paraId="77279734" w14:textId="77777777" w:rsidR="00B224B5" w:rsidRPr="00FB249F" w:rsidRDefault="00B224B5" w:rsidP="00F23144">
            <w:pPr>
              <w:pStyle w:val="TableText"/>
              <w:jc w:val="center"/>
              <w:rPr>
                <w:b/>
                <w:bCs/>
              </w:rPr>
            </w:pPr>
            <w:r w:rsidRPr="00FB249F">
              <w:rPr>
                <w:rFonts w:ascii="Segoe UI Symbol" w:hAnsi="Segoe UI Symbol" w:cs="Segoe UI Symbol"/>
                <w:b/>
                <w:bCs/>
              </w:rPr>
              <w:t>🗸</w:t>
            </w:r>
          </w:p>
        </w:tc>
      </w:tr>
      <w:tr w:rsidR="00B224B5" w:rsidRPr="00FB249F" w14:paraId="4409C2F7" w14:textId="77777777" w:rsidTr="00C21FF3">
        <w:trPr>
          <w:trHeight w:val="360"/>
        </w:trPr>
        <w:tc>
          <w:tcPr>
            <w:tcW w:w="1838" w:type="dxa"/>
            <w:vMerge/>
            <w:shd w:val="clear" w:color="auto" w:fill="auto"/>
            <w:textDirection w:val="btLr"/>
            <w:vAlign w:val="center"/>
          </w:tcPr>
          <w:p w14:paraId="756E2536" w14:textId="77777777" w:rsidR="00B224B5" w:rsidRPr="00FB249F" w:rsidRDefault="00B224B5" w:rsidP="00F23144">
            <w:pPr>
              <w:pStyle w:val="TableText"/>
              <w:ind w:left="113" w:right="113"/>
              <w:jc w:val="center"/>
            </w:pPr>
          </w:p>
        </w:tc>
        <w:tc>
          <w:tcPr>
            <w:tcW w:w="3969" w:type="dxa"/>
            <w:shd w:val="clear" w:color="auto" w:fill="auto"/>
            <w:vAlign w:val="center"/>
          </w:tcPr>
          <w:p w14:paraId="1D966F6C" w14:textId="77777777" w:rsidR="00B224B5" w:rsidRPr="00FB249F" w:rsidRDefault="00B224B5" w:rsidP="00F23144">
            <w:pPr>
              <w:pStyle w:val="TableText"/>
              <w:jc w:val="center"/>
            </w:pPr>
            <w:r w:rsidRPr="00FB249F">
              <w:t>Modelled streamflow depletion</w:t>
            </w:r>
          </w:p>
        </w:tc>
        <w:tc>
          <w:tcPr>
            <w:tcW w:w="1368" w:type="dxa"/>
            <w:vAlign w:val="center"/>
          </w:tcPr>
          <w:p w14:paraId="2F3D3DCE" w14:textId="77777777" w:rsidR="00B224B5" w:rsidRPr="00FB249F" w:rsidRDefault="00B224B5" w:rsidP="00F23144">
            <w:pPr>
              <w:pStyle w:val="TableText"/>
              <w:jc w:val="center"/>
              <w:rPr>
                <w:rFonts w:ascii="Segoe UI Symbol" w:hAnsi="Segoe UI Symbol" w:cs="Segoe UI Symbol"/>
                <w:b/>
                <w:bCs/>
              </w:rPr>
            </w:pPr>
            <w:r w:rsidRPr="00FB249F">
              <w:rPr>
                <w:rFonts w:ascii="Segoe UI Symbol" w:hAnsi="Segoe UI Symbol" w:cs="Segoe UI Symbol"/>
                <w:b/>
                <w:bCs/>
              </w:rPr>
              <w:t xml:space="preserve">🗸 </w:t>
            </w:r>
            <w:r w:rsidRPr="00FB249F">
              <w:rPr>
                <w:rFonts w:ascii="Segoe UI Symbol" w:hAnsi="Segoe UI Symbol" w:cs="Segoe UI Symbol"/>
                <w:vertAlign w:val="superscript"/>
              </w:rPr>
              <w:t>1</w:t>
            </w:r>
          </w:p>
        </w:tc>
        <w:tc>
          <w:tcPr>
            <w:tcW w:w="1330" w:type="dxa"/>
          </w:tcPr>
          <w:p w14:paraId="5B78CAD2" w14:textId="77777777" w:rsidR="00B224B5" w:rsidRPr="00FB249F" w:rsidRDefault="00B224B5" w:rsidP="00F23144">
            <w:pPr>
              <w:pStyle w:val="TableText"/>
              <w:jc w:val="center"/>
              <w:rPr>
                <w:b/>
                <w:bCs/>
              </w:rPr>
            </w:pPr>
            <w:r w:rsidRPr="00FB249F">
              <w:rPr>
                <w:rFonts w:ascii="Segoe UI Symbol" w:hAnsi="Segoe UI Symbol" w:cs="Segoe UI Symbol"/>
                <w:b/>
                <w:bCs/>
              </w:rPr>
              <w:t xml:space="preserve">🗸 </w:t>
            </w:r>
            <w:r w:rsidRPr="00FB249F">
              <w:rPr>
                <w:rFonts w:ascii="Segoe UI Symbol" w:hAnsi="Segoe UI Symbol" w:cs="Segoe UI Symbol"/>
                <w:vertAlign w:val="superscript"/>
              </w:rPr>
              <w:t>2</w:t>
            </w:r>
          </w:p>
        </w:tc>
      </w:tr>
      <w:tr w:rsidR="00B224B5" w:rsidRPr="00FB249F" w14:paraId="4925B308" w14:textId="77777777" w:rsidTr="00C21FF3">
        <w:trPr>
          <w:trHeight w:val="360"/>
        </w:trPr>
        <w:tc>
          <w:tcPr>
            <w:tcW w:w="1838" w:type="dxa"/>
            <w:vMerge/>
            <w:shd w:val="clear" w:color="auto" w:fill="auto"/>
            <w:textDirection w:val="btLr"/>
            <w:vAlign w:val="center"/>
          </w:tcPr>
          <w:p w14:paraId="45894E0E" w14:textId="77777777" w:rsidR="00B224B5" w:rsidRPr="00FB249F" w:rsidRDefault="00B224B5" w:rsidP="00F23144">
            <w:pPr>
              <w:pStyle w:val="TableText"/>
              <w:ind w:left="113" w:right="113"/>
              <w:jc w:val="center"/>
            </w:pPr>
          </w:p>
        </w:tc>
        <w:tc>
          <w:tcPr>
            <w:tcW w:w="3969" w:type="dxa"/>
            <w:shd w:val="clear" w:color="auto" w:fill="auto"/>
            <w:vAlign w:val="center"/>
          </w:tcPr>
          <w:p w14:paraId="3F843E23" w14:textId="77777777" w:rsidR="00B224B5" w:rsidRPr="00FB249F" w:rsidRDefault="00B224B5" w:rsidP="00F23144">
            <w:pPr>
              <w:pStyle w:val="TableText"/>
              <w:jc w:val="center"/>
            </w:pPr>
            <w:r w:rsidRPr="00FB249F">
              <w:t>Modelled long-term natural median streamflow</w:t>
            </w:r>
          </w:p>
        </w:tc>
        <w:tc>
          <w:tcPr>
            <w:tcW w:w="1368" w:type="dxa"/>
            <w:vAlign w:val="center"/>
          </w:tcPr>
          <w:p w14:paraId="4F509064" w14:textId="77777777" w:rsidR="00B224B5" w:rsidRPr="00FB249F" w:rsidRDefault="00B224B5" w:rsidP="00F23144">
            <w:pPr>
              <w:pStyle w:val="TableText"/>
              <w:jc w:val="center"/>
              <w:rPr>
                <w:rFonts w:ascii="Segoe UI Symbol" w:hAnsi="Segoe UI Symbol" w:cs="Segoe UI Symbol"/>
              </w:rPr>
            </w:pPr>
          </w:p>
        </w:tc>
        <w:tc>
          <w:tcPr>
            <w:tcW w:w="1330" w:type="dxa"/>
          </w:tcPr>
          <w:p w14:paraId="60C037B3" w14:textId="77777777" w:rsidR="00B224B5" w:rsidRPr="00FB249F" w:rsidRDefault="00B224B5" w:rsidP="00F23144">
            <w:pPr>
              <w:pStyle w:val="TableText"/>
              <w:jc w:val="center"/>
              <w:rPr>
                <w:b/>
                <w:bCs/>
              </w:rPr>
            </w:pPr>
            <w:r w:rsidRPr="00FB249F">
              <w:rPr>
                <w:rFonts w:ascii="Segoe UI Symbol" w:hAnsi="Segoe UI Symbol" w:cs="Segoe UI Symbol"/>
                <w:b/>
                <w:bCs/>
              </w:rPr>
              <w:t>🗸</w:t>
            </w:r>
          </w:p>
        </w:tc>
      </w:tr>
    </w:tbl>
    <w:p w14:paraId="46520E0D" w14:textId="39FE1E03" w:rsidR="00B224B5" w:rsidRPr="00FB249F" w:rsidRDefault="00B224B5" w:rsidP="00B224B5">
      <w:pPr>
        <w:pStyle w:val="Note"/>
      </w:pPr>
      <w:r w:rsidRPr="00FB249F">
        <w:rPr>
          <w:vertAlign w:val="superscript"/>
        </w:rPr>
        <w:t xml:space="preserve">1 </w:t>
      </w:r>
      <w:r w:rsidRPr="00FB249F">
        <w:t>Approach uses the same model for all groundwater abstractions, regardless of depth</w:t>
      </w:r>
      <w:r w:rsidR="00402C40" w:rsidRPr="00FB249F">
        <w:t>.</w:t>
      </w:r>
      <w:r w:rsidRPr="00FB249F">
        <w:rPr>
          <w:vertAlign w:val="superscript"/>
        </w:rPr>
        <w:br/>
        <w:t>2</w:t>
      </w:r>
      <w:r w:rsidRPr="00FB249F">
        <w:t xml:space="preserve"> Approach uses a </w:t>
      </w:r>
      <w:r w:rsidR="00A501EF">
        <w:t>separate</w:t>
      </w:r>
      <w:r w:rsidRPr="00FB249F">
        <w:t xml:space="preserve"> model for groundwater abstractions deeper than 30 metres</w:t>
      </w:r>
      <w:r w:rsidR="00402C40" w:rsidRPr="00FB249F">
        <w:t>.</w:t>
      </w:r>
    </w:p>
    <w:p w14:paraId="54F1E1E3" w14:textId="781CA565" w:rsidR="00B224B5" w:rsidRPr="00FB249F" w:rsidRDefault="00B224B5" w:rsidP="00B224B5">
      <w:pPr>
        <w:pStyle w:val="BodyText"/>
      </w:pPr>
      <w:r w:rsidRPr="00FB249F">
        <w:t xml:space="preserve">To complete this analysis, the Ministry for the Environment and the National Institute of </w:t>
      </w:r>
      <w:r w:rsidR="000700B3">
        <w:t>Water</w:t>
      </w:r>
      <w:r w:rsidR="000700B3" w:rsidRPr="00FB249F">
        <w:t xml:space="preserve"> </w:t>
      </w:r>
      <w:r w:rsidRPr="00FB249F">
        <w:t xml:space="preserve">and Atmospheric Research (NIWA) obtained the following data from Greater Wellington Regional Council (GWRC) and Horizons Regional Council (Horizons) staff for abstraction sites in the Wellington and Manawatū-Whanganui regions for three full hydrological years </w:t>
      </w:r>
      <w:r w:rsidRPr="00FB249F">
        <w:rPr>
          <w:rFonts w:asciiTheme="minorHAnsi" w:hAnsiTheme="minorHAnsi" w:cstheme="minorHAnsi"/>
        </w:rPr>
        <w:t>(1 June 2015 to 1 July 2018)</w:t>
      </w:r>
      <w:r w:rsidRPr="00FB249F">
        <w:t>:</w:t>
      </w:r>
    </w:p>
    <w:p w14:paraId="5E73A126" w14:textId="77777777" w:rsidR="00B224B5" w:rsidRPr="00FB249F" w:rsidRDefault="00B224B5" w:rsidP="00402C40">
      <w:pPr>
        <w:pStyle w:val="Numberedparagraph"/>
        <w:numPr>
          <w:ilvl w:val="0"/>
          <w:numId w:val="39"/>
        </w:numPr>
      </w:pPr>
      <w:r w:rsidRPr="00FB249F">
        <w:t>the rate of consumptive water abstraction from each site on each date</w:t>
      </w:r>
    </w:p>
    <w:p w14:paraId="14FA06EC" w14:textId="77777777" w:rsidR="00B224B5" w:rsidRPr="00FB249F" w:rsidRDefault="00B224B5" w:rsidP="00402C40">
      <w:pPr>
        <w:pStyle w:val="Numberedparagraph"/>
        <w:numPr>
          <w:ilvl w:val="0"/>
          <w:numId w:val="39"/>
        </w:numPr>
      </w:pPr>
      <w:r w:rsidRPr="00FB249F">
        <w:t>metadata, including:</w:t>
      </w:r>
    </w:p>
    <w:p w14:paraId="56E85696" w14:textId="77777777" w:rsidR="00B224B5" w:rsidRPr="00FB249F" w:rsidRDefault="00B224B5" w:rsidP="00402C40">
      <w:pPr>
        <w:pStyle w:val="Sub-list"/>
      </w:pPr>
      <w:r w:rsidRPr="00FB249F">
        <w:t>location of water abstraction</w:t>
      </w:r>
    </w:p>
    <w:p w14:paraId="2A4EA3F1" w14:textId="77777777" w:rsidR="00B224B5" w:rsidRPr="00FB249F" w:rsidRDefault="00B224B5" w:rsidP="00402C40">
      <w:pPr>
        <w:pStyle w:val="Sub-list"/>
      </w:pPr>
      <w:r w:rsidRPr="00FB249F">
        <w:t>source of water (surface- or groundwater)</w:t>
      </w:r>
    </w:p>
    <w:p w14:paraId="25F41A29" w14:textId="77777777" w:rsidR="00B224B5" w:rsidRPr="00FB249F" w:rsidRDefault="00B224B5" w:rsidP="00402C40">
      <w:pPr>
        <w:pStyle w:val="Sub-list"/>
      </w:pPr>
      <w:r w:rsidRPr="00FB249F">
        <w:t>type of water use</w:t>
      </w:r>
    </w:p>
    <w:p w14:paraId="209C66EC" w14:textId="77777777" w:rsidR="00B224B5" w:rsidRPr="00FB249F" w:rsidRDefault="00B224B5" w:rsidP="00402C40">
      <w:pPr>
        <w:pStyle w:val="Sub-list"/>
      </w:pPr>
      <w:r w:rsidRPr="00FB249F">
        <w:t>volume of water abstraction</w:t>
      </w:r>
    </w:p>
    <w:p w14:paraId="2B251EE9" w14:textId="77777777" w:rsidR="00B224B5" w:rsidRPr="00FB249F" w:rsidRDefault="00B224B5" w:rsidP="00402C40">
      <w:pPr>
        <w:pStyle w:val="Sub-list"/>
      </w:pPr>
      <w:r w:rsidRPr="00FB249F">
        <w:t xml:space="preserve">bore depth, screen depth, </w:t>
      </w:r>
      <w:bookmarkStart w:id="25" w:name="_Hlk90042972"/>
      <w:r w:rsidRPr="00FB249F">
        <w:t xml:space="preserve">storativity </w:t>
      </w:r>
      <w:bookmarkEnd w:id="25"/>
      <w:r w:rsidRPr="00FB249F">
        <w:t>and transmissivity (for groundwater abstractions).</w:t>
      </w:r>
    </w:p>
    <w:p w14:paraId="4A1FACCE" w14:textId="77777777" w:rsidR="00B224B5" w:rsidRPr="00FB249F" w:rsidRDefault="00B224B5" w:rsidP="00B224B5">
      <w:pPr>
        <w:pStyle w:val="BodyText"/>
      </w:pPr>
      <w:r w:rsidRPr="00FB249F">
        <w:lastRenderedPageBreak/>
        <w:t xml:space="preserve">The Horizons records did not include abstractions for consumptive hydropower, so these were not included in the analysis for the Manawatū-Whanganui region (there are no consumptive hydropower schemes in the Wellington region). The analytical implications of omitting this data are discussed in the following sections. </w:t>
      </w:r>
    </w:p>
    <w:p w14:paraId="3C3544B6" w14:textId="78366BEF" w:rsidR="00B224B5" w:rsidRPr="00FB249F" w:rsidRDefault="00B224B5" w:rsidP="00B224B5">
      <w:pPr>
        <w:pStyle w:val="BodyText"/>
      </w:pPr>
      <w:r w:rsidRPr="00FB249F">
        <w:t xml:space="preserve">NIWA obtained earlier versions of these non-hydropower abstraction datasets in 2018, using an automated procedure to download them remotely from council web services. </w:t>
      </w:r>
      <w:r w:rsidRPr="00FB249F">
        <w:rPr>
          <w:rFonts w:asciiTheme="minorHAnsi" w:hAnsiTheme="minorHAnsi"/>
        </w:rPr>
        <w:t xml:space="preserve">Their format was suitable to run the streamflow depletion model and demonstrate the viability of the methodology (Booker et al, 2019), but there were quality issues that prevented their use in this analysis. These issues, the subsequent dataset improvements, and the data acquisition process for the current study, are detailed in </w:t>
      </w:r>
      <w:hyperlink w:anchor="_Appendix_A:_Technical" w:history="1">
        <w:r w:rsidRPr="00FB249F">
          <w:rPr>
            <w:rStyle w:val="Hyperlink"/>
            <w:rFonts w:asciiTheme="minorHAnsi" w:hAnsiTheme="minorHAnsi"/>
          </w:rPr>
          <w:t>Appendix A</w:t>
        </w:r>
      </w:hyperlink>
      <w:r w:rsidRPr="00FB249F">
        <w:rPr>
          <w:rFonts w:asciiTheme="minorHAnsi" w:hAnsiTheme="minorHAnsi"/>
        </w:rPr>
        <w:t xml:space="preserve">. </w:t>
      </w:r>
    </w:p>
    <w:p w14:paraId="6299C6D8" w14:textId="77777777" w:rsidR="00B224B5" w:rsidRPr="00FB249F" w:rsidRDefault="00B224B5" w:rsidP="00B224B5">
      <w:pPr>
        <w:pStyle w:val="Heading2"/>
      </w:pPr>
      <w:bookmarkStart w:id="26" w:name="_Toc88208523"/>
      <w:bookmarkStart w:id="27" w:name="_Toc90312368"/>
      <w:r w:rsidRPr="00FB249F">
        <w:t>Comparing measured abstractions by primary water use</w:t>
      </w:r>
      <w:bookmarkEnd w:id="26"/>
      <w:bookmarkEnd w:id="27"/>
    </w:p>
    <w:p w14:paraId="406E264F" w14:textId="1E3B117B" w:rsidR="00B224B5" w:rsidRPr="00FB249F" w:rsidRDefault="00B224B5" w:rsidP="00B224B5">
      <w:pPr>
        <w:spacing w:after="160" w:line="259" w:lineRule="auto"/>
        <w:jc w:val="left"/>
      </w:pPr>
      <w:r w:rsidRPr="00FB249F">
        <w:t xml:space="preserve">To provide context for the measured abstraction data, we used GWRC and Horizons metadata to assign a primary water use to each measured abstraction site and plotted them onto a map (see table </w:t>
      </w:r>
      <w:r w:rsidR="002D24B0">
        <w:t>2</w:t>
      </w:r>
      <w:r w:rsidR="002D24B0" w:rsidRPr="00FB249F">
        <w:t xml:space="preserve"> </w:t>
      </w:r>
      <w:r w:rsidRPr="00FB249F">
        <w:t>and figure 3). Based on this assessment, irrigation (red in figure 3) was the primary non-hydropower water use for most abstraction sites in the supplied datasets.</w:t>
      </w:r>
    </w:p>
    <w:p w14:paraId="44E31178" w14:textId="20B69C36" w:rsidR="00545838" w:rsidRPr="00FB249F" w:rsidRDefault="00545838" w:rsidP="00545838">
      <w:pPr>
        <w:pStyle w:val="Tableheading"/>
      </w:pPr>
      <w:bookmarkStart w:id="28" w:name="_Toc88208536"/>
      <w:bookmarkStart w:id="29" w:name="_Toc90312380"/>
      <w:r w:rsidRPr="00FB249F">
        <w:t xml:space="preserve">Table </w:t>
      </w:r>
      <w:r w:rsidR="002D24B0">
        <w:t>2</w:t>
      </w:r>
      <w:r w:rsidRPr="00FB249F">
        <w:t>:</w:t>
      </w:r>
      <w:r w:rsidRPr="00FB249F">
        <w:tab/>
        <w:t>Assignment of primary water use categories to measured non-hydropower abstraction</w:t>
      </w:r>
      <w:r w:rsidR="00BB1ACA" w:rsidRPr="00FB249F">
        <w:t> </w:t>
      </w:r>
      <w:r w:rsidRPr="00FB249F">
        <w:t>sites</w:t>
      </w:r>
      <w:bookmarkEnd w:id="28"/>
      <w:bookmarkEnd w:id="29"/>
    </w:p>
    <w:tbl>
      <w:tblPr>
        <w:tblStyle w:val="TableGrid"/>
        <w:tblW w:w="8505" w:type="dxa"/>
        <w:tblInd w:w="113"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1929"/>
        <w:gridCol w:w="4238"/>
        <w:gridCol w:w="2338"/>
      </w:tblGrid>
      <w:tr w:rsidR="00545838" w:rsidRPr="00FB249F" w14:paraId="0517C3DD" w14:textId="77777777" w:rsidTr="00BB1ACA">
        <w:trPr>
          <w:tblHeader/>
        </w:trPr>
        <w:tc>
          <w:tcPr>
            <w:tcW w:w="1872" w:type="dxa"/>
            <w:shd w:val="clear" w:color="auto" w:fill="1C556C"/>
          </w:tcPr>
          <w:p w14:paraId="5621F817" w14:textId="77777777" w:rsidR="00545838" w:rsidRPr="00FB249F" w:rsidRDefault="00545838" w:rsidP="00F23144">
            <w:pPr>
              <w:pStyle w:val="TableTextbold"/>
              <w:rPr>
                <w:color w:val="FFFFFF" w:themeColor="background1"/>
              </w:rPr>
            </w:pPr>
            <w:r w:rsidRPr="00FB249F">
              <w:rPr>
                <w:color w:val="FFFFFF" w:themeColor="background1"/>
              </w:rPr>
              <w:t>Regional council</w:t>
            </w:r>
          </w:p>
        </w:tc>
        <w:tc>
          <w:tcPr>
            <w:tcW w:w="4111" w:type="dxa"/>
            <w:shd w:val="clear" w:color="auto" w:fill="1C556C"/>
          </w:tcPr>
          <w:p w14:paraId="70377FD7" w14:textId="77777777" w:rsidR="00545838" w:rsidRPr="00FB249F" w:rsidRDefault="00545838" w:rsidP="00F23144">
            <w:pPr>
              <w:pStyle w:val="TableTextbold"/>
              <w:rPr>
                <w:color w:val="FFFFFF" w:themeColor="background1"/>
              </w:rPr>
            </w:pPr>
            <w:r w:rsidRPr="00FB249F">
              <w:rPr>
                <w:color w:val="FFFFFF" w:themeColor="background1"/>
              </w:rPr>
              <w:t>Use</w:t>
            </w:r>
          </w:p>
        </w:tc>
        <w:tc>
          <w:tcPr>
            <w:tcW w:w="2268" w:type="dxa"/>
            <w:shd w:val="clear" w:color="auto" w:fill="1C556C"/>
          </w:tcPr>
          <w:p w14:paraId="1C30541E" w14:textId="77777777" w:rsidR="00545838" w:rsidRPr="00FB249F" w:rsidRDefault="00545838" w:rsidP="00F23144">
            <w:pPr>
              <w:pStyle w:val="TableTextbold"/>
              <w:rPr>
                <w:color w:val="FFFFFF" w:themeColor="background1"/>
              </w:rPr>
            </w:pPr>
            <w:r w:rsidRPr="00FB249F">
              <w:rPr>
                <w:color w:val="FFFFFF" w:themeColor="background1"/>
              </w:rPr>
              <w:t>Primary use category</w:t>
            </w:r>
          </w:p>
        </w:tc>
      </w:tr>
      <w:tr w:rsidR="00545838" w:rsidRPr="00FB249F" w14:paraId="782B215C" w14:textId="77777777" w:rsidTr="00BB1ACA">
        <w:trPr>
          <w:trHeight w:val="360"/>
        </w:trPr>
        <w:tc>
          <w:tcPr>
            <w:tcW w:w="1872" w:type="dxa"/>
            <w:shd w:val="clear" w:color="auto" w:fill="auto"/>
          </w:tcPr>
          <w:p w14:paraId="7BC1BB44" w14:textId="77777777" w:rsidR="00545838" w:rsidRPr="00FB249F" w:rsidRDefault="00545838" w:rsidP="00F23144">
            <w:pPr>
              <w:pStyle w:val="TableText"/>
            </w:pPr>
            <w:r w:rsidRPr="00FB249F">
              <w:t>Greater Wellington</w:t>
            </w:r>
          </w:p>
        </w:tc>
        <w:tc>
          <w:tcPr>
            <w:tcW w:w="4111" w:type="dxa"/>
          </w:tcPr>
          <w:p w14:paraId="523A1291" w14:textId="77777777" w:rsidR="00545838" w:rsidRPr="00FB249F" w:rsidRDefault="00545838" w:rsidP="00F23144">
            <w:pPr>
              <w:pStyle w:val="TableText"/>
            </w:pPr>
            <w:r w:rsidRPr="00FB249F">
              <w:t>Drinking</w:t>
            </w:r>
            <w:r w:rsidRPr="00FB249F">
              <w:br/>
              <w:t>Private water supply</w:t>
            </w:r>
          </w:p>
        </w:tc>
        <w:tc>
          <w:tcPr>
            <w:tcW w:w="2268" w:type="dxa"/>
            <w:vMerge w:val="restart"/>
          </w:tcPr>
          <w:p w14:paraId="18E7300D" w14:textId="77777777" w:rsidR="00545838" w:rsidRPr="00FB249F" w:rsidRDefault="00545838" w:rsidP="00F23144">
            <w:pPr>
              <w:pStyle w:val="TableText"/>
            </w:pPr>
            <w:r w:rsidRPr="00FB249F">
              <w:t>Drinking</w:t>
            </w:r>
          </w:p>
        </w:tc>
      </w:tr>
      <w:tr w:rsidR="00545838" w:rsidRPr="00FB249F" w14:paraId="0333B736" w14:textId="77777777" w:rsidTr="00BB1ACA">
        <w:tc>
          <w:tcPr>
            <w:tcW w:w="1872" w:type="dxa"/>
          </w:tcPr>
          <w:p w14:paraId="29ABC0EE" w14:textId="77777777" w:rsidR="00545838" w:rsidRPr="00FB249F" w:rsidRDefault="00545838" w:rsidP="00F23144">
            <w:pPr>
              <w:pStyle w:val="TableText"/>
            </w:pPr>
            <w:r w:rsidRPr="00FB249F">
              <w:t>Horizons</w:t>
            </w:r>
          </w:p>
        </w:tc>
        <w:tc>
          <w:tcPr>
            <w:tcW w:w="4111" w:type="dxa"/>
          </w:tcPr>
          <w:p w14:paraId="3D1543B3" w14:textId="77777777" w:rsidR="00545838" w:rsidRPr="00FB249F" w:rsidRDefault="00545838" w:rsidP="00F23144">
            <w:pPr>
              <w:pStyle w:val="TableText"/>
            </w:pPr>
            <w:r w:rsidRPr="00FB249F">
              <w:t xml:space="preserve">Municipal and/or drinking water </w:t>
            </w:r>
          </w:p>
        </w:tc>
        <w:tc>
          <w:tcPr>
            <w:tcW w:w="2268" w:type="dxa"/>
            <w:vMerge/>
          </w:tcPr>
          <w:p w14:paraId="73D310AD" w14:textId="77777777" w:rsidR="00545838" w:rsidRPr="00FB249F" w:rsidRDefault="00545838" w:rsidP="00F23144">
            <w:pPr>
              <w:pStyle w:val="TableText"/>
            </w:pPr>
          </w:p>
        </w:tc>
      </w:tr>
      <w:tr w:rsidR="00545838" w:rsidRPr="00FB249F" w14:paraId="7081EAE6" w14:textId="77777777" w:rsidTr="00BB1ACA">
        <w:tc>
          <w:tcPr>
            <w:tcW w:w="1872" w:type="dxa"/>
          </w:tcPr>
          <w:p w14:paraId="7208378E" w14:textId="77777777" w:rsidR="00545838" w:rsidRPr="00FB249F" w:rsidRDefault="00545838" w:rsidP="00F23144">
            <w:pPr>
              <w:pStyle w:val="TableText"/>
            </w:pPr>
            <w:r w:rsidRPr="00FB249F">
              <w:t>Greater Wellington</w:t>
            </w:r>
          </w:p>
        </w:tc>
        <w:tc>
          <w:tcPr>
            <w:tcW w:w="4111" w:type="dxa"/>
          </w:tcPr>
          <w:p w14:paraId="4048317C" w14:textId="77777777" w:rsidR="00545838" w:rsidRPr="00FB249F" w:rsidRDefault="00545838" w:rsidP="00F23144">
            <w:pPr>
              <w:pStyle w:val="TableText"/>
            </w:pPr>
            <w:r w:rsidRPr="00FB249F">
              <w:t>Industrial</w:t>
            </w:r>
          </w:p>
        </w:tc>
        <w:tc>
          <w:tcPr>
            <w:tcW w:w="2268" w:type="dxa"/>
            <w:vMerge w:val="restart"/>
          </w:tcPr>
          <w:p w14:paraId="2C9F2602" w14:textId="77777777" w:rsidR="00545838" w:rsidRPr="00FB249F" w:rsidRDefault="00545838" w:rsidP="00F23144">
            <w:pPr>
              <w:pStyle w:val="TableText"/>
            </w:pPr>
            <w:r w:rsidRPr="00FB249F">
              <w:t>Industrial</w:t>
            </w:r>
          </w:p>
        </w:tc>
      </w:tr>
      <w:tr w:rsidR="00545838" w:rsidRPr="00FB249F" w14:paraId="4DAD335E" w14:textId="77777777" w:rsidTr="00BB1ACA">
        <w:tc>
          <w:tcPr>
            <w:tcW w:w="1872" w:type="dxa"/>
          </w:tcPr>
          <w:p w14:paraId="431D6108" w14:textId="77777777" w:rsidR="00545838" w:rsidRPr="00FB249F" w:rsidRDefault="00545838" w:rsidP="00F23144">
            <w:pPr>
              <w:pStyle w:val="TableText"/>
            </w:pPr>
            <w:r w:rsidRPr="00FB249F">
              <w:t>Horizons</w:t>
            </w:r>
          </w:p>
        </w:tc>
        <w:tc>
          <w:tcPr>
            <w:tcW w:w="4111" w:type="dxa"/>
          </w:tcPr>
          <w:p w14:paraId="592043E6" w14:textId="77777777" w:rsidR="00545838" w:rsidRPr="00FB249F" w:rsidRDefault="00545838" w:rsidP="00F23144">
            <w:pPr>
              <w:pStyle w:val="TableText"/>
            </w:pPr>
            <w:r w:rsidRPr="00FB249F">
              <w:t>Industrial, processing and manufacturing</w:t>
            </w:r>
            <w:r w:rsidRPr="00FB249F">
              <w:br/>
              <w:t>Industrial, research and science (includes educational)</w:t>
            </w:r>
          </w:p>
        </w:tc>
        <w:tc>
          <w:tcPr>
            <w:tcW w:w="2268" w:type="dxa"/>
            <w:vMerge/>
          </w:tcPr>
          <w:p w14:paraId="45D9C025" w14:textId="77777777" w:rsidR="00545838" w:rsidRPr="00FB249F" w:rsidRDefault="00545838" w:rsidP="00F23144">
            <w:pPr>
              <w:pStyle w:val="TableText"/>
            </w:pPr>
          </w:p>
        </w:tc>
      </w:tr>
      <w:tr w:rsidR="00545838" w:rsidRPr="00FB249F" w14:paraId="1FCDDFDA" w14:textId="77777777" w:rsidTr="00BB1ACA">
        <w:tc>
          <w:tcPr>
            <w:tcW w:w="1872" w:type="dxa"/>
          </w:tcPr>
          <w:p w14:paraId="08987485" w14:textId="77777777" w:rsidR="00545838" w:rsidRPr="00FB249F" w:rsidRDefault="00545838" w:rsidP="00F23144">
            <w:pPr>
              <w:pStyle w:val="TableText"/>
            </w:pPr>
            <w:r w:rsidRPr="00FB249F">
              <w:t>Greater Wellington</w:t>
            </w:r>
          </w:p>
        </w:tc>
        <w:tc>
          <w:tcPr>
            <w:tcW w:w="4111" w:type="dxa"/>
          </w:tcPr>
          <w:p w14:paraId="5BBABDD9" w14:textId="77777777" w:rsidR="00545838" w:rsidRPr="00FB249F" w:rsidRDefault="00545838" w:rsidP="00F23144">
            <w:pPr>
              <w:pStyle w:val="TableText"/>
            </w:pPr>
            <w:r w:rsidRPr="00FB249F">
              <w:t>Irrigation</w:t>
            </w:r>
            <w:r w:rsidRPr="00FB249F">
              <w:br/>
              <w:t>Stock</w:t>
            </w:r>
            <w:r w:rsidRPr="00FB249F">
              <w:br/>
              <w:t>Frost protection</w:t>
            </w:r>
          </w:p>
        </w:tc>
        <w:tc>
          <w:tcPr>
            <w:tcW w:w="2268" w:type="dxa"/>
            <w:vMerge w:val="restart"/>
          </w:tcPr>
          <w:p w14:paraId="26121C21" w14:textId="77777777" w:rsidR="00545838" w:rsidRPr="00FB249F" w:rsidRDefault="00545838" w:rsidP="00F23144">
            <w:pPr>
              <w:pStyle w:val="TableText"/>
            </w:pPr>
            <w:r w:rsidRPr="00FB249F">
              <w:t>Irrigation</w:t>
            </w:r>
          </w:p>
        </w:tc>
      </w:tr>
      <w:tr w:rsidR="00545838" w:rsidRPr="00FB249F" w14:paraId="71A4B8B2" w14:textId="77777777" w:rsidTr="00BB1ACA">
        <w:tc>
          <w:tcPr>
            <w:tcW w:w="1872" w:type="dxa"/>
          </w:tcPr>
          <w:p w14:paraId="38117B13" w14:textId="77777777" w:rsidR="00545838" w:rsidRPr="00FB249F" w:rsidRDefault="00545838" w:rsidP="00F23144">
            <w:pPr>
              <w:pStyle w:val="TableText"/>
            </w:pPr>
            <w:r w:rsidRPr="00FB249F">
              <w:t>Horizons</w:t>
            </w:r>
          </w:p>
        </w:tc>
        <w:tc>
          <w:tcPr>
            <w:tcW w:w="4111" w:type="dxa"/>
          </w:tcPr>
          <w:p w14:paraId="11AB4951" w14:textId="77777777" w:rsidR="00545838" w:rsidRPr="00FB249F" w:rsidRDefault="00545838" w:rsidP="00F23144">
            <w:pPr>
              <w:pStyle w:val="TableText"/>
            </w:pPr>
            <w:r w:rsidRPr="00FB249F">
              <w:t>Agriculture, feed crops (includes pastures) Horticulture, vegetables</w:t>
            </w:r>
            <w:r w:rsidRPr="00FB249F">
              <w:br/>
              <w:t>Horticulture, fruit</w:t>
            </w:r>
            <w:r w:rsidRPr="00FB249F">
              <w:br/>
              <w:t>Horticulture, garden plants</w:t>
            </w:r>
            <w:r w:rsidRPr="00FB249F">
              <w:br/>
              <w:t>Horticulture, floriculture</w:t>
            </w:r>
            <w:r w:rsidRPr="00FB249F">
              <w:br/>
              <w:t>Agriculture, intensive farming, dairy</w:t>
            </w:r>
            <w:r w:rsidRPr="00FB249F">
              <w:br/>
              <w:t>Agriculture, intensive farming, sheep</w:t>
            </w:r>
            <w:r w:rsidRPr="00FB249F">
              <w:br/>
              <w:t xml:space="preserve">Agriculture, dairy cattle farming </w:t>
            </w:r>
          </w:p>
        </w:tc>
        <w:tc>
          <w:tcPr>
            <w:tcW w:w="2268" w:type="dxa"/>
            <w:vMerge/>
          </w:tcPr>
          <w:p w14:paraId="732871DA" w14:textId="77777777" w:rsidR="00545838" w:rsidRPr="00FB249F" w:rsidRDefault="00545838" w:rsidP="00F23144">
            <w:pPr>
              <w:pStyle w:val="TableText"/>
            </w:pPr>
          </w:p>
        </w:tc>
      </w:tr>
      <w:tr w:rsidR="00545838" w:rsidRPr="00FB249F" w14:paraId="09D5FBB2" w14:textId="77777777" w:rsidTr="00BB1ACA">
        <w:tc>
          <w:tcPr>
            <w:tcW w:w="1872" w:type="dxa"/>
          </w:tcPr>
          <w:p w14:paraId="574E7248" w14:textId="77777777" w:rsidR="00545838" w:rsidRPr="00FB249F" w:rsidRDefault="00545838" w:rsidP="00F23144">
            <w:pPr>
              <w:pStyle w:val="TableText"/>
            </w:pPr>
            <w:r w:rsidRPr="00FB249F">
              <w:t>Greater Wellington</w:t>
            </w:r>
          </w:p>
        </w:tc>
        <w:tc>
          <w:tcPr>
            <w:tcW w:w="4111" w:type="dxa"/>
          </w:tcPr>
          <w:p w14:paraId="77832A77" w14:textId="77777777" w:rsidR="00545838" w:rsidRPr="00FB249F" w:rsidRDefault="00545838" w:rsidP="00F23144">
            <w:pPr>
              <w:pStyle w:val="TableText"/>
            </w:pPr>
            <w:r w:rsidRPr="00FB249F">
              <w:t>Combined/mixed</w:t>
            </w:r>
          </w:p>
        </w:tc>
        <w:tc>
          <w:tcPr>
            <w:tcW w:w="2268" w:type="dxa"/>
            <w:vMerge w:val="restart"/>
          </w:tcPr>
          <w:p w14:paraId="7E011029" w14:textId="77777777" w:rsidR="00545838" w:rsidRPr="00FB249F" w:rsidRDefault="00545838" w:rsidP="00F23144">
            <w:pPr>
              <w:pStyle w:val="TableText"/>
            </w:pPr>
            <w:r w:rsidRPr="00FB249F">
              <w:t>Other and multiple uses</w:t>
            </w:r>
          </w:p>
        </w:tc>
      </w:tr>
      <w:tr w:rsidR="00545838" w:rsidRPr="00FB249F" w14:paraId="0FDA8F87" w14:textId="77777777" w:rsidTr="00BB1ACA">
        <w:tc>
          <w:tcPr>
            <w:tcW w:w="1872" w:type="dxa"/>
          </w:tcPr>
          <w:p w14:paraId="71258672" w14:textId="77777777" w:rsidR="00545838" w:rsidRPr="00FB249F" w:rsidRDefault="00545838" w:rsidP="00F23144">
            <w:pPr>
              <w:pStyle w:val="TableText"/>
            </w:pPr>
            <w:r w:rsidRPr="00FB249F">
              <w:t>Horizons</w:t>
            </w:r>
          </w:p>
        </w:tc>
        <w:tc>
          <w:tcPr>
            <w:tcW w:w="4111" w:type="dxa"/>
          </w:tcPr>
          <w:p w14:paraId="47A3B8C0" w14:textId="77777777" w:rsidR="00545838" w:rsidRPr="00FB249F" w:rsidRDefault="00545838" w:rsidP="00F23144">
            <w:pPr>
              <w:pStyle w:val="TableText"/>
            </w:pPr>
            <w:r w:rsidRPr="00FB249F">
              <w:t>Recreational, sports ground</w:t>
            </w:r>
            <w:r w:rsidRPr="00FB249F">
              <w:br/>
              <w:t>Recreational, rivers, lakes and watercourses</w:t>
            </w:r>
          </w:p>
        </w:tc>
        <w:tc>
          <w:tcPr>
            <w:tcW w:w="2268" w:type="dxa"/>
            <w:vMerge/>
          </w:tcPr>
          <w:p w14:paraId="6EF388F8" w14:textId="77777777" w:rsidR="00545838" w:rsidRPr="00FB249F" w:rsidRDefault="00545838" w:rsidP="00F23144">
            <w:pPr>
              <w:pStyle w:val="TableText"/>
            </w:pPr>
          </w:p>
        </w:tc>
      </w:tr>
    </w:tbl>
    <w:p w14:paraId="4EC0E437" w14:textId="77777777" w:rsidR="00545838" w:rsidRPr="00FB249F" w:rsidRDefault="00545838" w:rsidP="003872E1">
      <w:pPr>
        <w:pStyle w:val="Note"/>
      </w:pPr>
      <w:r w:rsidRPr="00FB249F">
        <w:t>Note: Sites without a use specified in their metadata were assigned to the “Use type not available” primary use category.</w:t>
      </w:r>
    </w:p>
    <w:p w14:paraId="01C90257" w14:textId="12662137" w:rsidR="00A977AA" w:rsidRPr="00FB249F" w:rsidRDefault="00A977AA" w:rsidP="006C42EC">
      <w:pPr>
        <w:pStyle w:val="Figureheading"/>
      </w:pPr>
      <w:bookmarkStart w:id="30" w:name="_Toc88208543"/>
      <w:bookmarkStart w:id="31" w:name="_Toc90312405"/>
      <w:r w:rsidRPr="00FB249F">
        <w:lastRenderedPageBreak/>
        <w:t xml:space="preserve">Figure 3: </w:t>
      </w:r>
      <w:r w:rsidRPr="00FB249F">
        <w:tab/>
        <w:t xml:space="preserve">Primary water use for (non-hydropower) abstraction sites with measured abstraction data in the Wellington and </w:t>
      </w:r>
      <w:bookmarkStart w:id="32" w:name="_Hlk67920135"/>
      <w:r w:rsidRPr="00FB249F">
        <w:t xml:space="preserve">Manawatū-Whanganui </w:t>
      </w:r>
      <w:bookmarkEnd w:id="32"/>
      <w:r w:rsidRPr="00FB249F">
        <w:t>regions, June</w:t>
      </w:r>
      <w:r w:rsidR="00AF157E">
        <w:t> </w:t>
      </w:r>
      <w:r w:rsidRPr="00FB249F">
        <w:t>2015–June 2018</w:t>
      </w:r>
      <w:bookmarkEnd w:id="30"/>
      <w:bookmarkEnd w:id="31"/>
    </w:p>
    <w:p w14:paraId="176B6A6C" w14:textId="18F3F493" w:rsidR="00A977AA" w:rsidRPr="00FB249F" w:rsidRDefault="00732B39" w:rsidP="003D04B4">
      <w:pPr>
        <w:pStyle w:val="BodyText"/>
        <w:jc w:val="center"/>
      </w:pPr>
      <w:r>
        <w:rPr>
          <w:noProof/>
        </w:rPr>
        <w:drawing>
          <wp:inline distT="0" distB="0" distL="0" distR="0" wp14:anchorId="4126F4AF" wp14:editId="073FBDDF">
            <wp:extent cx="5115464" cy="7979623"/>
            <wp:effectExtent l="0" t="0" r="9525"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8">
                      <a:extLst>
                        <a:ext uri="{28A0092B-C50C-407E-A947-70E740481C1C}">
                          <a14:useLocalDpi xmlns:a14="http://schemas.microsoft.com/office/drawing/2010/main" val="0"/>
                        </a:ext>
                      </a:extLst>
                    </a:blip>
                    <a:srcRect t="692" b="6309"/>
                    <a:stretch/>
                  </pic:blipFill>
                  <pic:spPr bwMode="auto">
                    <a:xfrm>
                      <a:off x="0" y="0"/>
                      <a:ext cx="5121059" cy="7988350"/>
                    </a:xfrm>
                    <a:prstGeom prst="rect">
                      <a:avLst/>
                    </a:prstGeom>
                    <a:noFill/>
                    <a:ln>
                      <a:noFill/>
                    </a:ln>
                    <a:extLst>
                      <a:ext uri="{53640926-AAD7-44D8-BBD7-CCE9431645EC}">
                        <a14:shadowObscured xmlns:a14="http://schemas.microsoft.com/office/drawing/2010/main"/>
                      </a:ext>
                    </a:extLst>
                  </pic:spPr>
                </pic:pic>
              </a:graphicData>
            </a:graphic>
          </wp:inline>
        </w:drawing>
      </w:r>
    </w:p>
    <w:p w14:paraId="0EDE682A" w14:textId="77777777" w:rsidR="00A977AA" w:rsidRPr="00FB249F" w:rsidRDefault="00A977AA" w:rsidP="006C42EC">
      <w:pPr>
        <w:pStyle w:val="Source"/>
      </w:pPr>
      <w:r w:rsidRPr="00FB249F">
        <w:t>Data sources: GWRC and Horizons</w:t>
      </w:r>
    </w:p>
    <w:p w14:paraId="054EBCD9" w14:textId="77777777" w:rsidR="00A977AA" w:rsidRPr="00FB249F" w:rsidRDefault="00A977AA" w:rsidP="006C42EC">
      <w:pPr>
        <w:pStyle w:val="Note"/>
        <w:spacing w:before="0"/>
      </w:pPr>
      <w:r w:rsidRPr="00FB249F">
        <w:t>Note: Only sites with verified time series datasets are shown.</w:t>
      </w:r>
    </w:p>
    <w:p w14:paraId="38AF7D0A" w14:textId="0EBCB1C7" w:rsidR="00A977AA" w:rsidRPr="00FB249F" w:rsidRDefault="00A977AA" w:rsidP="006C42EC">
      <w:pPr>
        <w:pStyle w:val="BodyText"/>
      </w:pPr>
      <w:r w:rsidRPr="00FB249F">
        <w:lastRenderedPageBreak/>
        <w:t>To compare the relative proportions of measured abstractions by primary use type for each region, we took the average annual total measured abstraction volume for each use type over</w:t>
      </w:r>
      <w:r w:rsidR="006C42EC" w:rsidRPr="00FB249F">
        <w:t> </w:t>
      </w:r>
      <w:r w:rsidRPr="00FB249F">
        <w:t xml:space="preserve">the three-year study period and generated water use profiles (see figures 4 and 5). This assessment estimates that abstractions for drinking and irrigation (purple and red in figure 4) made up most of the overall measured water use in the Wellington region, at 52 per cent and 39 per cent respectively, and industrial and ‘other and multiple’ uses (turquoise and blue) made up less than 1 per cent. The use type was not specified for 9 per cent of the measured abstractions (yellow in figure 4). The assessment for the Manawatū-Whanganui region estimates that abstractions for: </w:t>
      </w:r>
    </w:p>
    <w:p w14:paraId="4786A37B" w14:textId="77777777" w:rsidR="00491A96" w:rsidRPr="00FB249F" w:rsidRDefault="00491A96" w:rsidP="00491A96">
      <w:pPr>
        <w:pStyle w:val="Bullet"/>
        <w:tabs>
          <w:tab w:val="num" w:pos="397"/>
        </w:tabs>
      </w:pPr>
      <w:r w:rsidRPr="00FB249F">
        <w:t>irrigation and drinking (red and purple in figure 5) made up the greatest proportions of overall measured (non-hydropower) water use, at 63 per cent and 27 per cent respectively</w:t>
      </w:r>
    </w:p>
    <w:p w14:paraId="133A72B7" w14:textId="77777777" w:rsidR="00491A96" w:rsidRPr="00FB249F" w:rsidRDefault="00491A96" w:rsidP="00491A96">
      <w:pPr>
        <w:pStyle w:val="Bullet"/>
        <w:tabs>
          <w:tab w:val="num" w:pos="397"/>
        </w:tabs>
      </w:pPr>
      <w:r w:rsidRPr="00FB249F">
        <w:t xml:space="preserve">industrial use (turquoise) made up 9 per cent </w:t>
      </w:r>
    </w:p>
    <w:p w14:paraId="444F7F77" w14:textId="77777777" w:rsidR="00491A96" w:rsidRPr="00FB249F" w:rsidRDefault="00491A96" w:rsidP="00491A96">
      <w:pPr>
        <w:pStyle w:val="Bullet"/>
        <w:tabs>
          <w:tab w:val="num" w:pos="397"/>
        </w:tabs>
      </w:pPr>
      <w:r w:rsidRPr="00FB249F">
        <w:t xml:space="preserve">‘other and multiple’ uses (blue) made up 1 per cent. </w:t>
      </w:r>
    </w:p>
    <w:p w14:paraId="63AB872E" w14:textId="466DD431" w:rsidR="00D0682F" w:rsidRDefault="00491A96" w:rsidP="00D0682F">
      <w:pPr>
        <w:pStyle w:val="BodyText"/>
      </w:pPr>
      <w:r w:rsidRPr="00FB249F">
        <w:t>Note that consumptive hydropower schemes in the Manawatu-Whanganui region abstract more water than is consented for all other consumptive uses of water in the region combined (Horizons Regional Council, 2019).</w:t>
      </w:r>
    </w:p>
    <w:p w14:paraId="0BF085AE" w14:textId="04163994" w:rsidR="00AD7B4C" w:rsidRDefault="00D0682F" w:rsidP="002A2499">
      <w:pPr>
        <w:pStyle w:val="Figureheading"/>
        <w:rPr>
          <w:noProof/>
        </w:rPr>
      </w:pPr>
      <w:bookmarkStart w:id="33" w:name="_Toc90312406"/>
      <w:r>
        <w:rPr>
          <w:noProof/>
        </w:rPr>
        <w:drawing>
          <wp:anchor distT="0" distB="0" distL="114300" distR="114300" simplePos="0" relativeHeight="251659265" behindDoc="1" locked="0" layoutInCell="1" allowOverlap="1" wp14:anchorId="773F5CB8" wp14:editId="6DE42BDF">
            <wp:simplePos x="0" y="0"/>
            <wp:positionH relativeFrom="column">
              <wp:posOffset>41275</wp:posOffset>
            </wp:positionH>
            <wp:positionV relativeFrom="paragraph">
              <wp:posOffset>592455</wp:posOffset>
            </wp:positionV>
            <wp:extent cx="5304790" cy="4107815"/>
            <wp:effectExtent l="0" t="0" r="0" b="6985"/>
            <wp:wrapTight wrapText="bothSides">
              <wp:wrapPolygon edited="0">
                <wp:start x="0" y="0"/>
                <wp:lineTo x="0" y="21537"/>
                <wp:lineTo x="21486" y="21537"/>
                <wp:lineTo x="21486" y="0"/>
                <wp:lineTo x="0" y="0"/>
              </wp:wrapPolygon>
            </wp:wrapTight>
            <wp:docPr id="12" name="Picture 12"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 pie chart&#10;&#10;Description automatically generated"/>
                    <pic:cNvPicPr>
                      <a:picLocks noChangeAspect="1" noChangeArrowheads="1"/>
                    </pic:cNvPicPr>
                  </pic:nvPicPr>
                  <pic:blipFill rotWithShape="1">
                    <a:blip r:embed="rId29">
                      <a:extLst>
                        <a:ext uri="{28A0092B-C50C-407E-A947-70E740481C1C}">
                          <a14:useLocalDpi xmlns:a14="http://schemas.microsoft.com/office/drawing/2010/main" val="0"/>
                        </a:ext>
                      </a:extLst>
                    </a:blip>
                    <a:srcRect b="16113"/>
                    <a:stretch/>
                  </pic:blipFill>
                  <pic:spPr bwMode="auto">
                    <a:xfrm>
                      <a:off x="0" y="0"/>
                      <a:ext cx="5304790" cy="4107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2066" w:rsidRPr="00FB249F">
        <w:t xml:space="preserve">Figure 4: </w:t>
      </w:r>
      <w:r w:rsidR="00162066" w:rsidRPr="00FB249F">
        <w:tab/>
        <w:t>Average annual measured abstractions in million cubic metres for Wellington region sites by primary use type, June 2015–June 2018</w:t>
      </w:r>
      <w:bookmarkEnd w:id="33"/>
    </w:p>
    <w:p w14:paraId="09A170A2" w14:textId="7053FF40" w:rsidR="00D0682F" w:rsidRDefault="00162066" w:rsidP="00162066">
      <w:pPr>
        <w:pStyle w:val="Source"/>
      </w:pPr>
      <w:r w:rsidRPr="00FB249F">
        <w:t>Data source: GWRC</w:t>
      </w:r>
    </w:p>
    <w:p w14:paraId="61742D90" w14:textId="77777777" w:rsidR="00D0682F" w:rsidRDefault="00D0682F">
      <w:pPr>
        <w:spacing w:before="0" w:after="200" w:line="276" w:lineRule="auto"/>
        <w:jc w:val="left"/>
        <w:rPr>
          <w:sz w:val="18"/>
        </w:rPr>
      </w:pPr>
      <w:r>
        <w:br w:type="page"/>
      </w:r>
    </w:p>
    <w:p w14:paraId="213B05A3" w14:textId="77777777" w:rsidR="00162066" w:rsidRDefault="00162066" w:rsidP="00162066">
      <w:pPr>
        <w:pStyle w:val="Source"/>
      </w:pPr>
    </w:p>
    <w:p w14:paraId="1210D114" w14:textId="2A31A1B1" w:rsidR="00D0682F" w:rsidRDefault="00D65B6D" w:rsidP="00D0682F">
      <w:pPr>
        <w:pStyle w:val="Figureheading"/>
      </w:pPr>
      <w:bookmarkStart w:id="34" w:name="_Toc88208545"/>
      <w:bookmarkStart w:id="35" w:name="_Toc90312407"/>
      <w:r w:rsidRPr="00FB249F">
        <w:t>Figure 5:</w:t>
      </w:r>
      <w:r w:rsidRPr="00FB249F">
        <w:tab/>
        <w:t>Average annual measured (non-hydropower) abstractions in million cubic metres for Manawatū-Whanganui region sites by primary use type, June 2015–June 2018</w:t>
      </w:r>
      <w:bookmarkEnd w:id="34"/>
      <w:bookmarkEnd w:id="35"/>
    </w:p>
    <w:p w14:paraId="245F80DB" w14:textId="1E147673" w:rsidR="00D65B6D" w:rsidRPr="00FB249F" w:rsidRDefault="00D0682F" w:rsidP="00D65B6D">
      <w:pPr>
        <w:pStyle w:val="BodyText"/>
      </w:pPr>
      <w:r>
        <w:rPr>
          <w:noProof/>
        </w:rPr>
        <w:drawing>
          <wp:inline distT="0" distB="0" distL="0" distR="0" wp14:anchorId="0C19B2A8" wp14:editId="36BBB677">
            <wp:extent cx="5279366" cy="412191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0">
                      <a:extLst>
                        <a:ext uri="{28A0092B-C50C-407E-A947-70E740481C1C}">
                          <a14:useLocalDpi xmlns:a14="http://schemas.microsoft.com/office/drawing/2010/main" val="0"/>
                        </a:ext>
                      </a:extLst>
                    </a:blip>
                    <a:srcRect b="16147"/>
                    <a:stretch/>
                  </pic:blipFill>
                  <pic:spPr bwMode="auto">
                    <a:xfrm>
                      <a:off x="0" y="0"/>
                      <a:ext cx="5284240" cy="4125723"/>
                    </a:xfrm>
                    <a:prstGeom prst="rect">
                      <a:avLst/>
                    </a:prstGeom>
                    <a:noFill/>
                    <a:ln>
                      <a:noFill/>
                    </a:ln>
                    <a:extLst>
                      <a:ext uri="{53640926-AAD7-44D8-BBD7-CCE9431645EC}">
                        <a14:shadowObscured xmlns:a14="http://schemas.microsoft.com/office/drawing/2010/main"/>
                      </a:ext>
                    </a:extLst>
                  </pic:spPr>
                </pic:pic>
              </a:graphicData>
            </a:graphic>
          </wp:inline>
        </w:drawing>
      </w:r>
    </w:p>
    <w:p w14:paraId="7EDF167E" w14:textId="77777777" w:rsidR="00D65B6D" w:rsidRPr="00FB249F" w:rsidRDefault="00D65B6D" w:rsidP="00D65B6D">
      <w:pPr>
        <w:pStyle w:val="Source"/>
      </w:pPr>
      <w:r w:rsidRPr="00FB249F">
        <w:t>Data source: Horizons</w:t>
      </w:r>
    </w:p>
    <w:p w14:paraId="4F6ED4D0" w14:textId="6EAFAE0C" w:rsidR="00D65B6D" w:rsidRPr="00FB249F" w:rsidRDefault="00D65B6D" w:rsidP="002C0E07">
      <w:pPr>
        <w:pStyle w:val="BodyText"/>
      </w:pPr>
      <w:bookmarkStart w:id="36" w:name="_Estimating_streamflow_depletion"/>
      <w:bookmarkEnd w:id="36"/>
      <w:r w:rsidRPr="00FB249F">
        <w:t>This method provided useful context for the measured abstraction data, and allowed us to visualise where water was abstracted, what it was used for, and how much was abstracted for</w:t>
      </w:r>
      <w:r w:rsidR="002C0E07" w:rsidRPr="00FB249F">
        <w:t> </w:t>
      </w:r>
      <w:r w:rsidRPr="00FB249F">
        <w:t>each use.</w:t>
      </w:r>
    </w:p>
    <w:p w14:paraId="21F64683" w14:textId="77777777" w:rsidR="00117ED9" w:rsidRPr="00FB249F" w:rsidRDefault="00117ED9" w:rsidP="00117ED9">
      <w:pPr>
        <w:pStyle w:val="Heading2"/>
      </w:pPr>
      <w:bookmarkStart w:id="37" w:name="_Toc88208524"/>
      <w:bookmarkStart w:id="38" w:name="_Toc90312369"/>
      <w:r w:rsidRPr="00FB249F">
        <w:t>Estimating streamflow depletion using measured abstraction data</w:t>
      </w:r>
      <w:bookmarkEnd w:id="37"/>
      <w:bookmarkEnd w:id="38"/>
    </w:p>
    <w:p w14:paraId="7FFBCF5A" w14:textId="77777777" w:rsidR="00117ED9" w:rsidRPr="00FB249F" w:rsidRDefault="00117ED9" w:rsidP="00117ED9">
      <w:pPr>
        <w:pStyle w:val="BodyText"/>
        <w:rPr>
          <w:rFonts w:asciiTheme="minorHAnsi" w:hAnsiTheme="minorHAnsi" w:cstheme="minorHAnsi"/>
        </w:rPr>
      </w:pPr>
      <w:r w:rsidRPr="00FB249F">
        <w:rPr>
          <w:rFonts w:asciiTheme="minorHAnsi" w:hAnsiTheme="minorHAnsi" w:cstheme="minorHAnsi"/>
        </w:rPr>
        <w:t>To provide improved estimates of streamflow depletion for the Wellington and Manawat</w:t>
      </w:r>
      <w:r w:rsidRPr="00FB249F">
        <w:t>ū</w:t>
      </w:r>
      <w:r w:rsidRPr="00FB249F">
        <w:rPr>
          <w:rFonts w:asciiTheme="minorHAnsi" w:hAnsiTheme="minorHAnsi" w:cstheme="minorHAnsi"/>
        </w:rPr>
        <w:t xml:space="preserve">-Whanganui regional river networks, NIWA used the updated versions of the GWRC and Horizons measured abstraction datasets and applied the modelling methods outlined in Booker et al (2019) (with minor requisite adjustments, see </w:t>
      </w:r>
      <w:hyperlink w:anchor="_Appendix_A:_Technical" w:history="1">
        <w:r w:rsidRPr="00FB249F">
          <w:rPr>
            <w:rStyle w:val="Hyperlink"/>
            <w:rFonts w:asciiTheme="minorHAnsi" w:hAnsiTheme="minorHAnsi" w:cstheme="minorHAnsi"/>
          </w:rPr>
          <w:t>Appendix A</w:t>
        </w:r>
      </w:hyperlink>
      <w:r w:rsidRPr="00FB249F">
        <w:rPr>
          <w:rFonts w:asciiTheme="minorHAnsi" w:hAnsiTheme="minorHAnsi" w:cstheme="minorHAnsi"/>
        </w:rPr>
        <w:t>) as follows:</w:t>
      </w:r>
    </w:p>
    <w:p w14:paraId="7A4E9FA3" w14:textId="77777777" w:rsidR="00117ED9" w:rsidRPr="00FB249F" w:rsidRDefault="00117ED9" w:rsidP="00117ED9">
      <w:pPr>
        <w:pStyle w:val="Numberedparagraph"/>
        <w:numPr>
          <w:ilvl w:val="0"/>
          <w:numId w:val="41"/>
        </w:numPr>
      </w:pPr>
      <w:r w:rsidRPr="00FB249F">
        <w:t>Spatial coordinates were used to assign measured abstraction sites to one or more segments of the digital river network (Snelder &amp; Biggs, 2002)</w:t>
      </w:r>
    </w:p>
    <w:p w14:paraId="354F1871" w14:textId="77777777" w:rsidR="00117ED9" w:rsidRPr="00FB249F" w:rsidRDefault="00117ED9" w:rsidP="00117ED9">
      <w:pPr>
        <w:pStyle w:val="Sub-lista"/>
        <w:rPr>
          <w:rFonts w:asciiTheme="minorHAnsi" w:hAnsiTheme="minorHAnsi" w:cstheme="minorHAnsi"/>
        </w:rPr>
      </w:pPr>
      <w:r w:rsidRPr="00FB249F">
        <w:t>surface water sites were assigned to the nearest river or stream segment, or if multiple segments were within 100 metres, to the segment with the largest estimated seven-day mean (average) annual low flow (MALF) (Booker &amp; Woods, 2014)</w:t>
      </w:r>
    </w:p>
    <w:p w14:paraId="36697401" w14:textId="2A0C9282" w:rsidR="00117ED9" w:rsidRPr="00FB249F" w:rsidRDefault="00117ED9" w:rsidP="00117ED9">
      <w:pPr>
        <w:pStyle w:val="Sub-lista"/>
        <w:rPr>
          <w:rFonts w:asciiTheme="minorHAnsi" w:hAnsiTheme="minorHAnsi" w:cstheme="minorHAnsi"/>
        </w:rPr>
      </w:pPr>
      <w:r w:rsidRPr="00FB249F">
        <w:t>groundwater sites were assigned to all river and stream segments within 2 kilometres (this method assumes the groundwater abstraction will deplete streamflow within this</w:t>
      </w:r>
      <w:r w:rsidR="00915C0E">
        <w:t> </w:t>
      </w:r>
      <w:r w:rsidRPr="00FB249F">
        <w:t>radius).</w:t>
      </w:r>
    </w:p>
    <w:p w14:paraId="069412BF" w14:textId="77777777" w:rsidR="00117ED9" w:rsidRPr="00FB249F" w:rsidRDefault="00117ED9" w:rsidP="00117ED9">
      <w:pPr>
        <w:pStyle w:val="Numberedparagraph"/>
      </w:pPr>
      <w:r w:rsidRPr="00FB249F">
        <w:lastRenderedPageBreak/>
        <w:t>The daily abstraction value for each surface water site was apportioned to a single digital river network segment (this method assumes the abstraction is taken from a single segment, and only that segment).</w:t>
      </w:r>
    </w:p>
    <w:p w14:paraId="799FEEB1" w14:textId="77777777" w:rsidR="00117ED9" w:rsidRPr="00FB249F" w:rsidRDefault="00117ED9" w:rsidP="00117ED9">
      <w:pPr>
        <w:pStyle w:val="Numberedparagraph"/>
      </w:pPr>
      <w:r w:rsidRPr="00FB249F">
        <w:t>Because groundwater abstractions can cause depletion over a large area, the daily abstraction value for each groundwater site was apportioned across a group of digital river network segments as a function of distance and MALF. A two-layer model was used to calculate streamflow depletion across the collection of river and stream segments affected by groundwater abstraction, based on the screen depth of the groundwater well.</w:t>
      </w:r>
    </w:p>
    <w:p w14:paraId="0794FD2E" w14:textId="0D6AF6BB" w:rsidR="00117ED9" w:rsidRPr="00FB249F" w:rsidRDefault="00117ED9" w:rsidP="00117ED9">
      <w:pPr>
        <w:pStyle w:val="Sub-lista"/>
        <w:numPr>
          <w:ilvl w:val="0"/>
          <w:numId w:val="42"/>
        </w:numPr>
      </w:pPr>
      <w:r w:rsidRPr="00FB249F">
        <w:t>For screen depths 0 to 30 metres below ground level, the calculation assumes the aquifer from which groundwater is abstracted is connected to the river(s) that deplete due to groundwater pumping (as implemented in Booker et al</w:t>
      </w:r>
      <w:r w:rsidR="00D876DC">
        <w:t>,</w:t>
      </w:r>
      <w:r w:rsidRPr="00FB249F">
        <w:t xml:space="preserve"> 2016).</w:t>
      </w:r>
    </w:p>
    <w:p w14:paraId="79C1915E" w14:textId="77777777" w:rsidR="00117ED9" w:rsidRPr="00FB249F" w:rsidRDefault="00117ED9" w:rsidP="00117ED9">
      <w:pPr>
        <w:pStyle w:val="Sub-lista"/>
      </w:pPr>
      <w:r w:rsidRPr="00FB249F">
        <w:t>For screen depths below 30 metres, the calculation assumes the well is screened in a semi-confined aquifer, and depletion is estimated using an analytical model developed by Ward &amp; Lough (2011).</w:t>
      </w:r>
    </w:p>
    <w:p w14:paraId="11F2C42E" w14:textId="50A3C958" w:rsidR="00117ED9" w:rsidRPr="00FB249F" w:rsidRDefault="00117ED9" w:rsidP="00117ED9">
      <w:pPr>
        <w:pStyle w:val="BodyText"/>
      </w:pPr>
      <w:r w:rsidRPr="00FB249F">
        <w:rPr>
          <w:rFonts w:asciiTheme="minorHAnsi" w:hAnsiTheme="minorHAnsi" w:cstheme="minorHAnsi"/>
        </w:rPr>
        <w:t xml:space="preserve">Using these methods </w:t>
      </w:r>
      <w:r w:rsidRPr="00FB249F">
        <w:t xml:space="preserve">NIWA estimated the accumulated streamflow depletion effects of measured non-hydropower abstractions for each segment of the digital river network, and for every day of the study period, expressed in cubic metres per day (m3/day) (see example in figure 6 of depletion maps for a selected summer day in each year of the study period). </w:t>
      </w:r>
    </w:p>
    <w:p w14:paraId="295CC419" w14:textId="024B8004" w:rsidR="00117ED9" w:rsidRPr="00FB249F" w:rsidRDefault="00117ED9" w:rsidP="00117ED9">
      <w:pPr>
        <w:pStyle w:val="BodyText"/>
      </w:pPr>
      <w:r w:rsidRPr="00FB249F">
        <w:t xml:space="preserve">Due to the time it can take for groundwater abstractions to affect waterways, the delayed effects from abstractions prior to the study period will not be captured by these calculations. For the same reason, they will not capture any effects that would have been estimated to have occurred after the study period ended. The calculations also are likely to underestimate actual streamflow depletion effects to some degree because they do not account for abstraction sites excluded from the analysis due to data quality issues, or abstractions under-reported or not reported. </w:t>
      </w:r>
    </w:p>
    <w:p w14:paraId="66DBAD13" w14:textId="6B3A36A0" w:rsidR="00117ED9" w:rsidRPr="00FB249F" w:rsidRDefault="00117ED9" w:rsidP="00117ED9">
      <w:pPr>
        <w:pStyle w:val="BodyText"/>
        <w:rPr>
          <w:rFonts w:asciiTheme="minorHAnsi" w:hAnsiTheme="minorHAnsi" w:cstheme="minorHAnsi"/>
        </w:rPr>
      </w:pPr>
      <w:r w:rsidRPr="00FB249F">
        <w:t xml:space="preserve">Conversely, they may overestimate streamflow depletion for river and stream segments that are not significantly affected by these data gaps. This is because they </w:t>
      </w:r>
      <w:r w:rsidR="001F68CF">
        <w:t>do not account for the</w:t>
      </w:r>
      <w:r w:rsidRPr="00FB249F">
        <w:t xml:space="preserve"> proportion </w:t>
      </w:r>
      <w:r w:rsidR="001F68CF">
        <w:t xml:space="preserve">of </w:t>
      </w:r>
      <w:r w:rsidR="004F4A70">
        <w:t xml:space="preserve">abstracted </w:t>
      </w:r>
      <w:r w:rsidR="001F68CF">
        <w:t xml:space="preserve">water </w:t>
      </w:r>
      <w:r w:rsidR="0048494E">
        <w:t>that</w:t>
      </w:r>
      <w:r w:rsidR="004F4A70">
        <w:t xml:space="preserve"> </w:t>
      </w:r>
      <w:r w:rsidRPr="00FB249F">
        <w:t>flow</w:t>
      </w:r>
      <w:r w:rsidR="00261569">
        <w:t>s</w:t>
      </w:r>
      <w:r w:rsidRPr="00FB249F">
        <w:t xml:space="preserve"> back into rivers and streams </w:t>
      </w:r>
      <w:r w:rsidR="00261569">
        <w:t>after</w:t>
      </w:r>
      <w:r w:rsidRPr="00FB249F">
        <w:t xml:space="preserve"> use (for example, where farms are over-irrigated).</w:t>
      </w:r>
    </w:p>
    <w:p w14:paraId="4F3CB7F4" w14:textId="77777777" w:rsidR="00ED6BA1" w:rsidRDefault="00ED6BA1" w:rsidP="002855FE">
      <w:pPr>
        <w:pStyle w:val="Figureheading"/>
        <w:sectPr w:rsidR="00ED6BA1" w:rsidSect="002B4F80">
          <w:footerReference w:type="even" r:id="rId31"/>
          <w:footerReference w:type="default" r:id="rId32"/>
          <w:pgSz w:w="11907" w:h="16840" w:code="9"/>
          <w:pgMar w:top="1134" w:right="1701" w:bottom="1134" w:left="1701" w:header="567" w:footer="567" w:gutter="0"/>
          <w:cols w:space="720"/>
          <w:docGrid w:linePitch="299"/>
        </w:sectPr>
      </w:pPr>
      <w:bookmarkStart w:id="39" w:name="_Toc88208546"/>
    </w:p>
    <w:p w14:paraId="07A6297B" w14:textId="44443FCB" w:rsidR="002855FE" w:rsidRPr="00FB249F" w:rsidRDefault="002855FE" w:rsidP="002855FE">
      <w:pPr>
        <w:pStyle w:val="Figureheading"/>
      </w:pPr>
      <w:bookmarkStart w:id="40" w:name="_Toc90312408"/>
      <w:r w:rsidRPr="00FB249F">
        <w:lastRenderedPageBreak/>
        <w:t xml:space="preserve">Figure 6: </w:t>
      </w:r>
      <w:r w:rsidRPr="00FB249F">
        <w:tab/>
        <w:t>Estimated streamflow depletion from measured non-hydropower abstractions in the Wellington and Manawatū-Whanganui regions on 14</w:t>
      </w:r>
      <w:r w:rsidR="0087708A">
        <w:t> </w:t>
      </w:r>
      <w:r w:rsidRPr="00FB249F">
        <w:t>February 2016, 2017 and 2018</w:t>
      </w:r>
      <w:bookmarkEnd w:id="39"/>
      <w:bookmarkEnd w:id="40"/>
    </w:p>
    <w:p w14:paraId="0C91FC00" w14:textId="77777777" w:rsidR="002855FE" w:rsidRPr="00FB249F" w:rsidRDefault="002855FE" w:rsidP="00BB23FF">
      <w:pPr>
        <w:pStyle w:val="BodyText"/>
        <w:keepNext/>
      </w:pPr>
      <w:r w:rsidRPr="00FB249F">
        <w:rPr>
          <w:noProof/>
        </w:rPr>
        <w:drawing>
          <wp:inline distT="0" distB="0" distL="0" distR="0" wp14:anchorId="58BBF4B3" wp14:editId="26D5AE94">
            <wp:extent cx="6358109" cy="3495675"/>
            <wp:effectExtent l="0" t="0" r="5080" b="0"/>
            <wp:docPr id="25" name="Picture 25"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Diagram&#10;&#10;Description automatically generated with medium confidence"/>
                    <pic:cNvPicPr/>
                  </pic:nvPicPr>
                  <pic:blipFill rotWithShape="1">
                    <a:blip r:embed="rId33" cstate="print">
                      <a:extLst>
                        <a:ext uri="{28A0092B-C50C-407E-A947-70E740481C1C}">
                          <a14:useLocalDpi xmlns:a14="http://schemas.microsoft.com/office/drawing/2010/main" val="0"/>
                        </a:ext>
                      </a:extLst>
                    </a:blip>
                    <a:srcRect l="2078" t="27807" r="2210" b="25792"/>
                    <a:stretch/>
                  </pic:blipFill>
                  <pic:spPr bwMode="auto">
                    <a:xfrm>
                      <a:off x="0" y="0"/>
                      <a:ext cx="6408384" cy="3523316"/>
                    </a:xfrm>
                    <a:prstGeom prst="rect">
                      <a:avLst/>
                    </a:prstGeom>
                    <a:ln>
                      <a:noFill/>
                    </a:ln>
                    <a:extLst>
                      <a:ext uri="{53640926-AAD7-44D8-BBD7-CCE9431645EC}">
                        <a14:shadowObscured xmlns:a14="http://schemas.microsoft.com/office/drawing/2010/main"/>
                      </a:ext>
                    </a:extLst>
                  </pic:spPr>
                </pic:pic>
              </a:graphicData>
            </a:graphic>
          </wp:inline>
        </w:drawing>
      </w:r>
    </w:p>
    <w:p w14:paraId="577D34D6" w14:textId="77777777" w:rsidR="002855FE" w:rsidRPr="00FB249F" w:rsidRDefault="002855FE" w:rsidP="00BB23FF">
      <w:pPr>
        <w:pStyle w:val="Source"/>
        <w:keepNext/>
        <w:spacing w:before="0" w:after="0"/>
      </w:pPr>
      <w:r w:rsidRPr="00FB249F">
        <w:t>Data source: NIWA</w:t>
      </w:r>
    </w:p>
    <w:p w14:paraId="7960CF5A" w14:textId="77777777" w:rsidR="002855FE" w:rsidRPr="00FB249F" w:rsidRDefault="002855FE" w:rsidP="00BB23FF">
      <w:pPr>
        <w:pStyle w:val="Note"/>
        <w:keepNext/>
      </w:pPr>
      <w:r w:rsidRPr="00FB249F">
        <w:t>Note: Analysis assumes that all groundwater abstractions deplete streamflow, and that no abstracted surface- or groundwater is returned to the river network.</w:t>
      </w:r>
    </w:p>
    <w:p w14:paraId="55DA4E90" w14:textId="3304D6E2" w:rsidR="00A405CE" w:rsidRDefault="002855FE" w:rsidP="002855FE">
      <w:pPr>
        <w:pStyle w:val="BodyText"/>
        <w:sectPr w:rsidR="00A405CE" w:rsidSect="00ED6BA1">
          <w:pgSz w:w="16840" w:h="11907" w:orient="landscape" w:code="9"/>
          <w:pgMar w:top="1701" w:right="1134" w:bottom="1701" w:left="1134" w:header="567" w:footer="567" w:gutter="0"/>
          <w:cols w:space="720"/>
          <w:docGrid w:linePitch="299"/>
        </w:sectPr>
      </w:pPr>
      <w:r w:rsidRPr="00FB249F">
        <w:rPr>
          <w:rFonts w:asciiTheme="minorHAnsi" w:hAnsiTheme="minorHAnsi" w:cstheme="minorHAnsi"/>
        </w:rPr>
        <w:t xml:space="preserve">While these methods rely heavily on assumptions and are sensitive to the aquifer parameters </w:t>
      </w:r>
      <w:r w:rsidR="007650A9">
        <w:rPr>
          <w:rFonts w:asciiTheme="minorHAnsi" w:hAnsiTheme="minorHAnsi" w:cstheme="minorHAnsi"/>
        </w:rPr>
        <w:t xml:space="preserve">used </w:t>
      </w:r>
      <w:r w:rsidRPr="00FB249F">
        <w:rPr>
          <w:rFonts w:asciiTheme="minorHAnsi" w:hAnsiTheme="minorHAnsi" w:cstheme="minorHAnsi"/>
        </w:rPr>
        <w:t xml:space="preserve">and </w:t>
      </w:r>
      <w:r w:rsidR="007650A9">
        <w:rPr>
          <w:rFonts w:asciiTheme="minorHAnsi" w:hAnsiTheme="minorHAnsi" w:cstheme="minorHAnsi"/>
        </w:rPr>
        <w:t xml:space="preserve">must be considered in light of </w:t>
      </w:r>
      <w:r w:rsidRPr="00FB249F">
        <w:rPr>
          <w:rFonts w:asciiTheme="minorHAnsi" w:hAnsiTheme="minorHAnsi" w:cstheme="minorHAnsi"/>
        </w:rPr>
        <w:t xml:space="preserve">the data gaps noted above, they allowed estimates to be made about the potential influence of known and quantified (that is, measured and reported) surface- and groundwater abstractions on surrounding rivers and streams. More detailed explanations of the streamflow depletion modelling and the equations used are given in </w:t>
      </w:r>
      <w:hyperlink w:anchor="_Appendix_A:_Technical" w:history="1">
        <w:r w:rsidRPr="00FB249F">
          <w:rPr>
            <w:rStyle w:val="Hyperlink"/>
            <w:rFonts w:asciiTheme="minorHAnsi" w:hAnsiTheme="minorHAnsi" w:cstheme="minorHAnsi"/>
          </w:rPr>
          <w:t>Appendix A</w:t>
        </w:r>
      </w:hyperlink>
      <w:r w:rsidRPr="00FB249F">
        <w:rPr>
          <w:rFonts w:asciiTheme="minorHAnsi" w:hAnsiTheme="minorHAnsi" w:cstheme="minorHAnsi"/>
        </w:rPr>
        <w:t>, Booker et</w:t>
      </w:r>
      <w:r w:rsidR="00BB23FF" w:rsidRPr="00FB249F">
        <w:rPr>
          <w:rFonts w:asciiTheme="minorHAnsi" w:hAnsiTheme="minorHAnsi" w:cstheme="minorHAnsi"/>
        </w:rPr>
        <w:t> </w:t>
      </w:r>
      <w:r w:rsidRPr="00FB249F">
        <w:rPr>
          <w:rFonts w:asciiTheme="minorHAnsi" w:hAnsiTheme="minorHAnsi" w:cstheme="minorHAnsi"/>
        </w:rPr>
        <w:t>al (2016) and Booker et al (2019).</w:t>
      </w:r>
    </w:p>
    <w:p w14:paraId="1EDCA34A" w14:textId="77777777" w:rsidR="00751176" w:rsidRDefault="002855FE" w:rsidP="00751176">
      <w:pPr>
        <w:pStyle w:val="BodyText"/>
      </w:pPr>
      <w:r w:rsidRPr="00FB249F">
        <w:lastRenderedPageBreak/>
        <w:t>The methods could have integrated abstractions and augmentations for the consumptive hydropower schemes in the Manawatū-Whanganui region into the streamflow depletion estimates, but these data were not available. Streamflow depletion will therefore be significantly underestimated for the Whangaehu River, the Moawhango River and the middle and lower reaches of the Rangitīkei River,</w:t>
      </w:r>
      <w:r w:rsidRPr="00FB249F">
        <w:rPr>
          <w:rStyle w:val="FootnoteReference"/>
        </w:rPr>
        <w:footnoteReference w:id="4"/>
      </w:r>
      <w:r w:rsidRPr="00FB249F">
        <w:t xml:space="preserve"> and the Whanganui River and its tributaries, as they will not account for the approximately 2.5 million cubic metres of daily flow</w:t>
      </w:r>
      <w:r w:rsidRPr="00FB249F">
        <w:rPr>
          <w:rStyle w:val="FootnoteReference"/>
        </w:rPr>
        <w:footnoteReference w:id="5"/>
      </w:r>
      <w:r w:rsidRPr="00FB249F">
        <w:t xml:space="preserve"> diverted from the headwaters of the Whangaehu, Whanganui and Rangitīkei rivers into Lake Taupō and the Waikato River for the Tongariro Power Scheme (Genesis Energy, nd). To a lesser extent, these methods will also underestimate streamflow depletion for the Mangahao River and most of the main stem of the Manawatū River downstream of the Mangahao River, and significantly overestimate streamflow depletion for the Mangaore Stream in the lower Manawatū River catchment, by not accounting for diversions to the Mangahao Power Station (Horizons Regional Council, 2019). The specific implications of these under- and overestimates on subsequent analyses are discussed in the following sections.</w:t>
      </w:r>
      <w:bookmarkStart w:id="41" w:name="_Toc88208525"/>
    </w:p>
    <w:p w14:paraId="612AA0C5" w14:textId="270FA93F" w:rsidR="002855FE" w:rsidRPr="00FB249F" w:rsidRDefault="002855FE" w:rsidP="00751176">
      <w:pPr>
        <w:pStyle w:val="Heading2"/>
      </w:pPr>
      <w:bookmarkStart w:id="42" w:name="_Comparing_estimated_streamflow"/>
      <w:bookmarkStart w:id="43" w:name="_Toc90312370"/>
      <w:bookmarkEnd w:id="42"/>
      <w:r w:rsidRPr="00FB249F">
        <w:t>Comparing estimated streamflow depletion to</w:t>
      </w:r>
      <w:r w:rsidR="00BB23FF" w:rsidRPr="00FB249F">
        <w:t> </w:t>
      </w:r>
      <w:r w:rsidRPr="00FB249F">
        <w:t>estimated long-term natural median flow</w:t>
      </w:r>
      <w:bookmarkEnd w:id="41"/>
      <w:bookmarkEnd w:id="43"/>
    </w:p>
    <w:p w14:paraId="3B669E20" w14:textId="117119B7" w:rsidR="002855FE" w:rsidRPr="00FB249F" w:rsidRDefault="002855FE" w:rsidP="002855FE">
      <w:pPr>
        <w:pStyle w:val="BodyText"/>
        <w:rPr>
          <w:rFonts w:asciiTheme="minorHAnsi" w:hAnsiTheme="minorHAnsi" w:cstheme="minorHAnsi"/>
        </w:rPr>
      </w:pPr>
      <w:r w:rsidRPr="00FB249F">
        <w:rPr>
          <w:rFonts w:asciiTheme="minorHAnsi" w:hAnsiTheme="minorHAnsi" w:cstheme="minorHAnsi"/>
        </w:rPr>
        <w:t>To estimate the potential depletion effects of measured abstractions on natural streamflows, we compared the streamflow depletion estimates for each segment of the digital river network to the estimated flow for the same segment. NIWA was able to generate a time-series of estimated daily streamflow depletion for considerable proportions of the Wellington and Manawat</w:t>
      </w:r>
      <w:r w:rsidRPr="00FB249F">
        <w:t>ū</w:t>
      </w:r>
      <w:r w:rsidRPr="00FB249F">
        <w:rPr>
          <w:rFonts w:asciiTheme="minorHAnsi" w:hAnsiTheme="minorHAnsi" w:cstheme="minorHAnsi"/>
        </w:rPr>
        <w:t xml:space="preserve">-Whanganui regional river networks, but </w:t>
      </w:r>
      <w:r w:rsidR="00740384">
        <w:rPr>
          <w:rFonts w:asciiTheme="minorHAnsi" w:hAnsiTheme="minorHAnsi" w:cstheme="minorHAnsi"/>
        </w:rPr>
        <w:t>suitable</w:t>
      </w:r>
      <w:r w:rsidR="00740384" w:rsidRPr="00FB249F">
        <w:rPr>
          <w:rFonts w:asciiTheme="minorHAnsi" w:hAnsiTheme="minorHAnsi" w:cstheme="minorHAnsi"/>
        </w:rPr>
        <w:t xml:space="preserve"> </w:t>
      </w:r>
      <w:r w:rsidRPr="00FB249F">
        <w:rPr>
          <w:rFonts w:asciiTheme="minorHAnsi" w:hAnsiTheme="minorHAnsi" w:cstheme="minorHAnsi"/>
        </w:rPr>
        <w:t xml:space="preserve">modelled estimates of daily or seasonal streamflow were </w:t>
      </w:r>
      <w:r w:rsidR="006A44A1">
        <w:rPr>
          <w:rFonts w:asciiTheme="minorHAnsi" w:hAnsiTheme="minorHAnsi" w:cstheme="minorHAnsi"/>
        </w:rPr>
        <w:t xml:space="preserve">not </w:t>
      </w:r>
      <w:r w:rsidRPr="00FB249F">
        <w:rPr>
          <w:rFonts w:asciiTheme="minorHAnsi" w:hAnsiTheme="minorHAnsi" w:cstheme="minorHAnsi"/>
        </w:rPr>
        <w:t xml:space="preserve">available to compare to. This meant we could only assess potential depletion effects at an annual (or longer) scale, by comparing streamflow depletion estimates to estimates of long-term natural median flow. These streamflow estimates represent the long-term rates of flow </w:t>
      </w:r>
      <w:r w:rsidRPr="00FB249F">
        <w:t xml:space="preserve">expected </w:t>
      </w:r>
      <w:r w:rsidR="00221310">
        <w:t>in the absence of major</w:t>
      </w:r>
      <w:r w:rsidRPr="00FB249F">
        <w:t xml:space="preserve"> human </w:t>
      </w:r>
      <w:r w:rsidR="00221310">
        <w:t>intervention</w:t>
      </w:r>
      <w:r w:rsidR="00744742">
        <w:t>, like</w:t>
      </w:r>
      <w:r w:rsidRPr="00FB249F">
        <w:t xml:space="preserve"> water extraction, dams, </w:t>
      </w:r>
      <w:r w:rsidR="009353CC">
        <w:t>and diversion</w:t>
      </w:r>
      <w:r w:rsidR="009C7BB6">
        <w:t>s</w:t>
      </w:r>
      <w:r w:rsidRPr="00FB249F">
        <w:t xml:space="preserve"> (Booker &amp; Woods, 2014). Median flow is used because it best approximates ‘normal’ flow conditions over the long term, unlike mean (average) annual low flow (MALF), which approximates low flow conditions, and long-term average flow, which can be heavily influenced by extreme high- or low-flow events (Booker &amp; Henderson, 2019).</w:t>
      </w:r>
    </w:p>
    <w:p w14:paraId="6ACD156D" w14:textId="042CFEAF" w:rsidR="002855FE" w:rsidRPr="00FB249F" w:rsidRDefault="002855FE" w:rsidP="002855FE">
      <w:pPr>
        <w:pStyle w:val="BodyText"/>
        <w:rPr>
          <w:rFonts w:asciiTheme="minorHAnsi" w:hAnsiTheme="minorHAnsi" w:cstheme="minorHAnsi"/>
        </w:rPr>
      </w:pPr>
      <w:r w:rsidRPr="00FB249F">
        <w:rPr>
          <w:rFonts w:asciiTheme="minorHAnsi" w:hAnsiTheme="minorHAnsi" w:cstheme="minorHAnsi"/>
        </w:rPr>
        <w:t xml:space="preserve">For each river and stream segment, we </w:t>
      </w:r>
      <w:r w:rsidRPr="00FB249F">
        <w:t>divided the estimated daily streamflow depletion value by the estimated long-term naturalised median flow and calculated an average ratio for each segment for the three-year study period. To support a comparison of rivers and streams within each region, we plotted these ratios onto maps of the Wellington</w:t>
      </w:r>
      <w:r w:rsidRPr="00FB249F">
        <w:rPr>
          <w:rFonts w:asciiTheme="minorHAnsi" w:hAnsiTheme="minorHAnsi" w:cstheme="minorHAnsi"/>
        </w:rPr>
        <w:t xml:space="preserve"> and Manawat</w:t>
      </w:r>
      <w:r w:rsidRPr="00FB249F">
        <w:t>ū</w:t>
      </w:r>
      <w:r w:rsidRPr="00FB249F">
        <w:rPr>
          <w:rFonts w:asciiTheme="minorHAnsi" w:hAnsiTheme="minorHAnsi" w:cstheme="minorHAnsi"/>
        </w:rPr>
        <w:t xml:space="preserve">-Whanganui regional river networks (see figures 7 and 8). </w:t>
      </w:r>
      <w:r w:rsidR="00053027" w:rsidRPr="00FB249F">
        <w:t xml:space="preserve">For simplicity, figures 7 and 8 aggregate these ratios into </w:t>
      </w:r>
      <w:r w:rsidR="00053027">
        <w:t xml:space="preserve">arbitrary </w:t>
      </w:r>
      <w:r w:rsidR="00053027" w:rsidRPr="00FB249F">
        <w:t xml:space="preserve">categories of less than or equal to 5 per cent, 5–25 per cent, 25–50 per cent, 50–100 per cent, and greater than 100 per cent of estimated long-term natural median flow. </w:t>
      </w:r>
      <w:r w:rsidRPr="00FB249F">
        <w:rPr>
          <w:rFonts w:asciiTheme="minorHAnsi" w:hAnsiTheme="minorHAnsi" w:cstheme="minorHAnsi"/>
        </w:rPr>
        <w:t>While this analysis cannot provide insight into</w:t>
      </w:r>
      <w:r w:rsidR="00915C0E">
        <w:rPr>
          <w:rFonts w:asciiTheme="minorHAnsi" w:hAnsiTheme="minorHAnsi" w:cstheme="minorHAnsi"/>
        </w:rPr>
        <w:t> </w:t>
      </w:r>
      <w:r w:rsidRPr="00FB249F">
        <w:rPr>
          <w:rFonts w:asciiTheme="minorHAnsi" w:hAnsiTheme="minorHAnsi" w:cstheme="minorHAnsi"/>
        </w:rPr>
        <w:t>how streamflow depletion pressure is experienced seasonally or daily, it is useful for highlighting the areas of the river network likely to have experienced the greatest longer</w:t>
      </w:r>
      <w:r w:rsidR="008124A6">
        <w:rPr>
          <w:rFonts w:asciiTheme="minorHAnsi" w:hAnsiTheme="minorHAnsi" w:cstheme="minorHAnsi"/>
        </w:rPr>
        <w:t>-</w:t>
      </w:r>
      <w:r w:rsidRPr="00FB249F">
        <w:rPr>
          <w:rFonts w:asciiTheme="minorHAnsi" w:hAnsiTheme="minorHAnsi" w:cstheme="minorHAnsi"/>
        </w:rPr>
        <w:t>term</w:t>
      </w:r>
      <w:r w:rsidR="00BB23FF" w:rsidRPr="00FB249F">
        <w:rPr>
          <w:rFonts w:asciiTheme="minorHAnsi" w:hAnsiTheme="minorHAnsi" w:cstheme="minorHAnsi"/>
        </w:rPr>
        <w:t> </w:t>
      </w:r>
      <w:r w:rsidRPr="00FB249F">
        <w:rPr>
          <w:rFonts w:asciiTheme="minorHAnsi" w:hAnsiTheme="minorHAnsi" w:cstheme="minorHAnsi"/>
        </w:rPr>
        <w:t>pressure.</w:t>
      </w:r>
    </w:p>
    <w:p w14:paraId="3AF42E10" w14:textId="77777777" w:rsidR="00751176" w:rsidRDefault="00751176" w:rsidP="002A2499">
      <w:pPr>
        <w:pStyle w:val="Figureheading"/>
        <w:sectPr w:rsidR="00751176" w:rsidSect="002B4F80">
          <w:pgSz w:w="11907" w:h="16840" w:code="9"/>
          <w:pgMar w:top="1134" w:right="1701" w:bottom="1134" w:left="1701" w:header="567" w:footer="567" w:gutter="0"/>
          <w:cols w:space="720"/>
          <w:docGrid w:linePitch="299"/>
        </w:sectPr>
      </w:pPr>
      <w:bookmarkStart w:id="44" w:name="_Toc88208547"/>
    </w:p>
    <w:p w14:paraId="3965B814" w14:textId="0E539BAE" w:rsidR="002A2499" w:rsidRDefault="002B4F80" w:rsidP="002A2499">
      <w:pPr>
        <w:pStyle w:val="Figureheading"/>
      </w:pPr>
      <w:bookmarkStart w:id="45" w:name="_Toc90312409"/>
      <w:r w:rsidRPr="00FB249F">
        <w:lastRenderedPageBreak/>
        <w:t xml:space="preserve">Figure 7: </w:t>
      </w:r>
      <w:r w:rsidRPr="00FB249F">
        <w:tab/>
        <w:t>Average estimated daily streamflow depletion due to measured abstractions in the Wellington region, as a ratio of estimated long-term natural median flow, June 2015–June 2018</w:t>
      </w:r>
      <w:bookmarkEnd w:id="44"/>
      <w:bookmarkEnd w:id="45"/>
    </w:p>
    <w:p w14:paraId="3C8D6D49" w14:textId="0D84C427" w:rsidR="002B4F80" w:rsidRPr="00FB249F" w:rsidRDefault="002B4F80" w:rsidP="002B4F80">
      <w:pPr>
        <w:pStyle w:val="BodyText"/>
      </w:pPr>
      <w:r w:rsidRPr="00FB249F">
        <w:rPr>
          <w:noProof/>
        </w:rPr>
        <w:drawing>
          <wp:inline distT="0" distB="0" distL="0" distR="0" wp14:anchorId="3C1F9A55" wp14:editId="4F3E868E">
            <wp:extent cx="7077075" cy="4182355"/>
            <wp:effectExtent l="0" t="0" r="0" b="8890"/>
            <wp:docPr id="48" name="Picture 4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Map&#10;&#10;Description automatically generated"/>
                    <pic:cNvPicPr/>
                  </pic:nvPicPr>
                  <pic:blipFill rotWithShape="1">
                    <a:blip r:embed="rId34" cstate="print">
                      <a:extLst>
                        <a:ext uri="{28A0092B-C50C-407E-A947-70E740481C1C}">
                          <a14:useLocalDpi xmlns:a14="http://schemas.microsoft.com/office/drawing/2010/main" val="0"/>
                        </a:ext>
                      </a:extLst>
                    </a:blip>
                    <a:srcRect l="5230" t="25885" r="2026" b="25785"/>
                    <a:stretch/>
                  </pic:blipFill>
                  <pic:spPr bwMode="auto">
                    <a:xfrm>
                      <a:off x="0" y="0"/>
                      <a:ext cx="7142723" cy="4221151"/>
                    </a:xfrm>
                    <a:prstGeom prst="rect">
                      <a:avLst/>
                    </a:prstGeom>
                    <a:ln>
                      <a:noFill/>
                    </a:ln>
                    <a:extLst>
                      <a:ext uri="{53640926-AAD7-44D8-BBD7-CCE9431645EC}">
                        <a14:shadowObscured xmlns:a14="http://schemas.microsoft.com/office/drawing/2010/main"/>
                      </a:ext>
                    </a:extLst>
                  </pic:spPr>
                </pic:pic>
              </a:graphicData>
            </a:graphic>
          </wp:inline>
        </w:drawing>
      </w:r>
    </w:p>
    <w:p w14:paraId="18A66CCD" w14:textId="77777777" w:rsidR="002B4F80" w:rsidRPr="00FB249F" w:rsidRDefault="002B4F80" w:rsidP="002B4F80">
      <w:pPr>
        <w:pStyle w:val="Source"/>
        <w:spacing w:before="0" w:after="100"/>
      </w:pPr>
      <w:r w:rsidRPr="00FB249F">
        <w:t>Data source: NIWA</w:t>
      </w:r>
    </w:p>
    <w:p w14:paraId="43A8C1CC" w14:textId="77777777" w:rsidR="002B4F80" w:rsidRPr="00FB249F" w:rsidRDefault="002B4F80" w:rsidP="002B4F80">
      <w:pPr>
        <w:pStyle w:val="Note"/>
        <w:spacing w:before="0"/>
      </w:pPr>
      <w:r w:rsidRPr="00FB249F">
        <w:t>Note: Analysis assumes that all groundwater abstractions deplete streamflow, and that no abstracted surface- or groundwater is returned to the river network. Streamflow depletion is shown as a proportion of modelled long-term natural median streamflow, not actual natural streamflow.</w:t>
      </w:r>
    </w:p>
    <w:p w14:paraId="1EE1FE0D" w14:textId="77777777" w:rsidR="000A544D" w:rsidRDefault="000A544D" w:rsidP="002A2499">
      <w:pPr>
        <w:pStyle w:val="Figureheading"/>
        <w:sectPr w:rsidR="000A544D" w:rsidSect="00751176">
          <w:pgSz w:w="16840" w:h="11907" w:orient="landscape" w:code="9"/>
          <w:pgMar w:top="1701" w:right="1134" w:bottom="1701" w:left="1134" w:header="567" w:footer="567" w:gutter="0"/>
          <w:cols w:space="720"/>
          <w:docGrid w:linePitch="299"/>
        </w:sectPr>
      </w:pPr>
      <w:bookmarkStart w:id="46" w:name="_Toc88208548"/>
    </w:p>
    <w:p w14:paraId="71D0A3F6" w14:textId="6C2F1099" w:rsidR="002A2499" w:rsidRDefault="00713BF7" w:rsidP="002A2499">
      <w:pPr>
        <w:pStyle w:val="Figureheading"/>
      </w:pPr>
      <w:bookmarkStart w:id="47" w:name="_Toc90312410"/>
      <w:r w:rsidRPr="00FB249F">
        <w:lastRenderedPageBreak/>
        <w:t xml:space="preserve">Figure 8: </w:t>
      </w:r>
      <w:r w:rsidRPr="00FB249F">
        <w:tab/>
        <w:t>Average estimated daily streamflow depletion due to measured (non</w:t>
      </w:r>
      <w:r w:rsidR="0087708A">
        <w:noBreakHyphen/>
      </w:r>
      <w:r w:rsidRPr="00FB249F">
        <w:t>hydropower) abstractions in the Manawatū-Whanganui region, as a ratio of estimated natural median streamflow, June 2015–June 2018</w:t>
      </w:r>
      <w:bookmarkEnd w:id="46"/>
      <w:bookmarkEnd w:id="47"/>
    </w:p>
    <w:p w14:paraId="38F4CD03" w14:textId="462AC4E7" w:rsidR="00713BF7" w:rsidRPr="00FB249F" w:rsidRDefault="00713BF7" w:rsidP="00713BF7">
      <w:pPr>
        <w:pStyle w:val="BodyText"/>
      </w:pPr>
      <w:r w:rsidRPr="00FB249F">
        <w:rPr>
          <w:noProof/>
        </w:rPr>
        <w:drawing>
          <wp:inline distT="0" distB="0" distL="0" distR="0" wp14:anchorId="54665CC9" wp14:editId="522A49C6">
            <wp:extent cx="5377208" cy="6924752"/>
            <wp:effectExtent l="0" t="0" r="0" b="9525"/>
            <wp:docPr id="49" name="Picture 4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rotWithShape="1">
                    <a:blip r:embed="rId35" cstate="print">
                      <a:extLst>
                        <a:ext uri="{28A0092B-C50C-407E-A947-70E740481C1C}">
                          <a14:useLocalDpi xmlns:a14="http://schemas.microsoft.com/office/drawing/2010/main" val="0"/>
                        </a:ext>
                      </a:extLst>
                    </a:blip>
                    <a:srcRect l="10900" t="3804" r="8090" b="4203"/>
                    <a:stretch/>
                  </pic:blipFill>
                  <pic:spPr bwMode="auto">
                    <a:xfrm>
                      <a:off x="0" y="0"/>
                      <a:ext cx="5385877" cy="6935916"/>
                    </a:xfrm>
                    <a:prstGeom prst="rect">
                      <a:avLst/>
                    </a:prstGeom>
                    <a:ln>
                      <a:noFill/>
                    </a:ln>
                    <a:extLst>
                      <a:ext uri="{53640926-AAD7-44D8-BBD7-CCE9431645EC}">
                        <a14:shadowObscured xmlns:a14="http://schemas.microsoft.com/office/drawing/2010/main"/>
                      </a:ext>
                    </a:extLst>
                  </pic:spPr>
                </pic:pic>
              </a:graphicData>
            </a:graphic>
          </wp:inline>
        </w:drawing>
      </w:r>
    </w:p>
    <w:p w14:paraId="2269C329" w14:textId="77777777" w:rsidR="00713BF7" w:rsidRPr="00FB249F" w:rsidRDefault="00713BF7" w:rsidP="00713BF7">
      <w:pPr>
        <w:pStyle w:val="Source"/>
      </w:pPr>
      <w:r w:rsidRPr="00FB249F">
        <w:t>Data source: NIWA</w:t>
      </w:r>
    </w:p>
    <w:p w14:paraId="2374928C" w14:textId="2FD5901C" w:rsidR="00D17B31" w:rsidRPr="00FB249F" w:rsidRDefault="00713BF7" w:rsidP="008124A6">
      <w:pPr>
        <w:pStyle w:val="Note"/>
        <w:spacing w:before="0"/>
      </w:pPr>
      <w:r w:rsidRPr="00FB249F">
        <w:t>Note: Analysis assumes that all groundwater abstractions deplete streamflow, and that no abstracted surface- or groundwater is returned to the river network. Streamflow depletion is shown as a proportion of modelled long-term natural median streamflow, not actual natural streamflow.</w:t>
      </w:r>
    </w:p>
    <w:p w14:paraId="4A26D482" w14:textId="6E3FA042" w:rsidR="00D17B31" w:rsidRPr="00FB249F" w:rsidRDefault="00D17B31" w:rsidP="00D17B31">
      <w:pPr>
        <w:spacing w:after="160" w:line="259" w:lineRule="auto"/>
        <w:jc w:val="left"/>
      </w:pPr>
      <w:r w:rsidRPr="00FB249F">
        <w:t>This method successfully gave rough estimates of the proportion of natural streamflow diverted from rivers and streams for measured non-hydropower abstractions across the three</w:t>
      </w:r>
      <w:r w:rsidRPr="00FB249F">
        <w:noBreakHyphen/>
        <w:t xml:space="preserve">year study period. It estimates that, of the assessed river and stream segments: </w:t>
      </w:r>
    </w:p>
    <w:p w14:paraId="4EB35C49" w14:textId="3241521A" w:rsidR="00D17B31" w:rsidRPr="00FB249F" w:rsidRDefault="00D17B31" w:rsidP="00D17B31">
      <w:pPr>
        <w:pStyle w:val="Bullet"/>
      </w:pPr>
      <w:r w:rsidRPr="00FB249F">
        <w:lastRenderedPageBreak/>
        <w:t>only 7 per cent experienced average daily streamflow depletion greater than 5 per cent of</w:t>
      </w:r>
      <w:r w:rsidR="00C838E3">
        <w:t> </w:t>
      </w:r>
      <w:r w:rsidRPr="00FB249F">
        <w:t>their estimated long-term natural median flow due to measured abstractions</w:t>
      </w:r>
      <w:r w:rsidR="009676E9">
        <w:t xml:space="preserve"> (</w:t>
      </w:r>
      <w:r w:rsidR="00F70444">
        <w:t xml:space="preserve">light </w:t>
      </w:r>
      <w:r w:rsidR="009676E9">
        <w:t xml:space="preserve">green, </w:t>
      </w:r>
      <w:r w:rsidR="00F70444">
        <w:t>dark green</w:t>
      </w:r>
      <w:r w:rsidR="00915774">
        <w:t xml:space="preserve">, </w:t>
      </w:r>
      <w:r w:rsidR="009676E9">
        <w:t>blue</w:t>
      </w:r>
      <w:r w:rsidR="00915774">
        <w:t xml:space="preserve"> and dark blue</w:t>
      </w:r>
      <w:r w:rsidR="009676E9">
        <w:t xml:space="preserve"> in figures 7 and 8)</w:t>
      </w:r>
    </w:p>
    <w:p w14:paraId="51E84D49" w14:textId="345317C5" w:rsidR="00D17B31" w:rsidRPr="00FB249F" w:rsidRDefault="00D17B31" w:rsidP="00D17B31">
      <w:pPr>
        <w:pStyle w:val="Bullet"/>
      </w:pPr>
      <w:r w:rsidRPr="00FB249F">
        <w:t>less than 1 per cent experienced average daily streamflow depletion greater than 25 per cent of their estimated long-term natural median flow</w:t>
      </w:r>
      <w:r w:rsidR="007150E4">
        <w:t xml:space="preserve"> (</w:t>
      </w:r>
      <w:r w:rsidR="00915774">
        <w:t xml:space="preserve">dark green, blue and dark blue </w:t>
      </w:r>
      <w:r w:rsidR="0006341E">
        <w:t>in figures 7 and 8)</w:t>
      </w:r>
      <w:r w:rsidRPr="00FB249F">
        <w:t xml:space="preserve">. </w:t>
      </w:r>
    </w:p>
    <w:p w14:paraId="57E9D185" w14:textId="25EBE13A" w:rsidR="00D17B31" w:rsidRPr="00FB249F" w:rsidRDefault="00D17B31" w:rsidP="00D17B31">
      <w:pPr>
        <w:pStyle w:val="BodyText"/>
      </w:pPr>
      <w:r w:rsidRPr="00FB249F">
        <w:t xml:space="preserve">Measured abstractions in the Wellington region are estimated to have depleted streamflows for the Orongorongo River, the main stems of the Hutt and Wainuiomata rivers, and significant lengths of the Ruamahanga River and its main tributaries by 5–25 per cent of their estimated long-term natural median flow on average (light green in figure 7). Measured abstractions in the Manawatū-Whanganui region are estimated to have depleted streamflows for a number of river and stream reaches near the coast in the Manawatū and Rangitīkei districts by the same proportion on average (light green in figure 8). However, the actual flow-proportional depletion effects would be: </w:t>
      </w:r>
    </w:p>
    <w:p w14:paraId="4017B9A7" w14:textId="77777777" w:rsidR="00D17B31" w:rsidRPr="00FB249F" w:rsidRDefault="00D17B31" w:rsidP="00D17B31">
      <w:pPr>
        <w:pStyle w:val="Bullet"/>
      </w:pPr>
      <w:r w:rsidRPr="00FB249F">
        <w:t xml:space="preserve">significantly greater for the: </w:t>
      </w:r>
    </w:p>
    <w:p w14:paraId="693A0971" w14:textId="77777777" w:rsidR="00D17B31" w:rsidRPr="00FB249F" w:rsidRDefault="00D17B31" w:rsidP="00D17B31">
      <w:pPr>
        <w:pStyle w:val="Sub-list"/>
      </w:pPr>
      <w:r w:rsidRPr="00FB249F">
        <w:t>Whangaehu River</w:t>
      </w:r>
    </w:p>
    <w:p w14:paraId="728922B8" w14:textId="77777777" w:rsidR="00D17B31" w:rsidRPr="00FB249F" w:rsidRDefault="00D17B31" w:rsidP="00D17B31">
      <w:pPr>
        <w:pStyle w:val="Sub-list"/>
      </w:pPr>
      <w:r w:rsidRPr="00FB249F">
        <w:t>Mangahao River</w:t>
      </w:r>
    </w:p>
    <w:p w14:paraId="1205D18D" w14:textId="77777777" w:rsidR="00D17B31" w:rsidRPr="00FB249F" w:rsidRDefault="00D17B31" w:rsidP="00D17B31">
      <w:pPr>
        <w:pStyle w:val="Sub-list"/>
      </w:pPr>
      <w:r w:rsidRPr="00FB249F">
        <w:t xml:space="preserve">Moawhango River </w:t>
      </w:r>
    </w:p>
    <w:p w14:paraId="0444C67F" w14:textId="77777777" w:rsidR="00D17B31" w:rsidRPr="00FB249F" w:rsidRDefault="00D17B31" w:rsidP="00D17B31">
      <w:pPr>
        <w:pStyle w:val="Sub-list"/>
      </w:pPr>
      <w:r w:rsidRPr="00FB249F">
        <w:t>middle and lower reaches of the Rangitīkei River</w:t>
      </w:r>
    </w:p>
    <w:p w14:paraId="5D7FB96C" w14:textId="77777777" w:rsidR="00D17B31" w:rsidRPr="00FB249F" w:rsidRDefault="00D17B31" w:rsidP="00D17B31">
      <w:pPr>
        <w:pStyle w:val="Sub-list"/>
      </w:pPr>
      <w:r w:rsidRPr="00FB249F">
        <w:t xml:space="preserve">Whanganui River and its tributaries </w:t>
      </w:r>
    </w:p>
    <w:p w14:paraId="07F9426C" w14:textId="77777777" w:rsidR="00D17B31" w:rsidRPr="00FB249F" w:rsidRDefault="00D17B31" w:rsidP="00D17B31">
      <w:pPr>
        <w:pStyle w:val="Bullet"/>
        <w:tabs>
          <w:tab w:val="num" w:pos="397"/>
        </w:tabs>
      </w:pPr>
      <w:r w:rsidRPr="00FB249F">
        <w:t>somewhat greater for most of the main stem of the Manawatū River downstream of the Mangahao River</w:t>
      </w:r>
    </w:p>
    <w:p w14:paraId="0075E914" w14:textId="77777777" w:rsidR="00D17B31" w:rsidRPr="00FB249F" w:rsidRDefault="00D17B31" w:rsidP="00D17B31">
      <w:pPr>
        <w:pStyle w:val="Bullet"/>
        <w:tabs>
          <w:tab w:val="num" w:pos="397"/>
        </w:tabs>
      </w:pPr>
      <w:r w:rsidRPr="00FB249F">
        <w:t>significantly less for the Mangaore Stream.</w:t>
      </w:r>
    </w:p>
    <w:p w14:paraId="467B4E73" w14:textId="77777777" w:rsidR="00D17B31" w:rsidRPr="00FB249F" w:rsidRDefault="00D17B31" w:rsidP="00D17B31">
      <w:pPr>
        <w:pStyle w:val="BodyText"/>
      </w:pPr>
      <w:r w:rsidRPr="00FB249F">
        <w:t xml:space="preserve">See </w:t>
      </w:r>
      <w:hyperlink w:anchor="_Estimating_streamflow_depletion" w:history="1">
        <w:r w:rsidRPr="00FB249F">
          <w:rPr>
            <w:rStyle w:val="Hyperlink"/>
          </w:rPr>
          <w:t>Estimating streamflow depletion using measured abstraction data</w:t>
        </w:r>
      </w:hyperlink>
      <w:r w:rsidRPr="00FB249F">
        <w:t>.</w:t>
      </w:r>
    </w:p>
    <w:p w14:paraId="60D37CE9" w14:textId="076846C9" w:rsidR="00BF47BE" w:rsidRPr="00FB249F" w:rsidRDefault="00BF47BE" w:rsidP="00BF47BE">
      <w:pPr>
        <w:pStyle w:val="Heading2"/>
      </w:pPr>
      <w:bookmarkStart w:id="48" w:name="_Toc88208526"/>
      <w:bookmarkStart w:id="49" w:name="_Toc90312371"/>
      <w:r w:rsidRPr="00FB249F">
        <w:t>Comparing the estimated streamflow depletion effects from measured abstractions with the maximum potential effects of consented allocation</w:t>
      </w:r>
      <w:bookmarkEnd w:id="48"/>
      <w:bookmarkEnd w:id="49"/>
    </w:p>
    <w:p w14:paraId="2D6CC463" w14:textId="474D7A05" w:rsidR="00983632" w:rsidRPr="00FB249F" w:rsidRDefault="00BF47BE" w:rsidP="000E1056">
      <w:pPr>
        <w:pStyle w:val="BodyText"/>
      </w:pPr>
      <w:r w:rsidRPr="00FB249F">
        <w:t xml:space="preserve">To provide additional context for the analyses based on measured non-hydropower abstractions, we compared the </w:t>
      </w:r>
      <w:r w:rsidR="00C462CF">
        <w:t xml:space="preserve">streamflow depletion </w:t>
      </w:r>
      <w:r w:rsidRPr="00FB249F">
        <w:t xml:space="preserve">results for the July 2017–June 2018 hydrological year to </w:t>
      </w:r>
      <w:r w:rsidR="00C462CF">
        <w:t xml:space="preserve">depletion </w:t>
      </w:r>
      <w:r w:rsidRPr="00FB249F">
        <w:t>results from the previous analysis, based on consented maximum allocation for the same year (Booker &amp; Henderson, 2019).</w:t>
      </w:r>
    </w:p>
    <w:p w14:paraId="40B6D87D" w14:textId="5B6BD781" w:rsidR="003D04B4" w:rsidRDefault="00983632" w:rsidP="00983632">
      <w:pPr>
        <w:pStyle w:val="BodyText"/>
      </w:pPr>
      <w:r w:rsidRPr="00FB249F">
        <w:t>For a direct comparison of these streamflow depletion estimates for the same river and stream reaches, we only included the</w:t>
      </w:r>
      <w:r w:rsidR="002D21DD" w:rsidRPr="00FB249F">
        <w:t> </w:t>
      </w:r>
      <w:r w:rsidRPr="00FB249F">
        <w:t>digital river network segments that had depletion values in both datasets. This allowed us</w:t>
      </w:r>
      <w:r w:rsidR="002D21DD" w:rsidRPr="00FB249F">
        <w:t> </w:t>
      </w:r>
      <w:r w:rsidRPr="00FB249F">
        <w:t xml:space="preserve">to generate a figure comparing a map of the average estimated daily streamflow depletion from measured abstractions for July 2017–June 2018 to a map of the predicted streamflow depletion from consented maximum allocation for the same river and stream segments, each as a ratio of estimated long-term natural median flow (see figure </w:t>
      </w:r>
      <w:r w:rsidR="00F647F8">
        <w:t>9</w:t>
      </w:r>
      <w:r w:rsidRPr="00FB249F">
        <w:t>).</w:t>
      </w:r>
    </w:p>
    <w:p w14:paraId="68AF0CE4" w14:textId="77777777" w:rsidR="003D04B4" w:rsidRDefault="003D04B4">
      <w:pPr>
        <w:spacing w:before="0" w:after="200" w:line="276" w:lineRule="auto"/>
        <w:jc w:val="left"/>
      </w:pPr>
      <w:r>
        <w:br w:type="page"/>
      </w:r>
    </w:p>
    <w:p w14:paraId="03CFAF42" w14:textId="5183237C" w:rsidR="00985718" w:rsidRPr="00985718" w:rsidRDefault="00D872D1" w:rsidP="00985718">
      <w:pPr>
        <w:pStyle w:val="Figureheading"/>
      </w:pPr>
      <w:bookmarkStart w:id="50" w:name="_Toc88208551"/>
      <w:bookmarkStart w:id="51" w:name="_Toc90312411"/>
      <w:r w:rsidRPr="00FB249F">
        <w:lastRenderedPageBreak/>
        <w:t xml:space="preserve">Figure </w:t>
      </w:r>
      <w:r w:rsidR="00C75BBE">
        <w:t>9</w:t>
      </w:r>
      <w:r w:rsidRPr="00FB249F">
        <w:t>:</w:t>
      </w:r>
      <w:r w:rsidRPr="00FB249F">
        <w:tab/>
        <w:t>Comparison of average estimated daily streamflow depletion to predicted maximum annual streamflow depletion for river segments with measured and consented allocation data for July 2017–June 2018 (as a ratio of estimated long-term natural median flow)</w:t>
      </w:r>
      <w:bookmarkEnd w:id="50"/>
      <w:bookmarkEnd w:id="51"/>
    </w:p>
    <w:p w14:paraId="7428D0BF" w14:textId="177BCF62" w:rsidR="00D872D1" w:rsidRPr="00FB249F" w:rsidRDefault="0079523D" w:rsidP="00D872D1">
      <w:pPr>
        <w:pStyle w:val="BodyText"/>
        <w:spacing w:after="0"/>
        <w:rPr>
          <w:rFonts w:eastAsia="Times New Roman"/>
          <w:snapToGrid w:val="0"/>
          <w:w w:val="0"/>
          <w:u w:color="000000"/>
          <w:bdr w:val="none" w:sz="0" w:space="0" w:color="000000"/>
          <w:shd w:val="clear" w:color="000000" w:fill="000000"/>
        </w:rPr>
      </w:pPr>
      <w:r>
        <w:rPr>
          <w:rFonts w:eastAsia="Times New Roman"/>
          <w:noProof/>
          <w:w w:val="0"/>
          <w:u w:color="000000"/>
          <w:bdr w:val="none" w:sz="0" w:space="0" w:color="000000"/>
          <w:shd w:val="clear" w:color="000000" w:fill="000000"/>
        </w:rPr>
        <w:drawing>
          <wp:inline distT="0" distB="0" distL="0" distR="0" wp14:anchorId="7C95E76C" wp14:editId="0C5AEE7C">
            <wp:extent cx="5391785" cy="4511495"/>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6">
                      <a:extLst>
                        <a:ext uri="{28A0092B-C50C-407E-A947-70E740481C1C}">
                          <a14:useLocalDpi xmlns:a14="http://schemas.microsoft.com/office/drawing/2010/main" val="0"/>
                        </a:ext>
                      </a:extLst>
                    </a:blip>
                    <a:srcRect t="3861"/>
                    <a:stretch/>
                  </pic:blipFill>
                  <pic:spPr bwMode="auto">
                    <a:xfrm>
                      <a:off x="0" y="0"/>
                      <a:ext cx="5391785" cy="4511495"/>
                    </a:xfrm>
                    <a:prstGeom prst="rect">
                      <a:avLst/>
                    </a:prstGeom>
                    <a:noFill/>
                    <a:ln>
                      <a:noFill/>
                    </a:ln>
                    <a:extLst>
                      <a:ext uri="{53640926-AAD7-44D8-BBD7-CCE9431645EC}">
                        <a14:shadowObscured xmlns:a14="http://schemas.microsoft.com/office/drawing/2010/main"/>
                      </a:ext>
                    </a:extLst>
                  </pic:spPr>
                </pic:pic>
              </a:graphicData>
            </a:graphic>
          </wp:inline>
        </w:drawing>
      </w:r>
      <w:r w:rsidR="00D872D1" w:rsidRPr="00FB249F">
        <w:rPr>
          <w:rFonts w:eastAsia="Times New Roman"/>
          <w:snapToGrid w:val="0"/>
          <w:w w:val="0"/>
          <w:bdr w:val="none" w:sz="0" w:space="0" w:color="000000"/>
          <w:shd w:val="clear" w:color="000000" w:fill="000000"/>
        </w:rPr>
        <w:t xml:space="preserve"> </w:t>
      </w:r>
    </w:p>
    <w:p w14:paraId="25F2F253" w14:textId="77777777" w:rsidR="00202C95" w:rsidRDefault="00202C95" w:rsidP="00D872D1">
      <w:pPr>
        <w:pStyle w:val="Source"/>
        <w:spacing w:before="0"/>
      </w:pPr>
    </w:p>
    <w:p w14:paraId="5CDD17FC" w14:textId="2D22AA7B" w:rsidR="00D872D1" w:rsidRPr="00FB249F" w:rsidRDefault="00D872D1" w:rsidP="00D872D1">
      <w:pPr>
        <w:pStyle w:val="Source"/>
        <w:spacing w:before="0"/>
      </w:pPr>
      <w:r w:rsidRPr="00FB249F">
        <w:t>Data source: NIWA</w:t>
      </w:r>
    </w:p>
    <w:p w14:paraId="28EE0E44" w14:textId="4582B799" w:rsidR="00D872D1" w:rsidRPr="00FB249F" w:rsidRDefault="00D872D1" w:rsidP="00D872D1">
      <w:pPr>
        <w:pStyle w:val="Note"/>
        <w:spacing w:before="0"/>
      </w:pPr>
      <w:r w:rsidRPr="00FB249F">
        <w:t>Notes: The estimated streamflow depletion and augmentation effects of consumptive hydropower schemes are not shown. Analysis assumes that all groundwater abstractions deplete streamflow, and that no abstracted surface- or groundwater is returned to the river network. Streamflow depletion is shown as a proportion of modelled long-term natural median streamflow, not actual natural streamflow. Maps only display data for river and stream segments with verified measured abstraction datasets and streamflow depletion values for July 2017–June 2018. Consented maximum allocation analysis does not account for the potential impacts of water use restrictions, and used the same model for all groundwater abstractions regardless of depth (see Booker &amp; Henderson, 2019). Measured abstractions analysis used a different model for groundwater abstractions deeper than 30 metres (see Booker et al, 2019).</w:t>
      </w:r>
    </w:p>
    <w:p w14:paraId="2BB18410" w14:textId="54241DD9" w:rsidR="00202C95" w:rsidRPr="00FB249F" w:rsidRDefault="00D872D1" w:rsidP="00D872D1">
      <w:pPr>
        <w:pStyle w:val="BodyText"/>
      </w:pPr>
      <w:r w:rsidRPr="00FB249F">
        <w:t>The figure shows that for July 2017–June 2018, the portions of the river network in this comparison are estimated to have experienced far less significant daily depletion effects than if the measured abstraction sites in their upstream catchments had abstracted their full allocation. If accurate, this difference may reflect the effects of water use restrictions triggered by droughts experienced across both regions in summer 2017/18 (Stats NZ, 2020).</w:t>
      </w:r>
    </w:p>
    <w:p w14:paraId="5FE5EB61" w14:textId="19DFE3CB" w:rsidR="00616DFD" w:rsidRDefault="001F16F3" w:rsidP="002C0E07">
      <w:pPr>
        <w:pStyle w:val="BodyText"/>
      </w:pPr>
      <w:r w:rsidRPr="00FB249F">
        <w:t xml:space="preserve">This is not a precise comparison, because the daily streamflow depletion values were estimated using a two-layer model for calculating depletion from groundwater abstractions, where the maximum annual depletion values were predicted using a simpler one-layer model that </w:t>
      </w:r>
      <w:r w:rsidR="00B01E55">
        <w:t xml:space="preserve">does not account for the greater influence that some aquifer characteristics are </w:t>
      </w:r>
      <w:r w:rsidR="00B01E55">
        <w:lastRenderedPageBreak/>
        <w:t>expected</w:t>
      </w:r>
      <w:r w:rsidR="00EF1EEA">
        <w:t xml:space="preserve"> to have on the timing and rates of depletion </w:t>
      </w:r>
      <w:r w:rsidR="00C23D0A">
        <w:t>resulting from deeper abstractions</w:t>
      </w:r>
      <w:r w:rsidRPr="00FB249F">
        <w:t xml:space="preserve"> (see Booker et al, 2019). These approaches were also derived from different datasets, subject to different sets of limitations (see </w:t>
      </w:r>
      <w:hyperlink w:anchor="_Comparing_estimated_streamflow" w:history="1">
        <w:r w:rsidRPr="00FB249F">
          <w:rPr>
            <w:rStyle w:val="Hyperlink"/>
          </w:rPr>
          <w:t>Comparing estimated streamflow depletion to estimated long-term natural median flow</w:t>
        </w:r>
      </w:hyperlink>
      <w:r w:rsidRPr="00FB249F">
        <w:t> and Booker &amp; Henderson, 2019). Considering these differences, the comparison still provides some indication of consented water use patterns and how these may have affected natural streamflows.</w:t>
      </w:r>
    </w:p>
    <w:p w14:paraId="50D036D1" w14:textId="77777777" w:rsidR="0072337E" w:rsidRPr="0072337E" w:rsidRDefault="0072337E" w:rsidP="0072337E">
      <w:pPr>
        <w:pStyle w:val="BodyText"/>
      </w:pPr>
      <w:bookmarkStart w:id="52" w:name="_Toc88208527"/>
      <w:r w:rsidRPr="0072337E">
        <w:br w:type="page"/>
      </w:r>
    </w:p>
    <w:p w14:paraId="131BFC25" w14:textId="33CD2263" w:rsidR="00DC3FFE" w:rsidRPr="00FB249F" w:rsidRDefault="00DC3FFE" w:rsidP="00DC3FFE">
      <w:pPr>
        <w:pStyle w:val="Heading1"/>
      </w:pPr>
      <w:bookmarkStart w:id="53" w:name="_Toc90312372"/>
      <w:r w:rsidRPr="00FB249F">
        <w:lastRenderedPageBreak/>
        <w:t>Streamflow depletion as a proportion of estimated natural</w:t>
      </w:r>
      <w:r w:rsidR="00EA2A4C">
        <w:t> </w:t>
      </w:r>
      <w:r w:rsidRPr="00FB249F">
        <w:t>daily flow</w:t>
      </w:r>
      <w:bookmarkEnd w:id="52"/>
      <w:bookmarkEnd w:id="53"/>
    </w:p>
    <w:p w14:paraId="33A4D6FB" w14:textId="77777777" w:rsidR="00DC3FFE" w:rsidRPr="00FB249F" w:rsidRDefault="00DC3FFE" w:rsidP="00DC3FFE">
      <w:pPr>
        <w:pStyle w:val="BodyText"/>
      </w:pPr>
      <w:r w:rsidRPr="00FB249F">
        <w:t xml:space="preserve">Our second approach to exploring the relationship between measured abstractions and river and stream flow was to compare the modelled estimates of streamflow depletion from measured abstractions to the measured streamflow at river- and streamflow gauging sites. </w:t>
      </w:r>
    </w:p>
    <w:p w14:paraId="55D83638" w14:textId="176DEE89" w:rsidR="00DC3FFE" w:rsidRPr="00FB249F" w:rsidRDefault="00DC3FFE" w:rsidP="00DC3FFE">
      <w:pPr>
        <w:pStyle w:val="BodyText"/>
      </w:pPr>
      <w:r w:rsidRPr="00FB249F">
        <w:t xml:space="preserve">This follows our first approach, which compared daily streamflow depletion estimates from measured abstractions to estimates of long-term natural median streamflow (see </w:t>
      </w:r>
      <w:hyperlink w:anchor="_Streamflow_depletion_as" w:history="1">
        <w:r w:rsidRPr="00FB249F">
          <w:rPr>
            <w:rStyle w:val="Hyperlink"/>
          </w:rPr>
          <w:t>Streamflow depletion as a proportion of long-term natural median flow</w:t>
        </w:r>
      </w:hyperlink>
      <w:r w:rsidRPr="00FB249F">
        <w:t xml:space="preserve">), but improves its accuracy and temporal resolution by comparing these daily streamflow depletion estimates to daily measured flow (see table </w:t>
      </w:r>
      <w:r w:rsidR="002D24B0">
        <w:t>3</w:t>
      </w:r>
      <w:r w:rsidRPr="00FB249F">
        <w:t xml:space="preserve">). </w:t>
      </w:r>
    </w:p>
    <w:p w14:paraId="62A4F6C8" w14:textId="77777777" w:rsidR="00DC3FFE" w:rsidRPr="00FB249F" w:rsidRDefault="00DC3FFE" w:rsidP="00DC3FFE">
      <w:pPr>
        <w:pStyle w:val="BodyText"/>
      </w:pPr>
      <w:r w:rsidRPr="00FB249F">
        <w:t>However, this analysis is far less spatially comprehensive, because unlike estimated long-term natural median streamflow (which is available for all rivers and streams), streamflow is only measured for a subset of river and stream reaches.</w:t>
      </w:r>
    </w:p>
    <w:p w14:paraId="6D9C3AD5" w14:textId="4488F8AE" w:rsidR="00DC3FFE" w:rsidRPr="00FB249F" w:rsidRDefault="00DC3FFE" w:rsidP="00DC3FFE">
      <w:pPr>
        <w:pStyle w:val="Tableheading"/>
      </w:pPr>
      <w:bookmarkStart w:id="54" w:name="_Toc88208537"/>
      <w:bookmarkStart w:id="55" w:name="_Toc90312381"/>
      <w:r w:rsidRPr="00FB249F">
        <w:t xml:space="preserve">Table </w:t>
      </w:r>
      <w:r w:rsidR="002D24B0">
        <w:t>3</w:t>
      </w:r>
      <w:r w:rsidRPr="00FB249F">
        <w:t>:</w:t>
      </w:r>
      <w:r w:rsidRPr="00FB249F">
        <w:tab/>
        <w:t>Comparison of second approach with first approach and previous works</w:t>
      </w:r>
      <w:bookmarkEnd w:id="54"/>
      <w:bookmarkEnd w:id="55"/>
    </w:p>
    <w:tbl>
      <w:tblPr>
        <w:tblStyle w:val="TableGrid"/>
        <w:tblW w:w="8505" w:type="dxa"/>
        <w:tblInd w:w="113"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1564"/>
        <w:gridCol w:w="41"/>
        <w:gridCol w:w="2631"/>
        <w:gridCol w:w="1404"/>
        <w:gridCol w:w="1345"/>
        <w:gridCol w:w="1520"/>
      </w:tblGrid>
      <w:tr w:rsidR="00EA2A4C" w:rsidRPr="00FB249F" w14:paraId="47042FAB" w14:textId="77777777" w:rsidTr="00EA2A4C">
        <w:trPr>
          <w:tblHeader/>
        </w:trPr>
        <w:tc>
          <w:tcPr>
            <w:tcW w:w="1515" w:type="dxa"/>
            <w:tcBorders>
              <w:right w:val="single" w:sz="4" w:space="0" w:color="1C556C"/>
            </w:tcBorders>
            <w:shd w:val="clear" w:color="auto" w:fill="1B556B"/>
            <w:vAlign w:val="center"/>
          </w:tcPr>
          <w:p w14:paraId="1D89F7F7" w14:textId="18A3DBC5" w:rsidR="00EA2A4C" w:rsidRPr="00FB249F" w:rsidRDefault="00EA2A4C" w:rsidP="00EA2A4C">
            <w:pPr>
              <w:pStyle w:val="TableTextbold"/>
              <w:jc w:val="center"/>
              <w:rPr>
                <w:color w:val="FFFFFF" w:themeColor="background1"/>
              </w:rPr>
            </w:pPr>
          </w:p>
        </w:tc>
        <w:tc>
          <w:tcPr>
            <w:tcW w:w="2591" w:type="dxa"/>
            <w:gridSpan w:val="2"/>
            <w:tcBorders>
              <w:left w:val="single" w:sz="4" w:space="0" w:color="1C556C"/>
            </w:tcBorders>
            <w:shd w:val="clear" w:color="auto" w:fill="1B556B"/>
            <w:vAlign w:val="center"/>
          </w:tcPr>
          <w:p w14:paraId="2B6CA1D6" w14:textId="77777777" w:rsidR="00EA2A4C" w:rsidRPr="00FB249F" w:rsidRDefault="00EA2A4C" w:rsidP="00EA2A4C">
            <w:pPr>
              <w:pStyle w:val="TableTextbold"/>
              <w:jc w:val="center"/>
              <w:rPr>
                <w:color w:val="FFFFFF" w:themeColor="background1"/>
              </w:rPr>
            </w:pPr>
            <w:r w:rsidRPr="00FB249F">
              <w:rPr>
                <w:color w:val="FFFFFF" w:themeColor="background1"/>
              </w:rPr>
              <w:t>Analysis</w:t>
            </w:r>
          </w:p>
        </w:tc>
        <w:tc>
          <w:tcPr>
            <w:tcW w:w="1361" w:type="dxa"/>
            <w:shd w:val="clear" w:color="auto" w:fill="1B556B"/>
            <w:vAlign w:val="center"/>
          </w:tcPr>
          <w:p w14:paraId="50FA7880" w14:textId="12F711A5" w:rsidR="00EA2A4C" w:rsidRPr="00FB249F" w:rsidRDefault="00EA2A4C" w:rsidP="00F23144">
            <w:pPr>
              <w:pStyle w:val="TableTextbold"/>
              <w:jc w:val="center"/>
              <w:rPr>
                <w:color w:val="FFFFFF" w:themeColor="background1"/>
              </w:rPr>
            </w:pPr>
            <w:r w:rsidRPr="00FB249F">
              <w:rPr>
                <w:color w:val="FFFFFF" w:themeColor="background1"/>
              </w:rPr>
              <w:t>Previous works</w:t>
            </w:r>
          </w:p>
        </w:tc>
        <w:tc>
          <w:tcPr>
            <w:tcW w:w="1304" w:type="dxa"/>
            <w:shd w:val="clear" w:color="auto" w:fill="1B556B"/>
            <w:vAlign w:val="center"/>
          </w:tcPr>
          <w:p w14:paraId="33EDA210" w14:textId="77777777" w:rsidR="00EA2A4C" w:rsidRPr="00FB249F" w:rsidRDefault="00EA2A4C" w:rsidP="00F23144">
            <w:pPr>
              <w:pStyle w:val="TableTextbold"/>
              <w:jc w:val="center"/>
              <w:rPr>
                <w:color w:val="FFFFFF" w:themeColor="background1"/>
              </w:rPr>
            </w:pPr>
            <w:r w:rsidRPr="00FB249F">
              <w:rPr>
                <w:color w:val="FFFFFF" w:themeColor="background1"/>
              </w:rPr>
              <w:t>First approach</w:t>
            </w:r>
          </w:p>
        </w:tc>
        <w:tc>
          <w:tcPr>
            <w:tcW w:w="1474" w:type="dxa"/>
            <w:shd w:val="clear" w:color="auto" w:fill="1B556B"/>
            <w:vAlign w:val="center"/>
          </w:tcPr>
          <w:p w14:paraId="3E6F184E" w14:textId="77777777" w:rsidR="00EA2A4C" w:rsidRPr="00FB249F" w:rsidRDefault="00EA2A4C" w:rsidP="00F23144">
            <w:pPr>
              <w:pStyle w:val="TableTextbold"/>
              <w:jc w:val="center"/>
              <w:rPr>
                <w:color w:val="FFFFFF" w:themeColor="background1"/>
              </w:rPr>
            </w:pPr>
            <w:r w:rsidRPr="00FB249F">
              <w:rPr>
                <w:color w:val="FFFFFF" w:themeColor="background1"/>
              </w:rPr>
              <w:t>Second approach</w:t>
            </w:r>
          </w:p>
        </w:tc>
      </w:tr>
      <w:tr w:rsidR="00EA2A4C" w:rsidRPr="00FB249F" w14:paraId="0D5DA87E" w14:textId="77777777" w:rsidTr="00EA2A4C">
        <w:trPr>
          <w:trHeight w:val="360"/>
        </w:trPr>
        <w:tc>
          <w:tcPr>
            <w:tcW w:w="1555" w:type="dxa"/>
            <w:gridSpan w:val="2"/>
            <w:vMerge w:val="restart"/>
            <w:tcBorders>
              <w:right w:val="single" w:sz="4" w:space="0" w:color="1C556C"/>
            </w:tcBorders>
            <w:shd w:val="clear" w:color="auto" w:fill="auto"/>
            <w:vAlign w:val="center"/>
          </w:tcPr>
          <w:p w14:paraId="06A589F8" w14:textId="77777777" w:rsidR="00DC3FFE" w:rsidRPr="00FB249F" w:rsidRDefault="00DC3FFE" w:rsidP="00F23144">
            <w:pPr>
              <w:pStyle w:val="TableText"/>
              <w:jc w:val="center"/>
            </w:pPr>
            <w:r w:rsidRPr="00FB249F">
              <w:t xml:space="preserve">Measured daily abstraction rates </w:t>
            </w:r>
          </w:p>
        </w:tc>
        <w:tc>
          <w:tcPr>
            <w:tcW w:w="2551" w:type="dxa"/>
            <w:tcBorders>
              <w:left w:val="single" w:sz="4" w:space="0" w:color="1C556C"/>
            </w:tcBorders>
            <w:shd w:val="clear" w:color="auto" w:fill="auto"/>
            <w:vAlign w:val="center"/>
          </w:tcPr>
          <w:p w14:paraId="17AA9037" w14:textId="77777777" w:rsidR="00DC3FFE" w:rsidRPr="00FB249F" w:rsidRDefault="00DC3FFE" w:rsidP="00F23144">
            <w:pPr>
              <w:pStyle w:val="TableText"/>
              <w:jc w:val="center"/>
            </w:pPr>
            <w:r w:rsidRPr="00FB249F">
              <w:t>Water use type</w:t>
            </w:r>
          </w:p>
        </w:tc>
        <w:tc>
          <w:tcPr>
            <w:tcW w:w="1361" w:type="dxa"/>
            <w:vAlign w:val="center"/>
          </w:tcPr>
          <w:p w14:paraId="056B4C66" w14:textId="77777777" w:rsidR="00DC3FFE" w:rsidRPr="00FB249F" w:rsidRDefault="00DC3FFE" w:rsidP="00F23144">
            <w:pPr>
              <w:pStyle w:val="TableText"/>
              <w:jc w:val="center"/>
              <w:rPr>
                <w:rFonts w:ascii="Segoe UI Symbol" w:hAnsi="Segoe UI Symbol" w:cs="Segoe UI Symbol"/>
                <w:b/>
                <w:bCs/>
              </w:rPr>
            </w:pPr>
            <w:r w:rsidRPr="00FB249F">
              <w:rPr>
                <w:rFonts w:ascii="Segoe UI Symbol" w:hAnsi="Segoe UI Symbol" w:cs="Segoe UI Symbol"/>
                <w:b/>
                <w:bCs/>
              </w:rPr>
              <w:t>🗸</w:t>
            </w:r>
          </w:p>
        </w:tc>
        <w:tc>
          <w:tcPr>
            <w:tcW w:w="1304" w:type="dxa"/>
            <w:vAlign w:val="center"/>
          </w:tcPr>
          <w:p w14:paraId="005EA44C" w14:textId="77777777" w:rsidR="00DC3FFE" w:rsidRPr="00FB249F" w:rsidRDefault="00DC3FFE" w:rsidP="00F23144">
            <w:pPr>
              <w:pStyle w:val="TableText"/>
              <w:jc w:val="center"/>
              <w:rPr>
                <w:b/>
                <w:bCs/>
              </w:rPr>
            </w:pPr>
            <w:r w:rsidRPr="00FB249F">
              <w:rPr>
                <w:rFonts w:ascii="Segoe UI Symbol" w:hAnsi="Segoe UI Symbol" w:cs="Segoe UI Symbol"/>
                <w:b/>
                <w:bCs/>
              </w:rPr>
              <w:t>🗸</w:t>
            </w:r>
          </w:p>
        </w:tc>
        <w:tc>
          <w:tcPr>
            <w:tcW w:w="1474" w:type="dxa"/>
            <w:vAlign w:val="center"/>
          </w:tcPr>
          <w:p w14:paraId="49D1B6C6" w14:textId="77777777" w:rsidR="00DC3FFE" w:rsidRPr="00FB249F" w:rsidRDefault="00DC3FFE" w:rsidP="00F23144">
            <w:pPr>
              <w:pStyle w:val="TableText"/>
              <w:jc w:val="center"/>
              <w:rPr>
                <w:b/>
                <w:bCs/>
              </w:rPr>
            </w:pPr>
          </w:p>
        </w:tc>
      </w:tr>
      <w:tr w:rsidR="00EA2A4C" w:rsidRPr="00FB249F" w14:paraId="37344DFE" w14:textId="77777777" w:rsidTr="00EA2A4C">
        <w:trPr>
          <w:trHeight w:val="360"/>
        </w:trPr>
        <w:tc>
          <w:tcPr>
            <w:tcW w:w="1555" w:type="dxa"/>
            <w:gridSpan w:val="2"/>
            <w:vMerge/>
            <w:tcBorders>
              <w:right w:val="single" w:sz="4" w:space="0" w:color="1C556C"/>
            </w:tcBorders>
            <w:shd w:val="clear" w:color="auto" w:fill="auto"/>
            <w:textDirection w:val="btLr"/>
            <w:vAlign w:val="center"/>
          </w:tcPr>
          <w:p w14:paraId="5D15B47A" w14:textId="77777777" w:rsidR="00DC3FFE" w:rsidRPr="00FB249F" w:rsidRDefault="00DC3FFE" w:rsidP="00F23144">
            <w:pPr>
              <w:pStyle w:val="TableText"/>
              <w:ind w:left="113" w:right="113"/>
              <w:jc w:val="center"/>
            </w:pPr>
          </w:p>
        </w:tc>
        <w:tc>
          <w:tcPr>
            <w:tcW w:w="2551" w:type="dxa"/>
            <w:tcBorders>
              <w:left w:val="single" w:sz="4" w:space="0" w:color="1C556C"/>
            </w:tcBorders>
            <w:shd w:val="clear" w:color="auto" w:fill="auto"/>
            <w:vAlign w:val="center"/>
          </w:tcPr>
          <w:p w14:paraId="24B989D5" w14:textId="77777777" w:rsidR="00DC3FFE" w:rsidRPr="00FB249F" w:rsidRDefault="00DC3FFE" w:rsidP="00F23144">
            <w:pPr>
              <w:pStyle w:val="TableText"/>
              <w:jc w:val="center"/>
            </w:pPr>
            <w:r w:rsidRPr="00FB249F">
              <w:t>Water source</w:t>
            </w:r>
          </w:p>
        </w:tc>
        <w:tc>
          <w:tcPr>
            <w:tcW w:w="1361" w:type="dxa"/>
            <w:vAlign w:val="center"/>
          </w:tcPr>
          <w:p w14:paraId="7CE97E3A" w14:textId="77777777" w:rsidR="00DC3FFE" w:rsidRPr="00FB249F" w:rsidRDefault="00DC3FFE" w:rsidP="00F23144">
            <w:pPr>
              <w:pStyle w:val="TableText"/>
              <w:jc w:val="center"/>
              <w:rPr>
                <w:rFonts w:ascii="Segoe UI Symbol" w:hAnsi="Segoe UI Symbol" w:cs="Segoe UI Symbol"/>
                <w:b/>
                <w:bCs/>
              </w:rPr>
            </w:pPr>
            <w:r w:rsidRPr="00FB249F">
              <w:rPr>
                <w:rFonts w:ascii="Segoe UI Symbol" w:hAnsi="Segoe UI Symbol" w:cs="Segoe UI Symbol"/>
                <w:b/>
                <w:bCs/>
              </w:rPr>
              <w:t>🗸</w:t>
            </w:r>
          </w:p>
        </w:tc>
        <w:tc>
          <w:tcPr>
            <w:tcW w:w="1304" w:type="dxa"/>
            <w:vAlign w:val="center"/>
          </w:tcPr>
          <w:p w14:paraId="249C6CB6" w14:textId="77777777" w:rsidR="00DC3FFE" w:rsidRPr="00FB249F" w:rsidRDefault="00DC3FFE" w:rsidP="00F23144">
            <w:pPr>
              <w:pStyle w:val="TableText"/>
              <w:jc w:val="center"/>
            </w:pPr>
          </w:p>
        </w:tc>
        <w:tc>
          <w:tcPr>
            <w:tcW w:w="1474" w:type="dxa"/>
            <w:vAlign w:val="center"/>
          </w:tcPr>
          <w:p w14:paraId="20033C7D" w14:textId="77777777" w:rsidR="00DC3FFE" w:rsidRPr="00FB249F" w:rsidRDefault="00DC3FFE" w:rsidP="00F23144">
            <w:pPr>
              <w:pStyle w:val="TableText"/>
              <w:jc w:val="center"/>
            </w:pPr>
            <w:r w:rsidRPr="00FB249F">
              <w:rPr>
                <w:rFonts w:ascii="Segoe UI Symbol" w:hAnsi="Segoe UI Symbol" w:cs="Segoe UI Symbol"/>
                <w:b/>
                <w:bCs/>
              </w:rPr>
              <w:t>🗸</w:t>
            </w:r>
          </w:p>
        </w:tc>
      </w:tr>
      <w:tr w:rsidR="00EA2A4C" w:rsidRPr="00FB249F" w14:paraId="03A609B2" w14:textId="77777777" w:rsidTr="00EA2A4C">
        <w:trPr>
          <w:trHeight w:val="360"/>
        </w:trPr>
        <w:tc>
          <w:tcPr>
            <w:tcW w:w="1555" w:type="dxa"/>
            <w:gridSpan w:val="2"/>
            <w:vMerge/>
            <w:tcBorders>
              <w:right w:val="single" w:sz="4" w:space="0" w:color="1C556C"/>
            </w:tcBorders>
            <w:shd w:val="clear" w:color="auto" w:fill="auto"/>
            <w:textDirection w:val="btLr"/>
            <w:vAlign w:val="center"/>
          </w:tcPr>
          <w:p w14:paraId="6CA0E728" w14:textId="77777777" w:rsidR="00DC3FFE" w:rsidRPr="00FB249F" w:rsidRDefault="00DC3FFE" w:rsidP="00F23144">
            <w:pPr>
              <w:pStyle w:val="TableText"/>
              <w:ind w:left="113" w:right="113"/>
              <w:jc w:val="center"/>
            </w:pPr>
          </w:p>
        </w:tc>
        <w:tc>
          <w:tcPr>
            <w:tcW w:w="2551" w:type="dxa"/>
            <w:tcBorders>
              <w:left w:val="single" w:sz="4" w:space="0" w:color="1C556C"/>
            </w:tcBorders>
            <w:shd w:val="clear" w:color="auto" w:fill="auto"/>
            <w:vAlign w:val="center"/>
          </w:tcPr>
          <w:p w14:paraId="73D0DA38" w14:textId="77777777" w:rsidR="00DC3FFE" w:rsidRPr="00FB249F" w:rsidRDefault="00DC3FFE" w:rsidP="00F23144">
            <w:pPr>
              <w:pStyle w:val="TableText"/>
              <w:jc w:val="center"/>
            </w:pPr>
            <w:r w:rsidRPr="00FB249F">
              <w:t>Modelled streamflow depletion</w:t>
            </w:r>
          </w:p>
        </w:tc>
        <w:tc>
          <w:tcPr>
            <w:tcW w:w="1361" w:type="dxa"/>
            <w:vAlign w:val="center"/>
          </w:tcPr>
          <w:p w14:paraId="2E509DBE" w14:textId="77777777" w:rsidR="00DC3FFE" w:rsidRPr="00FB249F" w:rsidRDefault="00DC3FFE" w:rsidP="00F23144">
            <w:pPr>
              <w:pStyle w:val="TableText"/>
              <w:jc w:val="center"/>
              <w:rPr>
                <w:rFonts w:ascii="Segoe UI Symbol" w:hAnsi="Segoe UI Symbol" w:cs="Segoe UI Symbol"/>
                <w:b/>
                <w:bCs/>
              </w:rPr>
            </w:pPr>
            <w:r w:rsidRPr="00FB249F">
              <w:rPr>
                <w:rFonts w:ascii="Segoe UI Symbol" w:hAnsi="Segoe UI Symbol" w:cs="Segoe UI Symbol"/>
                <w:b/>
                <w:bCs/>
              </w:rPr>
              <w:t xml:space="preserve">🗸 </w:t>
            </w:r>
            <w:r w:rsidRPr="00FB249F">
              <w:rPr>
                <w:rFonts w:ascii="Segoe UI Symbol" w:hAnsi="Segoe UI Symbol" w:cs="Segoe UI Symbol"/>
                <w:vertAlign w:val="superscript"/>
              </w:rPr>
              <w:t>1</w:t>
            </w:r>
          </w:p>
        </w:tc>
        <w:tc>
          <w:tcPr>
            <w:tcW w:w="1304" w:type="dxa"/>
            <w:vAlign w:val="center"/>
          </w:tcPr>
          <w:p w14:paraId="65C03E30" w14:textId="77777777" w:rsidR="00DC3FFE" w:rsidRPr="00FB249F" w:rsidRDefault="00DC3FFE" w:rsidP="00F23144">
            <w:pPr>
              <w:pStyle w:val="TableText"/>
              <w:jc w:val="center"/>
              <w:rPr>
                <w:b/>
                <w:bCs/>
              </w:rPr>
            </w:pPr>
            <w:r w:rsidRPr="00FB249F">
              <w:rPr>
                <w:rFonts w:ascii="Segoe UI Symbol" w:hAnsi="Segoe UI Symbol" w:cs="Segoe UI Symbol"/>
                <w:b/>
                <w:bCs/>
              </w:rPr>
              <w:t xml:space="preserve">🗸 </w:t>
            </w:r>
            <w:r w:rsidRPr="00202C95">
              <w:rPr>
                <w:rFonts w:ascii="Segoe UI Symbol" w:hAnsi="Segoe UI Symbol" w:cs="Segoe UI Symbol"/>
                <w:vertAlign w:val="superscript"/>
              </w:rPr>
              <w:t>2</w:t>
            </w:r>
          </w:p>
        </w:tc>
        <w:tc>
          <w:tcPr>
            <w:tcW w:w="1474" w:type="dxa"/>
            <w:vAlign w:val="center"/>
          </w:tcPr>
          <w:p w14:paraId="1B1EB22C" w14:textId="77777777" w:rsidR="00DC3FFE" w:rsidRPr="00FB249F" w:rsidRDefault="00DC3FFE" w:rsidP="00F23144">
            <w:pPr>
              <w:pStyle w:val="TableText"/>
              <w:jc w:val="center"/>
              <w:rPr>
                <w:b/>
                <w:bCs/>
              </w:rPr>
            </w:pPr>
            <w:r w:rsidRPr="00FB249F">
              <w:rPr>
                <w:rFonts w:ascii="Segoe UI Symbol" w:hAnsi="Segoe UI Symbol" w:cs="Segoe UI Symbol"/>
                <w:b/>
                <w:bCs/>
              </w:rPr>
              <w:t xml:space="preserve">🗸 </w:t>
            </w:r>
            <w:r w:rsidRPr="00202C95">
              <w:rPr>
                <w:rFonts w:ascii="Segoe UI Symbol" w:hAnsi="Segoe UI Symbol" w:cs="Segoe UI Symbol"/>
                <w:vertAlign w:val="superscript"/>
              </w:rPr>
              <w:t>2</w:t>
            </w:r>
          </w:p>
        </w:tc>
      </w:tr>
      <w:tr w:rsidR="00EA2A4C" w:rsidRPr="00FB249F" w14:paraId="19355E42" w14:textId="77777777" w:rsidTr="00EA2A4C">
        <w:trPr>
          <w:trHeight w:val="360"/>
        </w:trPr>
        <w:tc>
          <w:tcPr>
            <w:tcW w:w="1555" w:type="dxa"/>
            <w:gridSpan w:val="2"/>
            <w:vMerge/>
            <w:tcBorders>
              <w:right w:val="single" w:sz="4" w:space="0" w:color="1C556C"/>
            </w:tcBorders>
            <w:shd w:val="clear" w:color="auto" w:fill="auto"/>
            <w:textDirection w:val="btLr"/>
            <w:vAlign w:val="center"/>
          </w:tcPr>
          <w:p w14:paraId="13CE9EA0" w14:textId="77777777" w:rsidR="00DC3FFE" w:rsidRPr="00FB249F" w:rsidRDefault="00DC3FFE" w:rsidP="00F23144">
            <w:pPr>
              <w:pStyle w:val="TableText"/>
              <w:ind w:left="113" w:right="113"/>
              <w:jc w:val="center"/>
            </w:pPr>
          </w:p>
        </w:tc>
        <w:tc>
          <w:tcPr>
            <w:tcW w:w="2551" w:type="dxa"/>
            <w:tcBorders>
              <w:left w:val="single" w:sz="4" w:space="0" w:color="1C556C"/>
            </w:tcBorders>
            <w:shd w:val="clear" w:color="auto" w:fill="auto"/>
            <w:vAlign w:val="center"/>
          </w:tcPr>
          <w:p w14:paraId="78A81300" w14:textId="77777777" w:rsidR="00DC3FFE" w:rsidRPr="00FB249F" w:rsidRDefault="00DC3FFE" w:rsidP="00F23144">
            <w:pPr>
              <w:pStyle w:val="TableText"/>
              <w:jc w:val="center"/>
            </w:pPr>
            <w:r w:rsidRPr="00FB249F">
              <w:t>Modelled long-term natural median streamflow</w:t>
            </w:r>
          </w:p>
        </w:tc>
        <w:tc>
          <w:tcPr>
            <w:tcW w:w="1361" w:type="dxa"/>
            <w:vAlign w:val="center"/>
          </w:tcPr>
          <w:p w14:paraId="62EDCDA6" w14:textId="77777777" w:rsidR="00DC3FFE" w:rsidRPr="00FB249F" w:rsidRDefault="00DC3FFE" w:rsidP="00F23144">
            <w:pPr>
              <w:pStyle w:val="TableText"/>
              <w:jc w:val="center"/>
              <w:rPr>
                <w:rFonts w:ascii="Segoe UI Symbol" w:hAnsi="Segoe UI Symbol" w:cs="Segoe UI Symbol"/>
              </w:rPr>
            </w:pPr>
            <w:r w:rsidRPr="00FB249F">
              <w:rPr>
                <w:rFonts w:ascii="Segoe UI Symbol" w:hAnsi="Segoe UI Symbol" w:cs="Segoe UI Symbol"/>
                <w:b/>
                <w:bCs/>
              </w:rPr>
              <w:t>🗸</w:t>
            </w:r>
          </w:p>
        </w:tc>
        <w:tc>
          <w:tcPr>
            <w:tcW w:w="1304" w:type="dxa"/>
            <w:vAlign w:val="center"/>
          </w:tcPr>
          <w:p w14:paraId="57F753D0" w14:textId="77777777" w:rsidR="00DC3FFE" w:rsidRPr="00FB249F" w:rsidRDefault="00DC3FFE" w:rsidP="00F23144">
            <w:pPr>
              <w:pStyle w:val="TableText"/>
              <w:jc w:val="center"/>
              <w:rPr>
                <w:b/>
                <w:bCs/>
              </w:rPr>
            </w:pPr>
            <w:r w:rsidRPr="00FB249F">
              <w:rPr>
                <w:rFonts w:ascii="Segoe UI Symbol" w:hAnsi="Segoe UI Symbol" w:cs="Segoe UI Symbol"/>
                <w:b/>
                <w:bCs/>
              </w:rPr>
              <w:t>🗸</w:t>
            </w:r>
          </w:p>
        </w:tc>
        <w:tc>
          <w:tcPr>
            <w:tcW w:w="1474" w:type="dxa"/>
            <w:vAlign w:val="center"/>
          </w:tcPr>
          <w:p w14:paraId="46572BBA" w14:textId="77777777" w:rsidR="00DC3FFE" w:rsidRPr="00FB249F" w:rsidRDefault="00DC3FFE" w:rsidP="00F23144">
            <w:pPr>
              <w:pStyle w:val="TableText"/>
              <w:jc w:val="center"/>
              <w:rPr>
                <w:b/>
                <w:bCs/>
              </w:rPr>
            </w:pPr>
          </w:p>
        </w:tc>
      </w:tr>
      <w:tr w:rsidR="00EA2A4C" w:rsidRPr="00FB249F" w14:paraId="14BD868D" w14:textId="77777777" w:rsidTr="00EA2A4C">
        <w:trPr>
          <w:trHeight w:val="360"/>
        </w:trPr>
        <w:tc>
          <w:tcPr>
            <w:tcW w:w="1555" w:type="dxa"/>
            <w:gridSpan w:val="2"/>
            <w:vMerge/>
            <w:tcBorders>
              <w:right w:val="single" w:sz="4" w:space="0" w:color="1C556C"/>
            </w:tcBorders>
            <w:shd w:val="clear" w:color="auto" w:fill="auto"/>
            <w:textDirection w:val="btLr"/>
            <w:vAlign w:val="center"/>
          </w:tcPr>
          <w:p w14:paraId="2F6DBBBB" w14:textId="77777777" w:rsidR="00DC3FFE" w:rsidRPr="00FB249F" w:rsidRDefault="00DC3FFE" w:rsidP="00F23144">
            <w:pPr>
              <w:pStyle w:val="TableText"/>
              <w:ind w:left="113" w:right="113"/>
              <w:jc w:val="center"/>
            </w:pPr>
          </w:p>
        </w:tc>
        <w:tc>
          <w:tcPr>
            <w:tcW w:w="2551" w:type="dxa"/>
            <w:tcBorders>
              <w:left w:val="single" w:sz="4" w:space="0" w:color="1C556C"/>
            </w:tcBorders>
            <w:shd w:val="clear" w:color="auto" w:fill="auto"/>
            <w:vAlign w:val="center"/>
          </w:tcPr>
          <w:p w14:paraId="1FC7BFCA" w14:textId="77777777" w:rsidR="00DC3FFE" w:rsidRPr="00FB249F" w:rsidRDefault="00DC3FFE" w:rsidP="00F23144">
            <w:pPr>
              <w:pStyle w:val="TableText"/>
              <w:jc w:val="center"/>
            </w:pPr>
            <w:r w:rsidRPr="00FB249F">
              <w:t>Measured daily streamflow</w:t>
            </w:r>
          </w:p>
        </w:tc>
        <w:tc>
          <w:tcPr>
            <w:tcW w:w="1361" w:type="dxa"/>
            <w:vAlign w:val="center"/>
          </w:tcPr>
          <w:p w14:paraId="4D156D77" w14:textId="77777777" w:rsidR="00DC3FFE" w:rsidRPr="00FB249F" w:rsidRDefault="00DC3FFE" w:rsidP="00F23144">
            <w:pPr>
              <w:pStyle w:val="TableText"/>
              <w:jc w:val="center"/>
              <w:rPr>
                <w:rFonts w:ascii="Segoe UI Symbol" w:hAnsi="Segoe UI Symbol" w:cs="Segoe UI Symbol"/>
              </w:rPr>
            </w:pPr>
          </w:p>
        </w:tc>
        <w:tc>
          <w:tcPr>
            <w:tcW w:w="1304" w:type="dxa"/>
            <w:vAlign w:val="center"/>
          </w:tcPr>
          <w:p w14:paraId="4A155A34" w14:textId="77777777" w:rsidR="00DC3FFE" w:rsidRPr="00FB249F" w:rsidRDefault="00DC3FFE" w:rsidP="00F23144">
            <w:pPr>
              <w:pStyle w:val="TableText"/>
              <w:jc w:val="center"/>
              <w:rPr>
                <w:b/>
                <w:bCs/>
              </w:rPr>
            </w:pPr>
          </w:p>
        </w:tc>
        <w:tc>
          <w:tcPr>
            <w:tcW w:w="1474" w:type="dxa"/>
            <w:vAlign w:val="center"/>
          </w:tcPr>
          <w:p w14:paraId="30324CEA" w14:textId="77777777" w:rsidR="00DC3FFE" w:rsidRPr="00FB249F" w:rsidRDefault="00DC3FFE" w:rsidP="00F23144">
            <w:pPr>
              <w:pStyle w:val="TableText"/>
              <w:jc w:val="center"/>
              <w:rPr>
                <w:b/>
                <w:bCs/>
              </w:rPr>
            </w:pPr>
            <w:r w:rsidRPr="00FB249F">
              <w:rPr>
                <w:rFonts w:ascii="Segoe UI Symbol" w:hAnsi="Segoe UI Symbol" w:cs="Segoe UI Symbol"/>
                <w:b/>
                <w:bCs/>
              </w:rPr>
              <w:t>🗸</w:t>
            </w:r>
          </w:p>
        </w:tc>
      </w:tr>
      <w:tr w:rsidR="00EA2A4C" w:rsidRPr="00FB249F" w14:paraId="3E4F82D2" w14:textId="77777777" w:rsidTr="00EA2A4C">
        <w:trPr>
          <w:trHeight w:val="360"/>
        </w:trPr>
        <w:tc>
          <w:tcPr>
            <w:tcW w:w="1555" w:type="dxa"/>
            <w:gridSpan w:val="2"/>
            <w:vMerge/>
            <w:tcBorders>
              <w:right w:val="single" w:sz="4" w:space="0" w:color="1C556C"/>
            </w:tcBorders>
            <w:shd w:val="clear" w:color="auto" w:fill="auto"/>
            <w:textDirection w:val="btLr"/>
            <w:vAlign w:val="center"/>
          </w:tcPr>
          <w:p w14:paraId="45DF8505" w14:textId="77777777" w:rsidR="00DC3FFE" w:rsidRPr="00FB249F" w:rsidRDefault="00DC3FFE" w:rsidP="00F23144">
            <w:pPr>
              <w:pStyle w:val="TableText"/>
              <w:ind w:left="113" w:right="113"/>
              <w:jc w:val="center"/>
            </w:pPr>
          </w:p>
        </w:tc>
        <w:tc>
          <w:tcPr>
            <w:tcW w:w="2551" w:type="dxa"/>
            <w:tcBorders>
              <w:left w:val="single" w:sz="4" w:space="0" w:color="1C556C"/>
            </w:tcBorders>
            <w:shd w:val="clear" w:color="auto" w:fill="auto"/>
            <w:vAlign w:val="center"/>
          </w:tcPr>
          <w:p w14:paraId="2AFEFAB1" w14:textId="77777777" w:rsidR="00DC3FFE" w:rsidRPr="00FB249F" w:rsidRDefault="00DC3FFE" w:rsidP="00F23144">
            <w:pPr>
              <w:pStyle w:val="TableText"/>
              <w:jc w:val="center"/>
            </w:pPr>
            <w:r w:rsidRPr="00FB249F">
              <w:t>Estimated natural daily streamflow</w:t>
            </w:r>
          </w:p>
        </w:tc>
        <w:tc>
          <w:tcPr>
            <w:tcW w:w="1361" w:type="dxa"/>
            <w:vAlign w:val="center"/>
          </w:tcPr>
          <w:p w14:paraId="12E42508" w14:textId="77777777" w:rsidR="00DC3FFE" w:rsidRPr="00FB249F" w:rsidRDefault="00DC3FFE" w:rsidP="00F23144">
            <w:pPr>
              <w:pStyle w:val="TableText"/>
              <w:jc w:val="center"/>
              <w:rPr>
                <w:rFonts w:ascii="Segoe UI Symbol" w:hAnsi="Segoe UI Symbol" w:cs="Segoe UI Symbol"/>
              </w:rPr>
            </w:pPr>
          </w:p>
        </w:tc>
        <w:tc>
          <w:tcPr>
            <w:tcW w:w="1304" w:type="dxa"/>
            <w:vAlign w:val="center"/>
          </w:tcPr>
          <w:p w14:paraId="556D5762" w14:textId="77777777" w:rsidR="00DC3FFE" w:rsidRPr="00FB249F" w:rsidRDefault="00DC3FFE" w:rsidP="00F23144">
            <w:pPr>
              <w:pStyle w:val="TableText"/>
              <w:jc w:val="center"/>
              <w:rPr>
                <w:b/>
                <w:bCs/>
              </w:rPr>
            </w:pPr>
          </w:p>
        </w:tc>
        <w:tc>
          <w:tcPr>
            <w:tcW w:w="1474" w:type="dxa"/>
            <w:vAlign w:val="center"/>
          </w:tcPr>
          <w:p w14:paraId="5EBE1C46" w14:textId="77777777" w:rsidR="00DC3FFE" w:rsidRPr="00FB249F" w:rsidRDefault="00DC3FFE" w:rsidP="00F23144">
            <w:pPr>
              <w:pStyle w:val="TableText"/>
              <w:jc w:val="center"/>
              <w:rPr>
                <w:b/>
                <w:bCs/>
              </w:rPr>
            </w:pPr>
            <w:r w:rsidRPr="00FB249F">
              <w:rPr>
                <w:rFonts w:ascii="Segoe UI Symbol" w:hAnsi="Segoe UI Symbol" w:cs="Segoe UI Symbol"/>
                <w:b/>
                <w:bCs/>
              </w:rPr>
              <w:t>🗸</w:t>
            </w:r>
          </w:p>
        </w:tc>
      </w:tr>
    </w:tbl>
    <w:p w14:paraId="0B5A8085" w14:textId="1EAE9E18" w:rsidR="00DC3FFE" w:rsidRPr="00FB249F" w:rsidRDefault="00DC3FFE" w:rsidP="00DC3FFE">
      <w:pPr>
        <w:pStyle w:val="Note"/>
      </w:pPr>
      <w:r w:rsidRPr="00FB249F">
        <w:rPr>
          <w:vertAlign w:val="superscript"/>
        </w:rPr>
        <w:t xml:space="preserve">1 </w:t>
      </w:r>
      <w:r w:rsidRPr="00FB249F">
        <w:t>Approach uses the same model for all groundwater abstractions, regardless of depth.</w:t>
      </w:r>
      <w:r w:rsidRPr="00FB249F">
        <w:rPr>
          <w:vertAlign w:val="superscript"/>
        </w:rPr>
        <w:br/>
        <w:t>2</w:t>
      </w:r>
      <w:r w:rsidRPr="00FB249F">
        <w:t xml:space="preserve"> Approach uses a different, more precise model for groundwater abstractions deeper than 30 metres.</w:t>
      </w:r>
    </w:p>
    <w:p w14:paraId="2A0113B5" w14:textId="77777777" w:rsidR="00DC3FFE" w:rsidRPr="00FB249F" w:rsidRDefault="00DC3FFE" w:rsidP="00DC3FFE">
      <w:pPr>
        <w:pStyle w:val="BodyText"/>
      </w:pPr>
      <w:r w:rsidRPr="00FB249F">
        <w:t xml:space="preserve">To complete this additional analysis, we obtained the following data from Greater Wellington </w:t>
      </w:r>
      <w:r w:rsidRPr="0072337E">
        <w:rPr>
          <w:spacing w:val="-2"/>
        </w:rPr>
        <w:t>Regional Council (GWRC) and Horizons Regional Council (Horizons) staff for river- and streamflow</w:t>
      </w:r>
      <w:r w:rsidRPr="00FB249F">
        <w:t xml:space="preserve"> gauging sites in the Wellington and Manawatū-Whanganui regions, for the same three full hydrological years (1 June 2015–1 July 2018) covered by the council abstraction datasets:</w:t>
      </w:r>
    </w:p>
    <w:p w14:paraId="065DD2BC" w14:textId="77777777" w:rsidR="00DC3FFE" w:rsidRPr="00FB249F" w:rsidRDefault="00DC3FFE" w:rsidP="00DC3FFE">
      <w:pPr>
        <w:pStyle w:val="Numberedparagraph"/>
        <w:numPr>
          <w:ilvl w:val="0"/>
          <w:numId w:val="44"/>
        </w:numPr>
      </w:pPr>
      <w:r w:rsidRPr="00FB249F">
        <w:t>the average flow rate for each gauging site on each date</w:t>
      </w:r>
    </w:p>
    <w:p w14:paraId="586A30D1" w14:textId="77777777" w:rsidR="00DC3FFE" w:rsidRPr="00FB249F" w:rsidRDefault="00DC3FFE" w:rsidP="00DC3FFE">
      <w:pPr>
        <w:pStyle w:val="Numberedparagraph"/>
      </w:pPr>
      <w:r w:rsidRPr="00FB249F">
        <w:t>metadata for each gauging site, including:</w:t>
      </w:r>
    </w:p>
    <w:p w14:paraId="7CDF9671" w14:textId="77777777" w:rsidR="00DC3FFE" w:rsidRPr="00FB249F" w:rsidRDefault="00DC3FFE" w:rsidP="00DC3FFE">
      <w:pPr>
        <w:pStyle w:val="Sub-list"/>
      </w:pPr>
      <w:r w:rsidRPr="00FB249F">
        <w:t>site name (river or stream name, and location description)</w:t>
      </w:r>
    </w:p>
    <w:p w14:paraId="289B690F" w14:textId="77777777" w:rsidR="00DC3FFE" w:rsidRPr="00FB249F" w:rsidRDefault="00DC3FFE" w:rsidP="00DC3FFE">
      <w:pPr>
        <w:pStyle w:val="Sub-list"/>
      </w:pPr>
      <w:r w:rsidRPr="00FB249F">
        <w:t>spatial coordinates</w:t>
      </w:r>
    </w:p>
    <w:p w14:paraId="6D1A2F9A" w14:textId="77777777" w:rsidR="00DC3FFE" w:rsidRPr="00FB249F" w:rsidRDefault="00DC3FFE" w:rsidP="00DC3FFE">
      <w:pPr>
        <w:pStyle w:val="Sub-list"/>
      </w:pPr>
      <w:r w:rsidRPr="00FB249F">
        <w:t>digital river network segment identification number.</w:t>
      </w:r>
    </w:p>
    <w:p w14:paraId="2A52B941" w14:textId="77777777" w:rsidR="00D3748C" w:rsidRDefault="00DC3FFE" w:rsidP="00DC3FFE">
      <w:pPr>
        <w:pStyle w:val="BodyText"/>
      </w:pPr>
      <w:r w:rsidRPr="00FB249F">
        <w:t xml:space="preserve">GWRC measures continuous streamflow at 29 long-term river- and streamflow gauging sites in the Wellington region, which are mainly used for flood warning, and are located in reaches with stable streambeds and channels suited to long-term monitoring (see figure </w:t>
      </w:r>
      <w:r w:rsidR="00BC08EC" w:rsidRPr="00FB249F">
        <w:t>1</w:t>
      </w:r>
      <w:r w:rsidR="00BC08EC">
        <w:t>0</w:t>
      </w:r>
      <w:r w:rsidRPr="00FB249F">
        <w:t>).</w:t>
      </w:r>
    </w:p>
    <w:p w14:paraId="20A107E8" w14:textId="2B42520E" w:rsidR="00DC3FFE" w:rsidRPr="00FB249F" w:rsidRDefault="00DC3FFE" w:rsidP="00DC3FFE">
      <w:pPr>
        <w:pStyle w:val="BodyText"/>
      </w:pPr>
      <w:r w:rsidRPr="00FB249F">
        <w:lastRenderedPageBreak/>
        <w:t xml:space="preserve">The GWRC gauging network has not been designed specifically for monitoring the effects of water use, and many of its sites were not suitable for this analysis. We excluded 12 sites because they have no consented abstraction sites in their upstream catchments, so did not have the potential to be affected by recorded abstractions. We excluded a further site because its daily streamflow time-series datasets did not meet our inclusion criteria (data for more than 20 per cent of days in more than 20 per cent of months during the study period). Streamflow data for 16 gauging sites was ultimately included in the analysis for the Wellington region (blue in figure </w:t>
      </w:r>
      <w:r w:rsidR="00056D18">
        <w:t>10</w:t>
      </w:r>
      <w:r w:rsidRPr="00FB249F">
        <w:t>). Notably excluded from the analysis are the Ōtaki and Waikanae rivers, which drain significant proportions of the Kāpiti Coast, and several rivers that drain to the east coast of the Wairarapa.</w:t>
      </w:r>
    </w:p>
    <w:p w14:paraId="55BCABF0" w14:textId="517C8D23" w:rsidR="0016547D" w:rsidRPr="00FB249F" w:rsidRDefault="0016547D" w:rsidP="0016547D">
      <w:pPr>
        <w:pStyle w:val="Figureheading"/>
      </w:pPr>
      <w:bookmarkStart w:id="56" w:name="_Toc88208552"/>
      <w:bookmarkStart w:id="57" w:name="_Toc90312412"/>
      <w:r w:rsidRPr="00FB249F">
        <w:t xml:space="preserve">Figure </w:t>
      </w:r>
      <w:r w:rsidR="00C75BBE" w:rsidRPr="00FB249F">
        <w:t>1</w:t>
      </w:r>
      <w:r w:rsidR="00C75BBE">
        <w:t>0</w:t>
      </w:r>
      <w:r w:rsidRPr="00FB249F">
        <w:t xml:space="preserve">: </w:t>
      </w:r>
      <w:r w:rsidRPr="00FB249F">
        <w:tab/>
        <w:t>Locations of GWRC river- and streamflow gauging sites in the Wellington region</w:t>
      </w:r>
      <w:bookmarkEnd w:id="56"/>
      <w:bookmarkEnd w:id="57"/>
    </w:p>
    <w:p w14:paraId="421CF93E" w14:textId="7F1FBA4A" w:rsidR="0016547D" w:rsidRPr="00FB249F" w:rsidRDefault="008303FA" w:rsidP="0016547D">
      <w:pPr>
        <w:tabs>
          <w:tab w:val="left" w:pos="960"/>
        </w:tabs>
      </w:pPr>
      <w:r>
        <w:rPr>
          <w:noProof/>
        </w:rPr>
        <w:drawing>
          <wp:inline distT="0" distB="0" distL="0" distR="0" wp14:anchorId="54B5B584" wp14:editId="209E9751">
            <wp:extent cx="5394971" cy="42695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
                      <a:extLst>
                        <a:ext uri="{28A0092B-C50C-407E-A947-70E740481C1C}">
                          <a14:useLocalDpi xmlns:a14="http://schemas.microsoft.com/office/drawing/2010/main" val="0"/>
                        </a:ext>
                      </a:extLst>
                    </a:blip>
                    <a:srcRect t="1704" b="4641"/>
                    <a:stretch/>
                  </pic:blipFill>
                  <pic:spPr bwMode="auto">
                    <a:xfrm>
                      <a:off x="0" y="0"/>
                      <a:ext cx="5395595" cy="4270067"/>
                    </a:xfrm>
                    <a:prstGeom prst="rect">
                      <a:avLst/>
                    </a:prstGeom>
                    <a:noFill/>
                    <a:ln>
                      <a:noFill/>
                    </a:ln>
                    <a:extLst>
                      <a:ext uri="{53640926-AAD7-44D8-BBD7-CCE9431645EC}">
                        <a14:shadowObscured xmlns:a14="http://schemas.microsoft.com/office/drawing/2010/main"/>
                      </a:ext>
                    </a:extLst>
                  </pic:spPr>
                </pic:pic>
              </a:graphicData>
            </a:graphic>
          </wp:inline>
        </w:drawing>
      </w:r>
    </w:p>
    <w:p w14:paraId="6C929E4E" w14:textId="77777777" w:rsidR="0016547D" w:rsidRPr="00FB249F" w:rsidRDefault="0016547D" w:rsidP="00EA2A4C">
      <w:pPr>
        <w:pStyle w:val="Source"/>
        <w:spacing w:before="0"/>
      </w:pPr>
      <w:r w:rsidRPr="00FB249F">
        <w:t>Data source: GWRC</w:t>
      </w:r>
    </w:p>
    <w:p w14:paraId="4FD00DEC" w14:textId="6AFC0C71" w:rsidR="0016547D" w:rsidRPr="00FB249F" w:rsidRDefault="0016547D" w:rsidP="0016547D">
      <w:pPr>
        <w:pStyle w:val="BodyText"/>
      </w:pPr>
      <w:r w:rsidRPr="00FB249F">
        <w:t xml:space="preserve">Horizons measures continuous streamflow at 69 long-term river- and streamflow gauging sites in the Manawatū-Whanganui region, but did not provide streamflow time-series for 21 sites that were either not typically used in their water allocation framework, or for which they are not the primary data holder. Streamflow time-series data for a total of 48 gauging sites were ultimately provided (see figure </w:t>
      </w:r>
      <w:r w:rsidR="00056D18">
        <w:t>11</w:t>
      </w:r>
      <w:r w:rsidRPr="00FB249F">
        <w:t xml:space="preserve">). </w:t>
      </w:r>
    </w:p>
    <w:p w14:paraId="7BB2ECAC" w14:textId="672C4514" w:rsidR="0016547D" w:rsidRPr="00FB249F" w:rsidRDefault="0016547D" w:rsidP="0016547D">
      <w:pPr>
        <w:pStyle w:val="BodyText"/>
      </w:pPr>
      <w:r w:rsidRPr="00FB249F">
        <w:t xml:space="preserve">While the Horizons gauging sites were generally installed for water allocation purposes, many were installed for purposes such as flood warning. We excluded 20 sites from the analysis because they have no consented abstraction sites in their upstream catchments, so did not have the potential to be affected by recorded abstractions. We excluded a further two sites because their daily streamflow time-series did not meet our inclusion criteria (data for more than 20 per cent of days in more than 20 per cent of months during the study period). Streamflow data for a total of 26 gauging sites was ultimately included in the analysis for the </w:t>
      </w:r>
      <w:r w:rsidRPr="00FB249F">
        <w:lastRenderedPageBreak/>
        <w:t xml:space="preserve">Manawatū-Whanganui region (blue in figure </w:t>
      </w:r>
      <w:r w:rsidR="00056D18">
        <w:t>11</w:t>
      </w:r>
      <w:r w:rsidRPr="00FB249F">
        <w:t>). Notably excluded from the analysis is the Turakina River, which drains a large catchment between the Whangaehu and Rangitīkei River catchments, and the Akitio, Owahanga and Wainui River catchments, which drain to the east coast.</w:t>
      </w:r>
    </w:p>
    <w:p w14:paraId="553CCF41" w14:textId="143D08E9" w:rsidR="00890F1E" w:rsidRPr="00FB249F" w:rsidRDefault="00890F1E" w:rsidP="00890F1E">
      <w:pPr>
        <w:pStyle w:val="BodyText"/>
      </w:pPr>
      <w:r w:rsidRPr="00FB249F">
        <w:t>To provide greater spatial context for the measured streamflow data, we used GWRC and Horizons metadata and the digital river network to segregate the assessed gauging sites by</w:t>
      </w:r>
      <w:r w:rsidR="00622457" w:rsidRPr="00FB249F">
        <w:t> </w:t>
      </w:r>
      <w:r w:rsidRPr="00FB249F">
        <w:t>catchment. We then used digital river network metadata to determine the size of each catchment and the upstream catchment area for each gauging site, so we could assess the</w:t>
      </w:r>
      <w:r w:rsidR="00622457" w:rsidRPr="00FB249F">
        <w:t> </w:t>
      </w:r>
      <w:r w:rsidRPr="00FB249F">
        <w:t>spatial proportion of each catchment represented. This assessment shows that the 16</w:t>
      </w:r>
      <w:r w:rsidR="00622457" w:rsidRPr="00FB249F">
        <w:t> </w:t>
      </w:r>
      <w:r w:rsidRPr="00FB249F">
        <w:t>gauging sites assessed for the Wellington region represent significant portions of five river</w:t>
      </w:r>
      <w:r w:rsidR="00622457" w:rsidRPr="00FB249F">
        <w:t> </w:t>
      </w:r>
      <w:r w:rsidRPr="00FB249F">
        <w:t xml:space="preserve">catchments, including the region’s three largest by area (the Ruamahanga, Pahaoa and Hutt), and significant portions of three stream catchments (see table </w:t>
      </w:r>
      <w:r w:rsidR="00FB0C00">
        <w:t>4</w:t>
      </w:r>
      <w:r w:rsidRPr="00FB249F">
        <w:t xml:space="preserve">). For the 26 assessed gauging sites for the Manawatū-Whanganui region, it shows that these represent significant portions of five river catchments, including the region’s four largest by area (the Whanganui, Manawatū, Rangitīkei and Whangaehu), and significant portions of two stream catchments (see table </w:t>
      </w:r>
      <w:r w:rsidR="00FB0C00">
        <w:t>5</w:t>
      </w:r>
      <w:r w:rsidRPr="00FB249F">
        <w:t>).</w:t>
      </w:r>
    </w:p>
    <w:p w14:paraId="18E7E4D4" w14:textId="66087AF7" w:rsidR="00890F1E" w:rsidRPr="00FB249F" w:rsidRDefault="00890F1E" w:rsidP="00890F1E">
      <w:pPr>
        <w:pStyle w:val="Tableheading"/>
      </w:pPr>
      <w:bookmarkStart w:id="58" w:name="_Comparing_measured_streamflows"/>
      <w:bookmarkStart w:id="59" w:name="_Toc88208538"/>
      <w:bookmarkStart w:id="60" w:name="_Toc90312382"/>
      <w:bookmarkEnd w:id="58"/>
      <w:r w:rsidRPr="00FB249F">
        <w:t xml:space="preserve">Table </w:t>
      </w:r>
      <w:r w:rsidR="00FB0C00">
        <w:t>4</w:t>
      </w:r>
      <w:r w:rsidRPr="00FB249F">
        <w:t>:</w:t>
      </w:r>
      <w:r w:rsidRPr="00FB249F">
        <w:tab/>
        <w:t>Catchment details for Wellington region river- and streamflow gauging sites included in</w:t>
      </w:r>
      <w:r w:rsidR="00622457" w:rsidRPr="00FB249F">
        <w:t> </w:t>
      </w:r>
      <w:r w:rsidRPr="00FB249F">
        <w:t>analysis</w:t>
      </w:r>
      <w:bookmarkEnd w:id="59"/>
      <w:bookmarkEnd w:id="60"/>
    </w:p>
    <w:tbl>
      <w:tblPr>
        <w:tblStyle w:val="TableGrid"/>
        <w:tblW w:w="8505" w:type="dxa"/>
        <w:tblInd w:w="113"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1872"/>
        <w:gridCol w:w="1417"/>
        <w:gridCol w:w="1843"/>
        <w:gridCol w:w="3373"/>
      </w:tblGrid>
      <w:tr w:rsidR="00890F1E" w:rsidRPr="00FB249F" w14:paraId="40139176" w14:textId="77777777" w:rsidTr="00622457">
        <w:trPr>
          <w:tblHeader/>
        </w:trPr>
        <w:tc>
          <w:tcPr>
            <w:tcW w:w="1872" w:type="dxa"/>
            <w:shd w:val="clear" w:color="auto" w:fill="1B556B"/>
          </w:tcPr>
          <w:p w14:paraId="1342684B" w14:textId="77777777" w:rsidR="00890F1E" w:rsidRPr="00FB249F" w:rsidRDefault="00890F1E" w:rsidP="00F23144">
            <w:pPr>
              <w:pStyle w:val="TableTextbold"/>
              <w:rPr>
                <w:color w:val="FFFFFF" w:themeColor="background1"/>
              </w:rPr>
            </w:pPr>
            <w:bookmarkStart w:id="61" w:name="_Hlk64645049"/>
            <w:r w:rsidRPr="00FB249F">
              <w:rPr>
                <w:color w:val="FFFFFF" w:themeColor="background1"/>
              </w:rPr>
              <w:t>Catchment (size)</w:t>
            </w:r>
          </w:p>
        </w:tc>
        <w:tc>
          <w:tcPr>
            <w:tcW w:w="1417" w:type="dxa"/>
            <w:shd w:val="clear" w:color="auto" w:fill="1B556B"/>
          </w:tcPr>
          <w:p w14:paraId="75A7BF76" w14:textId="77777777" w:rsidR="00890F1E" w:rsidRPr="00FB249F" w:rsidRDefault="00890F1E" w:rsidP="00F23144">
            <w:pPr>
              <w:pStyle w:val="TableTextbold"/>
              <w:rPr>
                <w:color w:val="FFFFFF" w:themeColor="background1"/>
              </w:rPr>
            </w:pPr>
            <w:r w:rsidRPr="00FB249F">
              <w:rPr>
                <w:color w:val="FFFFFF" w:themeColor="background1"/>
              </w:rPr>
              <w:t>Location</w:t>
            </w:r>
          </w:p>
        </w:tc>
        <w:tc>
          <w:tcPr>
            <w:tcW w:w="1843" w:type="dxa"/>
            <w:shd w:val="clear" w:color="auto" w:fill="1B556B"/>
          </w:tcPr>
          <w:p w14:paraId="3F69173D" w14:textId="77777777" w:rsidR="00890F1E" w:rsidRPr="00FB249F" w:rsidRDefault="00890F1E" w:rsidP="00F23144">
            <w:pPr>
              <w:pStyle w:val="TableTextbold"/>
              <w:rPr>
                <w:color w:val="FFFFFF" w:themeColor="background1"/>
              </w:rPr>
            </w:pPr>
            <w:r w:rsidRPr="00FB249F">
              <w:rPr>
                <w:color w:val="FFFFFF" w:themeColor="background1"/>
              </w:rPr>
              <w:t>River/stream</w:t>
            </w:r>
          </w:p>
        </w:tc>
        <w:tc>
          <w:tcPr>
            <w:tcW w:w="3373" w:type="dxa"/>
            <w:shd w:val="clear" w:color="auto" w:fill="1B556B"/>
          </w:tcPr>
          <w:p w14:paraId="3DAD654A" w14:textId="77777777" w:rsidR="00890F1E" w:rsidRPr="00FB249F" w:rsidRDefault="00890F1E" w:rsidP="00F23144">
            <w:pPr>
              <w:pStyle w:val="TableTextbold"/>
              <w:rPr>
                <w:color w:val="FFFFFF" w:themeColor="background1"/>
              </w:rPr>
            </w:pPr>
            <w:r w:rsidRPr="00FB249F">
              <w:rPr>
                <w:color w:val="FFFFFF" w:themeColor="background1"/>
              </w:rPr>
              <w:t>Gauging site (upstream catchment size)</w:t>
            </w:r>
          </w:p>
        </w:tc>
      </w:tr>
      <w:tr w:rsidR="00890F1E" w:rsidRPr="00FB249F" w14:paraId="205EB273" w14:textId="77777777" w:rsidTr="00622457">
        <w:tc>
          <w:tcPr>
            <w:tcW w:w="1872" w:type="dxa"/>
            <w:vMerge w:val="restart"/>
            <w:shd w:val="clear" w:color="auto" w:fill="auto"/>
          </w:tcPr>
          <w:p w14:paraId="49C043F1" w14:textId="77777777" w:rsidR="00890F1E" w:rsidRPr="00FB249F" w:rsidRDefault="00890F1E" w:rsidP="00F23144">
            <w:pPr>
              <w:pStyle w:val="TableText"/>
            </w:pPr>
            <w:r w:rsidRPr="00FB249F">
              <w:t>Hutt River (640 km</w:t>
            </w:r>
            <w:r w:rsidRPr="00FB249F">
              <w:rPr>
                <w:vertAlign w:val="superscript"/>
              </w:rPr>
              <w:t>2</w:t>
            </w:r>
            <w:r w:rsidRPr="00FB249F">
              <w:t>)</w:t>
            </w:r>
          </w:p>
        </w:tc>
        <w:tc>
          <w:tcPr>
            <w:tcW w:w="1417" w:type="dxa"/>
            <w:vMerge w:val="restart"/>
          </w:tcPr>
          <w:p w14:paraId="6FFB59DA" w14:textId="77777777" w:rsidR="00890F1E" w:rsidRPr="00FB249F" w:rsidRDefault="00890F1E" w:rsidP="00F23144">
            <w:pPr>
              <w:pStyle w:val="TableText"/>
            </w:pPr>
            <w:r w:rsidRPr="00FB249F">
              <w:t>Hutt Valley</w:t>
            </w:r>
          </w:p>
        </w:tc>
        <w:tc>
          <w:tcPr>
            <w:tcW w:w="1843" w:type="dxa"/>
            <w:vMerge w:val="restart"/>
          </w:tcPr>
          <w:p w14:paraId="18B2F037" w14:textId="77777777" w:rsidR="00890F1E" w:rsidRPr="00FB249F" w:rsidRDefault="00890F1E" w:rsidP="00F23144">
            <w:pPr>
              <w:pStyle w:val="TableText"/>
            </w:pPr>
            <w:r w:rsidRPr="00FB249F">
              <w:t>Hutt River</w:t>
            </w:r>
          </w:p>
        </w:tc>
        <w:tc>
          <w:tcPr>
            <w:tcW w:w="3373" w:type="dxa"/>
            <w:shd w:val="clear" w:color="auto" w:fill="auto"/>
          </w:tcPr>
          <w:p w14:paraId="23B636BD" w14:textId="77777777" w:rsidR="00890F1E" w:rsidRPr="00FB249F" w:rsidRDefault="00890F1E" w:rsidP="00F23144">
            <w:pPr>
              <w:pStyle w:val="TableText"/>
              <w:rPr>
                <w:szCs w:val="18"/>
              </w:rPr>
            </w:pPr>
            <w:r w:rsidRPr="00FB249F">
              <w:rPr>
                <w:szCs w:val="18"/>
              </w:rPr>
              <w:t>Birchville (</w:t>
            </w:r>
            <w:r w:rsidRPr="00FB249F">
              <w:rPr>
                <w:rFonts w:cs="Calibri"/>
                <w:color w:val="000000"/>
                <w:szCs w:val="18"/>
              </w:rPr>
              <w:t>425</w:t>
            </w:r>
            <w:r w:rsidRPr="00FB249F">
              <w:rPr>
                <w:szCs w:val="18"/>
              </w:rPr>
              <w:t xml:space="preserve"> km</w:t>
            </w:r>
            <w:r w:rsidRPr="00FB249F">
              <w:rPr>
                <w:szCs w:val="18"/>
                <w:vertAlign w:val="superscript"/>
              </w:rPr>
              <w:t>2</w:t>
            </w:r>
            <w:r w:rsidRPr="00FB249F">
              <w:rPr>
                <w:szCs w:val="18"/>
              </w:rPr>
              <w:t>)</w:t>
            </w:r>
          </w:p>
        </w:tc>
      </w:tr>
      <w:tr w:rsidR="00890F1E" w:rsidRPr="00FB249F" w14:paraId="4C998889" w14:textId="77777777" w:rsidTr="00622457">
        <w:tc>
          <w:tcPr>
            <w:tcW w:w="1872" w:type="dxa"/>
            <w:vMerge/>
            <w:shd w:val="clear" w:color="auto" w:fill="auto"/>
          </w:tcPr>
          <w:p w14:paraId="6BF0ABAF" w14:textId="77777777" w:rsidR="00890F1E" w:rsidRPr="00FB249F" w:rsidRDefault="00890F1E" w:rsidP="00F23144">
            <w:pPr>
              <w:pStyle w:val="TableText"/>
            </w:pPr>
          </w:p>
        </w:tc>
        <w:tc>
          <w:tcPr>
            <w:tcW w:w="1417" w:type="dxa"/>
            <w:vMerge/>
          </w:tcPr>
          <w:p w14:paraId="0AF74479" w14:textId="77777777" w:rsidR="00890F1E" w:rsidRPr="00FB249F" w:rsidRDefault="00890F1E" w:rsidP="00F23144">
            <w:pPr>
              <w:pStyle w:val="TableText"/>
            </w:pPr>
          </w:p>
        </w:tc>
        <w:tc>
          <w:tcPr>
            <w:tcW w:w="1843" w:type="dxa"/>
            <w:vMerge/>
          </w:tcPr>
          <w:p w14:paraId="4B0A9F03" w14:textId="77777777" w:rsidR="00890F1E" w:rsidRPr="00FB249F" w:rsidRDefault="00890F1E" w:rsidP="00F23144">
            <w:pPr>
              <w:pStyle w:val="TableText"/>
            </w:pPr>
          </w:p>
        </w:tc>
        <w:tc>
          <w:tcPr>
            <w:tcW w:w="3373" w:type="dxa"/>
            <w:shd w:val="clear" w:color="auto" w:fill="auto"/>
          </w:tcPr>
          <w:p w14:paraId="718313BF" w14:textId="77777777" w:rsidR="00890F1E" w:rsidRPr="00FB249F" w:rsidRDefault="00890F1E" w:rsidP="00F23144">
            <w:pPr>
              <w:pStyle w:val="TableText"/>
              <w:rPr>
                <w:szCs w:val="18"/>
              </w:rPr>
            </w:pPr>
            <w:r w:rsidRPr="00FB249F">
              <w:rPr>
                <w:szCs w:val="18"/>
              </w:rPr>
              <w:t>Taita Gorge (</w:t>
            </w:r>
            <w:r w:rsidRPr="00FB249F">
              <w:rPr>
                <w:rFonts w:cs="Calibri"/>
                <w:color w:val="000000"/>
                <w:szCs w:val="18"/>
              </w:rPr>
              <w:t>560</w:t>
            </w:r>
            <w:r w:rsidRPr="00FB249F">
              <w:rPr>
                <w:szCs w:val="18"/>
              </w:rPr>
              <w:t xml:space="preserve"> km</w:t>
            </w:r>
            <w:r w:rsidRPr="00FB249F">
              <w:rPr>
                <w:szCs w:val="18"/>
                <w:vertAlign w:val="superscript"/>
              </w:rPr>
              <w:t>2</w:t>
            </w:r>
            <w:r w:rsidRPr="00FB249F">
              <w:rPr>
                <w:szCs w:val="18"/>
              </w:rPr>
              <w:t>)</w:t>
            </w:r>
          </w:p>
        </w:tc>
      </w:tr>
      <w:tr w:rsidR="00890F1E" w:rsidRPr="00FB249F" w14:paraId="38FA15BC" w14:textId="77777777" w:rsidTr="00622457">
        <w:tc>
          <w:tcPr>
            <w:tcW w:w="1872" w:type="dxa"/>
          </w:tcPr>
          <w:p w14:paraId="3917DD3E" w14:textId="77777777" w:rsidR="00890F1E" w:rsidRPr="00FB249F" w:rsidRDefault="00890F1E" w:rsidP="00F23144">
            <w:pPr>
              <w:pStyle w:val="TableText"/>
            </w:pPr>
            <w:r w:rsidRPr="00FB249F">
              <w:t xml:space="preserve">Orongorongo River </w:t>
            </w:r>
            <w:r w:rsidRPr="00FB249F">
              <w:br/>
              <w:t>(95 km</w:t>
            </w:r>
            <w:r w:rsidRPr="00FB249F">
              <w:rPr>
                <w:vertAlign w:val="superscript"/>
              </w:rPr>
              <w:t>2</w:t>
            </w:r>
            <w:r w:rsidRPr="00FB249F">
              <w:t>)</w:t>
            </w:r>
          </w:p>
        </w:tc>
        <w:tc>
          <w:tcPr>
            <w:tcW w:w="1417" w:type="dxa"/>
          </w:tcPr>
          <w:p w14:paraId="638F5575" w14:textId="77777777" w:rsidR="00890F1E" w:rsidRPr="00FB249F" w:rsidRDefault="00890F1E" w:rsidP="00F23144">
            <w:pPr>
              <w:pStyle w:val="TableText"/>
            </w:pPr>
            <w:r w:rsidRPr="00FB249F">
              <w:t>Remutaka Forest Park</w:t>
            </w:r>
          </w:p>
        </w:tc>
        <w:tc>
          <w:tcPr>
            <w:tcW w:w="1843" w:type="dxa"/>
          </w:tcPr>
          <w:p w14:paraId="0CCE63B7" w14:textId="77777777" w:rsidR="00890F1E" w:rsidRPr="00FB249F" w:rsidRDefault="00890F1E" w:rsidP="00F23144">
            <w:pPr>
              <w:pStyle w:val="TableText"/>
            </w:pPr>
            <w:r w:rsidRPr="00FB249F">
              <w:t>Orongorongo River</w:t>
            </w:r>
          </w:p>
        </w:tc>
        <w:tc>
          <w:tcPr>
            <w:tcW w:w="3373" w:type="dxa"/>
          </w:tcPr>
          <w:p w14:paraId="64D420C5" w14:textId="77777777" w:rsidR="00890F1E" w:rsidRPr="00FB249F" w:rsidRDefault="00890F1E" w:rsidP="00F23144">
            <w:pPr>
              <w:pStyle w:val="TableText"/>
              <w:rPr>
                <w:szCs w:val="18"/>
              </w:rPr>
            </w:pPr>
            <w:r w:rsidRPr="00FB249F">
              <w:rPr>
                <w:szCs w:val="18"/>
              </w:rPr>
              <w:t xml:space="preserve">Truss bridge </w:t>
            </w:r>
            <w:r w:rsidRPr="00FB249F">
              <w:rPr>
                <w:rFonts w:cs="Calibri"/>
                <w:color w:val="000000"/>
                <w:szCs w:val="18"/>
              </w:rPr>
              <w:t>(30</w:t>
            </w:r>
            <w:r w:rsidRPr="00FB249F">
              <w:rPr>
                <w:szCs w:val="18"/>
              </w:rPr>
              <w:t xml:space="preserve"> km</w:t>
            </w:r>
            <w:r w:rsidRPr="00FB249F">
              <w:rPr>
                <w:szCs w:val="18"/>
                <w:vertAlign w:val="superscript"/>
              </w:rPr>
              <w:t>2</w:t>
            </w:r>
            <w:r w:rsidRPr="00FB249F">
              <w:rPr>
                <w:szCs w:val="18"/>
              </w:rPr>
              <w:t>)</w:t>
            </w:r>
          </w:p>
        </w:tc>
      </w:tr>
      <w:tr w:rsidR="00890F1E" w:rsidRPr="00FB249F" w14:paraId="6A5E1472" w14:textId="77777777" w:rsidTr="00622457">
        <w:tc>
          <w:tcPr>
            <w:tcW w:w="1872" w:type="dxa"/>
          </w:tcPr>
          <w:p w14:paraId="6D20A3E9" w14:textId="77777777" w:rsidR="00890F1E" w:rsidRPr="00FB249F" w:rsidRDefault="00890F1E" w:rsidP="00F23144">
            <w:pPr>
              <w:pStyle w:val="TableText"/>
            </w:pPr>
            <w:r w:rsidRPr="00FB249F">
              <w:t xml:space="preserve">Pahaoa River </w:t>
            </w:r>
            <w:r w:rsidRPr="00FB249F">
              <w:br/>
              <w:t>(650 km</w:t>
            </w:r>
            <w:r w:rsidRPr="00FB249F">
              <w:rPr>
                <w:vertAlign w:val="superscript"/>
              </w:rPr>
              <w:t>2</w:t>
            </w:r>
            <w:r w:rsidRPr="00FB249F">
              <w:t>)</w:t>
            </w:r>
          </w:p>
        </w:tc>
        <w:tc>
          <w:tcPr>
            <w:tcW w:w="1417" w:type="dxa"/>
          </w:tcPr>
          <w:p w14:paraId="183D20F3" w14:textId="77777777" w:rsidR="00890F1E" w:rsidRPr="00FB249F" w:rsidRDefault="00890F1E" w:rsidP="00F23144">
            <w:pPr>
              <w:pStyle w:val="TableText"/>
            </w:pPr>
            <w:r w:rsidRPr="00FB249F">
              <w:t>Wairarapa</w:t>
            </w:r>
          </w:p>
        </w:tc>
        <w:tc>
          <w:tcPr>
            <w:tcW w:w="1843" w:type="dxa"/>
          </w:tcPr>
          <w:p w14:paraId="7C25D521" w14:textId="77777777" w:rsidR="00890F1E" w:rsidRPr="00FB249F" w:rsidRDefault="00890F1E" w:rsidP="00F23144">
            <w:pPr>
              <w:pStyle w:val="TableText"/>
            </w:pPr>
            <w:r w:rsidRPr="00FB249F">
              <w:t>Pahaoa River</w:t>
            </w:r>
          </w:p>
        </w:tc>
        <w:tc>
          <w:tcPr>
            <w:tcW w:w="3373" w:type="dxa"/>
          </w:tcPr>
          <w:p w14:paraId="526E3E6F" w14:textId="77777777" w:rsidR="00890F1E" w:rsidRPr="00FB249F" w:rsidRDefault="00890F1E" w:rsidP="00F23144">
            <w:pPr>
              <w:pStyle w:val="TableText"/>
              <w:rPr>
                <w:szCs w:val="18"/>
              </w:rPr>
            </w:pPr>
            <w:r w:rsidRPr="00FB249F">
              <w:rPr>
                <w:szCs w:val="18"/>
              </w:rPr>
              <w:t>Hinakura (</w:t>
            </w:r>
            <w:r w:rsidRPr="00FB249F">
              <w:rPr>
                <w:rFonts w:cs="Calibri"/>
                <w:color w:val="000000"/>
                <w:szCs w:val="18"/>
              </w:rPr>
              <w:t>565</w:t>
            </w:r>
            <w:r w:rsidRPr="00FB249F">
              <w:rPr>
                <w:szCs w:val="18"/>
              </w:rPr>
              <w:t xml:space="preserve"> km</w:t>
            </w:r>
            <w:r w:rsidRPr="00FB249F">
              <w:rPr>
                <w:szCs w:val="18"/>
                <w:vertAlign w:val="superscript"/>
              </w:rPr>
              <w:t>2</w:t>
            </w:r>
            <w:r w:rsidRPr="00FB249F">
              <w:rPr>
                <w:szCs w:val="18"/>
              </w:rPr>
              <w:t>)</w:t>
            </w:r>
          </w:p>
        </w:tc>
      </w:tr>
      <w:tr w:rsidR="00890F1E" w:rsidRPr="00FB249F" w14:paraId="03FE9310" w14:textId="77777777" w:rsidTr="00622457">
        <w:tc>
          <w:tcPr>
            <w:tcW w:w="1872" w:type="dxa"/>
            <w:vMerge w:val="restart"/>
          </w:tcPr>
          <w:p w14:paraId="36433760" w14:textId="77777777" w:rsidR="00890F1E" w:rsidRPr="00FB249F" w:rsidRDefault="00890F1E" w:rsidP="00F23144">
            <w:pPr>
              <w:pStyle w:val="TableText"/>
            </w:pPr>
            <w:r w:rsidRPr="00FB249F">
              <w:t>Ruamahanga River (3,435 km</w:t>
            </w:r>
            <w:r w:rsidRPr="00FB249F">
              <w:rPr>
                <w:vertAlign w:val="superscript"/>
              </w:rPr>
              <w:t>2</w:t>
            </w:r>
            <w:r w:rsidRPr="00FB249F">
              <w:t>)</w:t>
            </w:r>
          </w:p>
        </w:tc>
        <w:tc>
          <w:tcPr>
            <w:tcW w:w="1417" w:type="dxa"/>
            <w:vMerge w:val="restart"/>
          </w:tcPr>
          <w:p w14:paraId="4BB02F2C" w14:textId="77777777" w:rsidR="00890F1E" w:rsidRPr="00FB249F" w:rsidRDefault="00890F1E" w:rsidP="00F23144">
            <w:pPr>
              <w:pStyle w:val="TableText"/>
            </w:pPr>
            <w:r w:rsidRPr="00FB249F">
              <w:t>Wairarapa</w:t>
            </w:r>
          </w:p>
        </w:tc>
        <w:tc>
          <w:tcPr>
            <w:tcW w:w="1843" w:type="dxa"/>
          </w:tcPr>
          <w:p w14:paraId="410E87E5" w14:textId="77777777" w:rsidR="00890F1E" w:rsidRPr="00FB249F" w:rsidRDefault="00890F1E" w:rsidP="00F23144">
            <w:pPr>
              <w:pStyle w:val="TableText"/>
            </w:pPr>
            <w:r w:rsidRPr="00FB249F">
              <w:t>Huangarua River</w:t>
            </w:r>
          </w:p>
        </w:tc>
        <w:tc>
          <w:tcPr>
            <w:tcW w:w="3373" w:type="dxa"/>
          </w:tcPr>
          <w:p w14:paraId="65803F05" w14:textId="77777777" w:rsidR="00890F1E" w:rsidRPr="00FB249F" w:rsidRDefault="00890F1E" w:rsidP="00F23144">
            <w:pPr>
              <w:pStyle w:val="TableText"/>
              <w:rPr>
                <w:rFonts w:eastAsia="Times New Roman" w:cs="Calibri"/>
                <w:color w:val="000000"/>
                <w:szCs w:val="18"/>
              </w:rPr>
            </w:pPr>
            <w:r w:rsidRPr="00FB249F">
              <w:rPr>
                <w:szCs w:val="18"/>
              </w:rPr>
              <w:t>Hautotara (</w:t>
            </w:r>
            <w:r w:rsidRPr="00FB249F">
              <w:rPr>
                <w:rFonts w:cs="Calibri"/>
                <w:color w:val="000000"/>
                <w:szCs w:val="18"/>
              </w:rPr>
              <w:t>140</w:t>
            </w:r>
            <w:r w:rsidRPr="00FB249F">
              <w:rPr>
                <w:szCs w:val="18"/>
              </w:rPr>
              <w:t xml:space="preserve"> km</w:t>
            </w:r>
            <w:r w:rsidRPr="00FB249F">
              <w:rPr>
                <w:szCs w:val="18"/>
                <w:vertAlign w:val="superscript"/>
              </w:rPr>
              <w:t>2</w:t>
            </w:r>
            <w:r w:rsidRPr="00FB249F">
              <w:rPr>
                <w:szCs w:val="18"/>
              </w:rPr>
              <w:t>)</w:t>
            </w:r>
          </w:p>
        </w:tc>
      </w:tr>
      <w:tr w:rsidR="00890F1E" w:rsidRPr="00FB249F" w14:paraId="6523C16E" w14:textId="77777777" w:rsidTr="00622457">
        <w:tc>
          <w:tcPr>
            <w:tcW w:w="1872" w:type="dxa"/>
            <w:vMerge/>
          </w:tcPr>
          <w:p w14:paraId="585C8409" w14:textId="77777777" w:rsidR="00890F1E" w:rsidRPr="00FB249F" w:rsidRDefault="00890F1E" w:rsidP="00F23144">
            <w:pPr>
              <w:pStyle w:val="TableText"/>
            </w:pPr>
          </w:p>
        </w:tc>
        <w:tc>
          <w:tcPr>
            <w:tcW w:w="1417" w:type="dxa"/>
            <w:vMerge/>
          </w:tcPr>
          <w:p w14:paraId="70422216" w14:textId="77777777" w:rsidR="00890F1E" w:rsidRPr="00FB249F" w:rsidRDefault="00890F1E" w:rsidP="00F23144">
            <w:pPr>
              <w:pStyle w:val="TableText"/>
            </w:pPr>
          </w:p>
        </w:tc>
        <w:tc>
          <w:tcPr>
            <w:tcW w:w="1843" w:type="dxa"/>
          </w:tcPr>
          <w:p w14:paraId="34229782" w14:textId="77777777" w:rsidR="00890F1E" w:rsidRPr="00FB249F" w:rsidRDefault="00890F1E" w:rsidP="00F23144">
            <w:pPr>
              <w:pStyle w:val="TableText"/>
            </w:pPr>
            <w:r w:rsidRPr="00FB249F">
              <w:t>Kopuaranga River</w:t>
            </w:r>
          </w:p>
        </w:tc>
        <w:tc>
          <w:tcPr>
            <w:tcW w:w="3373" w:type="dxa"/>
          </w:tcPr>
          <w:p w14:paraId="2E1B3743" w14:textId="77777777" w:rsidR="00890F1E" w:rsidRPr="00FB249F" w:rsidRDefault="00890F1E" w:rsidP="00F23144">
            <w:pPr>
              <w:pStyle w:val="TableText"/>
              <w:rPr>
                <w:rFonts w:eastAsia="Times New Roman" w:cs="Calibri"/>
                <w:color w:val="000000"/>
                <w:szCs w:val="18"/>
              </w:rPr>
            </w:pPr>
            <w:r w:rsidRPr="00FB249F">
              <w:rPr>
                <w:szCs w:val="18"/>
              </w:rPr>
              <w:t>Stuarts (</w:t>
            </w:r>
            <w:r w:rsidRPr="00FB249F">
              <w:rPr>
                <w:rFonts w:cs="Calibri"/>
                <w:color w:val="000000"/>
                <w:szCs w:val="18"/>
              </w:rPr>
              <w:t>165</w:t>
            </w:r>
            <w:r w:rsidRPr="00FB249F">
              <w:rPr>
                <w:szCs w:val="18"/>
              </w:rPr>
              <w:t xml:space="preserve"> km</w:t>
            </w:r>
            <w:r w:rsidRPr="00FB249F">
              <w:rPr>
                <w:szCs w:val="18"/>
                <w:vertAlign w:val="superscript"/>
              </w:rPr>
              <w:t>2</w:t>
            </w:r>
            <w:r w:rsidRPr="00FB249F">
              <w:rPr>
                <w:szCs w:val="18"/>
              </w:rPr>
              <w:t>)</w:t>
            </w:r>
          </w:p>
        </w:tc>
      </w:tr>
      <w:tr w:rsidR="00890F1E" w:rsidRPr="00FB249F" w14:paraId="702598BB" w14:textId="77777777" w:rsidTr="00622457">
        <w:tc>
          <w:tcPr>
            <w:tcW w:w="1872" w:type="dxa"/>
            <w:vMerge/>
          </w:tcPr>
          <w:p w14:paraId="27C08CBA" w14:textId="77777777" w:rsidR="00890F1E" w:rsidRPr="00FB249F" w:rsidRDefault="00890F1E" w:rsidP="00F23144">
            <w:pPr>
              <w:pStyle w:val="TableText"/>
            </w:pPr>
          </w:p>
        </w:tc>
        <w:tc>
          <w:tcPr>
            <w:tcW w:w="1417" w:type="dxa"/>
            <w:vMerge/>
          </w:tcPr>
          <w:p w14:paraId="20E38766" w14:textId="77777777" w:rsidR="00890F1E" w:rsidRPr="00FB249F" w:rsidRDefault="00890F1E" w:rsidP="00F23144">
            <w:pPr>
              <w:pStyle w:val="TableText"/>
            </w:pPr>
          </w:p>
        </w:tc>
        <w:tc>
          <w:tcPr>
            <w:tcW w:w="1843" w:type="dxa"/>
            <w:vMerge w:val="restart"/>
          </w:tcPr>
          <w:p w14:paraId="53CE2700" w14:textId="77777777" w:rsidR="00890F1E" w:rsidRPr="00FB249F" w:rsidRDefault="00890F1E" w:rsidP="00F23144">
            <w:pPr>
              <w:pStyle w:val="TableText"/>
            </w:pPr>
            <w:r w:rsidRPr="00FB249F">
              <w:t>Ruamahanga River</w:t>
            </w:r>
          </w:p>
        </w:tc>
        <w:tc>
          <w:tcPr>
            <w:tcW w:w="3373" w:type="dxa"/>
          </w:tcPr>
          <w:p w14:paraId="26BB07C3" w14:textId="77777777" w:rsidR="00890F1E" w:rsidRPr="00FB249F" w:rsidRDefault="00890F1E" w:rsidP="00F23144">
            <w:pPr>
              <w:pStyle w:val="TableText"/>
              <w:rPr>
                <w:rFonts w:eastAsia="Times New Roman" w:cs="Calibri"/>
                <w:color w:val="000000"/>
                <w:szCs w:val="18"/>
              </w:rPr>
            </w:pPr>
            <w:r w:rsidRPr="00FB249F">
              <w:rPr>
                <w:szCs w:val="18"/>
              </w:rPr>
              <w:t>Waihenga bridge (</w:t>
            </w:r>
            <w:r w:rsidRPr="00FB249F">
              <w:rPr>
                <w:rFonts w:cs="Calibri"/>
                <w:color w:val="000000"/>
                <w:szCs w:val="18"/>
              </w:rPr>
              <w:t>2,360</w:t>
            </w:r>
            <w:r w:rsidRPr="00FB249F">
              <w:rPr>
                <w:szCs w:val="18"/>
              </w:rPr>
              <w:t xml:space="preserve"> km</w:t>
            </w:r>
            <w:r w:rsidRPr="00FB249F">
              <w:rPr>
                <w:szCs w:val="18"/>
                <w:vertAlign w:val="superscript"/>
              </w:rPr>
              <w:t>2</w:t>
            </w:r>
            <w:r w:rsidRPr="00FB249F">
              <w:rPr>
                <w:szCs w:val="18"/>
              </w:rPr>
              <w:t>)</w:t>
            </w:r>
          </w:p>
        </w:tc>
      </w:tr>
      <w:tr w:rsidR="00890F1E" w:rsidRPr="00FB249F" w14:paraId="6E27E127" w14:textId="77777777" w:rsidTr="00622457">
        <w:tc>
          <w:tcPr>
            <w:tcW w:w="1872" w:type="dxa"/>
            <w:vMerge/>
          </w:tcPr>
          <w:p w14:paraId="6D61366A" w14:textId="77777777" w:rsidR="00890F1E" w:rsidRPr="00FB249F" w:rsidRDefault="00890F1E" w:rsidP="00F23144">
            <w:pPr>
              <w:pStyle w:val="TableText"/>
            </w:pPr>
          </w:p>
        </w:tc>
        <w:tc>
          <w:tcPr>
            <w:tcW w:w="1417" w:type="dxa"/>
            <w:vMerge/>
          </w:tcPr>
          <w:p w14:paraId="457183B5" w14:textId="77777777" w:rsidR="00890F1E" w:rsidRPr="00FB249F" w:rsidRDefault="00890F1E" w:rsidP="00F23144">
            <w:pPr>
              <w:pStyle w:val="TableText"/>
            </w:pPr>
          </w:p>
        </w:tc>
        <w:tc>
          <w:tcPr>
            <w:tcW w:w="1843" w:type="dxa"/>
            <w:vMerge/>
          </w:tcPr>
          <w:p w14:paraId="2ED692B1" w14:textId="77777777" w:rsidR="00890F1E" w:rsidRPr="00FB249F" w:rsidRDefault="00890F1E" w:rsidP="00F23144">
            <w:pPr>
              <w:pStyle w:val="TableText"/>
            </w:pPr>
          </w:p>
        </w:tc>
        <w:tc>
          <w:tcPr>
            <w:tcW w:w="3373" w:type="dxa"/>
          </w:tcPr>
          <w:p w14:paraId="78C66544" w14:textId="77777777" w:rsidR="00890F1E" w:rsidRPr="00FB249F" w:rsidRDefault="00890F1E" w:rsidP="00F23144">
            <w:pPr>
              <w:pStyle w:val="TableText"/>
              <w:rPr>
                <w:rFonts w:eastAsia="Times New Roman" w:cs="Calibri"/>
                <w:color w:val="000000"/>
                <w:szCs w:val="18"/>
              </w:rPr>
            </w:pPr>
            <w:r w:rsidRPr="00FB249F">
              <w:rPr>
                <w:szCs w:val="18"/>
              </w:rPr>
              <w:t>Wardells (</w:t>
            </w:r>
            <w:r w:rsidRPr="00FB249F">
              <w:rPr>
                <w:rFonts w:cs="Calibri"/>
                <w:color w:val="000000"/>
                <w:szCs w:val="18"/>
              </w:rPr>
              <w:t>645</w:t>
            </w:r>
            <w:r w:rsidRPr="00FB249F">
              <w:rPr>
                <w:szCs w:val="18"/>
              </w:rPr>
              <w:t xml:space="preserve"> km</w:t>
            </w:r>
            <w:r w:rsidRPr="00FB249F">
              <w:rPr>
                <w:szCs w:val="18"/>
                <w:vertAlign w:val="superscript"/>
              </w:rPr>
              <w:t>2</w:t>
            </w:r>
            <w:r w:rsidRPr="00FB249F">
              <w:rPr>
                <w:szCs w:val="18"/>
              </w:rPr>
              <w:t>)</w:t>
            </w:r>
          </w:p>
        </w:tc>
      </w:tr>
      <w:tr w:rsidR="00890F1E" w:rsidRPr="00FB249F" w14:paraId="4BCD034B" w14:textId="77777777" w:rsidTr="00622457">
        <w:tc>
          <w:tcPr>
            <w:tcW w:w="1872" w:type="dxa"/>
            <w:vMerge/>
          </w:tcPr>
          <w:p w14:paraId="0AF59453" w14:textId="77777777" w:rsidR="00890F1E" w:rsidRPr="00FB249F" w:rsidRDefault="00890F1E" w:rsidP="00F23144">
            <w:pPr>
              <w:pStyle w:val="TableText"/>
            </w:pPr>
          </w:p>
        </w:tc>
        <w:tc>
          <w:tcPr>
            <w:tcW w:w="1417" w:type="dxa"/>
            <w:vMerge/>
          </w:tcPr>
          <w:p w14:paraId="0A47F113" w14:textId="77777777" w:rsidR="00890F1E" w:rsidRPr="00FB249F" w:rsidRDefault="00890F1E" w:rsidP="00F23144">
            <w:pPr>
              <w:pStyle w:val="TableText"/>
            </w:pPr>
          </w:p>
        </w:tc>
        <w:tc>
          <w:tcPr>
            <w:tcW w:w="1843" w:type="dxa"/>
          </w:tcPr>
          <w:p w14:paraId="04F80CDE" w14:textId="77777777" w:rsidR="00890F1E" w:rsidRPr="00FB249F" w:rsidRDefault="00890F1E" w:rsidP="00F23144">
            <w:pPr>
              <w:pStyle w:val="TableText"/>
            </w:pPr>
            <w:r w:rsidRPr="00FB249F">
              <w:t>Taueru River</w:t>
            </w:r>
          </w:p>
        </w:tc>
        <w:tc>
          <w:tcPr>
            <w:tcW w:w="3373" w:type="dxa"/>
          </w:tcPr>
          <w:p w14:paraId="3B126582" w14:textId="77777777" w:rsidR="00890F1E" w:rsidRPr="00FB249F" w:rsidRDefault="00890F1E" w:rsidP="00F23144">
            <w:pPr>
              <w:pStyle w:val="TableText"/>
              <w:rPr>
                <w:rFonts w:eastAsia="Times New Roman" w:cs="Calibri"/>
                <w:color w:val="000000"/>
                <w:szCs w:val="18"/>
              </w:rPr>
            </w:pPr>
            <w:r w:rsidRPr="00FB249F">
              <w:rPr>
                <w:szCs w:val="18"/>
              </w:rPr>
              <w:t>Te Whiti Road bridge (</w:t>
            </w:r>
            <w:r w:rsidRPr="00FB249F">
              <w:rPr>
                <w:rFonts w:cs="Calibri"/>
                <w:color w:val="000000"/>
                <w:szCs w:val="18"/>
              </w:rPr>
              <w:t>495</w:t>
            </w:r>
            <w:r w:rsidRPr="00FB249F">
              <w:rPr>
                <w:szCs w:val="18"/>
              </w:rPr>
              <w:t xml:space="preserve"> km</w:t>
            </w:r>
            <w:r w:rsidRPr="00FB249F">
              <w:rPr>
                <w:szCs w:val="18"/>
                <w:vertAlign w:val="superscript"/>
              </w:rPr>
              <w:t>2</w:t>
            </w:r>
            <w:r w:rsidRPr="00FB249F">
              <w:rPr>
                <w:szCs w:val="18"/>
              </w:rPr>
              <w:t>)</w:t>
            </w:r>
          </w:p>
        </w:tc>
      </w:tr>
      <w:tr w:rsidR="00890F1E" w:rsidRPr="00FB249F" w14:paraId="14656335" w14:textId="77777777" w:rsidTr="00622457">
        <w:tc>
          <w:tcPr>
            <w:tcW w:w="1872" w:type="dxa"/>
            <w:vMerge/>
          </w:tcPr>
          <w:p w14:paraId="130430A3" w14:textId="77777777" w:rsidR="00890F1E" w:rsidRPr="00FB249F" w:rsidRDefault="00890F1E" w:rsidP="00F23144">
            <w:pPr>
              <w:pStyle w:val="TableText"/>
            </w:pPr>
          </w:p>
        </w:tc>
        <w:tc>
          <w:tcPr>
            <w:tcW w:w="1417" w:type="dxa"/>
            <w:vMerge/>
          </w:tcPr>
          <w:p w14:paraId="22CA8F45" w14:textId="77777777" w:rsidR="00890F1E" w:rsidRPr="00FB249F" w:rsidRDefault="00890F1E" w:rsidP="00F23144">
            <w:pPr>
              <w:pStyle w:val="TableText"/>
            </w:pPr>
          </w:p>
        </w:tc>
        <w:tc>
          <w:tcPr>
            <w:tcW w:w="1843" w:type="dxa"/>
          </w:tcPr>
          <w:p w14:paraId="4FE70A6E" w14:textId="77777777" w:rsidR="00890F1E" w:rsidRPr="00FB249F" w:rsidRDefault="00890F1E" w:rsidP="00F23144">
            <w:pPr>
              <w:pStyle w:val="TableText"/>
            </w:pPr>
            <w:r w:rsidRPr="00FB249F">
              <w:t>Otakura Stream</w:t>
            </w:r>
          </w:p>
        </w:tc>
        <w:tc>
          <w:tcPr>
            <w:tcW w:w="3373" w:type="dxa"/>
          </w:tcPr>
          <w:p w14:paraId="6D87F8EC" w14:textId="77777777" w:rsidR="00890F1E" w:rsidRPr="00FB249F" w:rsidRDefault="00890F1E" w:rsidP="00F23144">
            <w:pPr>
              <w:pStyle w:val="TableText"/>
              <w:rPr>
                <w:rFonts w:eastAsia="Times New Roman" w:cs="Calibri"/>
                <w:color w:val="000000"/>
                <w:szCs w:val="18"/>
              </w:rPr>
            </w:pPr>
            <w:r w:rsidRPr="00FB249F">
              <w:rPr>
                <w:szCs w:val="18"/>
              </w:rPr>
              <w:t>Weir (</w:t>
            </w:r>
            <w:r w:rsidRPr="00FB249F">
              <w:rPr>
                <w:rFonts w:cs="Calibri"/>
                <w:color w:val="000000"/>
                <w:szCs w:val="18"/>
              </w:rPr>
              <w:t>45</w:t>
            </w:r>
            <w:r w:rsidRPr="00FB249F">
              <w:rPr>
                <w:szCs w:val="18"/>
              </w:rPr>
              <w:t xml:space="preserve"> km</w:t>
            </w:r>
            <w:r w:rsidRPr="00FB249F">
              <w:rPr>
                <w:szCs w:val="18"/>
                <w:vertAlign w:val="superscript"/>
              </w:rPr>
              <w:t>2</w:t>
            </w:r>
            <w:r w:rsidRPr="00FB249F">
              <w:rPr>
                <w:szCs w:val="18"/>
              </w:rPr>
              <w:t>)</w:t>
            </w:r>
          </w:p>
        </w:tc>
      </w:tr>
      <w:tr w:rsidR="00890F1E" w:rsidRPr="00FB249F" w14:paraId="2DC9E4F4" w14:textId="77777777" w:rsidTr="00622457">
        <w:tc>
          <w:tcPr>
            <w:tcW w:w="1872" w:type="dxa"/>
            <w:vMerge/>
          </w:tcPr>
          <w:p w14:paraId="109BAA45" w14:textId="77777777" w:rsidR="00890F1E" w:rsidRPr="00FB249F" w:rsidRDefault="00890F1E" w:rsidP="00F23144">
            <w:pPr>
              <w:pStyle w:val="TableText"/>
            </w:pPr>
          </w:p>
        </w:tc>
        <w:tc>
          <w:tcPr>
            <w:tcW w:w="1417" w:type="dxa"/>
            <w:vMerge/>
          </w:tcPr>
          <w:p w14:paraId="3EDFCD84" w14:textId="77777777" w:rsidR="00890F1E" w:rsidRPr="00FB249F" w:rsidRDefault="00890F1E" w:rsidP="00F23144">
            <w:pPr>
              <w:pStyle w:val="TableText"/>
            </w:pPr>
          </w:p>
        </w:tc>
        <w:tc>
          <w:tcPr>
            <w:tcW w:w="1843" w:type="dxa"/>
          </w:tcPr>
          <w:p w14:paraId="2ADC207D" w14:textId="77777777" w:rsidR="00890F1E" w:rsidRPr="00FB249F" w:rsidRDefault="00890F1E" w:rsidP="00F23144">
            <w:pPr>
              <w:pStyle w:val="TableText"/>
            </w:pPr>
            <w:r w:rsidRPr="00FB249F">
              <w:t>Papawai Stream</w:t>
            </w:r>
          </w:p>
        </w:tc>
        <w:tc>
          <w:tcPr>
            <w:tcW w:w="3373" w:type="dxa"/>
          </w:tcPr>
          <w:p w14:paraId="59D72597" w14:textId="77777777" w:rsidR="00890F1E" w:rsidRPr="00FB249F" w:rsidRDefault="00890F1E" w:rsidP="00F23144">
            <w:pPr>
              <w:pStyle w:val="TableText"/>
              <w:rPr>
                <w:rFonts w:eastAsia="Times New Roman" w:cs="Calibri"/>
                <w:color w:val="000000"/>
                <w:szCs w:val="18"/>
              </w:rPr>
            </w:pPr>
            <w:r w:rsidRPr="00FB249F">
              <w:rPr>
                <w:szCs w:val="18"/>
              </w:rPr>
              <w:t xml:space="preserve">Upstream oxidation pond confluence </w:t>
            </w:r>
            <w:r w:rsidRPr="00FB249F">
              <w:rPr>
                <w:szCs w:val="18"/>
              </w:rPr>
              <w:br/>
              <w:t>(</w:t>
            </w:r>
            <w:r w:rsidRPr="00FB249F">
              <w:rPr>
                <w:rFonts w:cs="Calibri"/>
                <w:color w:val="000000"/>
                <w:szCs w:val="18"/>
              </w:rPr>
              <w:t>7</w:t>
            </w:r>
            <w:r w:rsidRPr="00FB249F">
              <w:rPr>
                <w:szCs w:val="18"/>
              </w:rPr>
              <w:t xml:space="preserve"> km</w:t>
            </w:r>
            <w:r w:rsidRPr="00FB249F">
              <w:rPr>
                <w:szCs w:val="18"/>
                <w:vertAlign w:val="superscript"/>
              </w:rPr>
              <w:t>2</w:t>
            </w:r>
            <w:r w:rsidRPr="00FB249F">
              <w:rPr>
                <w:szCs w:val="18"/>
              </w:rPr>
              <w:t>)</w:t>
            </w:r>
          </w:p>
        </w:tc>
      </w:tr>
      <w:tr w:rsidR="00890F1E" w:rsidRPr="00FB249F" w14:paraId="7B701B07" w14:textId="77777777" w:rsidTr="00622457">
        <w:tc>
          <w:tcPr>
            <w:tcW w:w="1872" w:type="dxa"/>
            <w:vMerge/>
          </w:tcPr>
          <w:p w14:paraId="356128FA" w14:textId="77777777" w:rsidR="00890F1E" w:rsidRPr="00FB249F" w:rsidRDefault="00890F1E" w:rsidP="00F23144">
            <w:pPr>
              <w:pStyle w:val="TableText"/>
            </w:pPr>
          </w:p>
        </w:tc>
        <w:tc>
          <w:tcPr>
            <w:tcW w:w="1417" w:type="dxa"/>
            <w:vMerge/>
          </w:tcPr>
          <w:p w14:paraId="6B6DCB78" w14:textId="77777777" w:rsidR="00890F1E" w:rsidRPr="00FB249F" w:rsidRDefault="00890F1E" w:rsidP="00F23144">
            <w:pPr>
              <w:pStyle w:val="TableText"/>
            </w:pPr>
          </w:p>
        </w:tc>
        <w:tc>
          <w:tcPr>
            <w:tcW w:w="1843" w:type="dxa"/>
          </w:tcPr>
          <w:p w14:paraId="6E23B3D3" w14:textId="77777777" w:rsidR="00890F1E" w:rsidRPr="00FB249F" w:rsidRDefault="00890F1E" w:rsidP="00F23144">
            <w:pPr>
              <w:pStyle w:val="TableText"/>
            </w:pPr>
            <w:r w:rsidRPr="00FB249F">
              <w:t>Parkvale Stream</w:t>
            </w:r>
          </w:p>
        </w:tc>
        <w:tc>
          <w:tcPr>
            <w:tcW w:w="3373" w:type="dxa"/>
          </w:tcPr>
          <w:p w14:paraId="6AB6A1F5" w14:textId="77777777" w:rsidR="00890F1E" w:rsidRPr="00FB249F" w:rsidRDefault="00890F1E" w:rsidP="00F23144">
            <w:pPr>
              <w:pStyle w:val="TableText"/>
              <w:rPr>
                <w:rFonts w:eastAsia="Times New Roman" w:cs="Calibri"/>
                <w:color w:val="000000"/>
                <w:szCs w:val="18"/>
              </w:rPr>
            </w:pPr>
            <w:r w:rsidRPr="00FB249F">
              <w:rPr>
                <w:szCs w:val="18"/>
              </w:rPr>
              <w:t>Weir (</w:t>
            </w:r>
            <w:r w:rsidRPr="00FB249F">
              <w:rPr>
                <w:rFonts w:cs="Calibri"/>
                <w:color w:val="000000"/>
                <w:szCs w:val="18"/>
              </w:rPr>
              <w:t>50</w:t>
            </w:r>
            <w:r w:rsidRPr="00FB249F">
              <w:rPr>
                <w:szCs w:val="18"/>
              </w:rPr>
              <w:t xml:space="preserve"> km</w:t>
            </w:r>
            <w:r w:rsidRPr="00FB249F">
              <w:rPr>
                <w:szCs w:val="18"/>
                <w:vertAlign w:val="superscript"/>
              </w:rPr>
              <w:t>2</w:t>
            </w:r>
            <w:r w:rsidRPr="00FB249F">
              <w:rPr>
                <w:szCs w:val="18"/>
              </w:rPr>
              <w:t>)</w:t>
            </w:r>
          </w:p>
        </w:tc>
      </w:tr>
      <w:tr w:rsidR="00890F1E" w:rsidRPr="00FB249F" w14:paraId="7BFA05E9" w14:textId="77777777" w:rsidTr="00622457">
        <w:tc>
          <w:tcPr>
            <w:tcW w:w="1872" w:type="dxa"/>
          </w:tcPr>
          <w:p w14:paraId="16C9D262" w14:textId="77777777" w:rsidR="00890F1E" w:rsidRPr="00FB249F" w:rsidRDefault="00890F1E" w:rsidP="00F23144">
            <w:pPr>
              <w:pStyle w:val="TableText"/>
            </w:pPr>
            <w:r w:rsidRPr="00FB249F">
              <w:t>Wainuiomata River (135 km</w:t>
            </w:r>
            <w:r w:rsidRPr="00FB249F">
              <w:rPr>
                <w:vertAlign w:val="superscript"/>
              </w:rPr>
              <w:t>2</w:t>
            </w:r>
            <w:r w:rsidRPr="00FB249F">
              <w:t>)</w:t>
            </w:r>
          </w:p>
        </w:tc>
        <w:tc>
          <w:tcPr>
            <w:tcW w:w="1417" w:type="dxa"/>
          </w:tcPr>
          <w:p w14:paraId="5798B05F" w14:textId="77777777" w:rsidR="00890F1E" w:rsidRPr="00FB249F" w:rsidRDefault="00890F1E" w:rsidP="00F23144">
            <w:pPr>
              <w:pStyle w:val="TableText"/>
            </w:pPr>
            <w:r w:rsidRPr="00FB249F">
              <w:t>Wainuiomata Valley</w:t>
            </w:r>
          </w:p>
        </w:tc>
        <w:tc>
          <w:tcPr>
            <w:tcW w:w="1843" w:type="dxa"/>
          </w:tcPr>
          <w:p w14:paraId="17B32440" w14:textId="77777777" w:rsidR="00890F1E" w:rsidRPr="00FB249F" w:rsidRDefault="00890F1E" w:rsidP="00F23144">
            <w:pPr>
              <w:pStyle w:val="TableText"/>
            </w:pPr>
            <w:r w:rsidRPr="00FB249F">
              <w:t>Wainuiomata River</w:t>
            </w:r>
          </w:p>
        </w:tc>
        <w:tc>
          <w:tcPr>
            <w:tcW w:w="3373" w:type="dxa"/>
          </w:tcPr>
          <w:p w14:paraId="4E8268C4" w14:textId="77777777" w:rsidR="00890F1E" w:rsidRPr="00FB249F" w:rsidRDefault="00890F1E" w:rsidP="00F23144">
            <w:pPr>
              <w:pStyle w:val="TableText"/>
              <w:rPr>
                <w:rFonts w:eastAsia="Times New Roman" w:cs="Calibri"/>
                <w:color w:val="000000"/>
                <w:szCs w:val="18"/>
              </w:rPr>
            </w:pPr>
            <w:r w:rsidRPr="00FB249F">
              <w:rPr>
                <w:szCs w:val="18"/>
              </w:rPr>
              <w:t>Leonard Wood Park (</w:t>
            </w:r>
            <w:r w:rsidRPr="00FB249F">
              <w:rPr>
                <w:rFonts w:cs="Calibri"/>
                <w:color w:val="000000"/>
                <w:szCs w:val="18"/>
              </w:rPr>
              <w:t>80</w:t>
            </w:r>
            <w:r w:rsidRPr="00FB249F">
              <w:rPr>
                <w:szCs w:val="18"/>
              </w:rPr>
              <w:t xml:space="preserve"> km</w:t>
            </w:r>
            <w:r w:rsidRPr="00FB249F">
              <w:rPr>
                <w:szCs w:val="18"/>
                <w:vertAlign w:val="superscript"/>
              </w:rPr>
              <w:t>2</w:t>
            </w:r>
            <w:r w:rsidRPr="00FB249F">
              <w:rPr>
                <w:szCs w:val="18"/>
              </w:rPr>
              <w:t>)</w:t>
            </w:r>
          </w:p>
        </w:tc>
      </w:tr>
      <w:tr w:rsidR="00890F1E" w:rsidRPr="00FB249F" w14:paraId="22504D50" w14:textId="77777777" w:rsidTr="00622457">
        <w:tc>
          <w:tcPr>
            <w:tcW w:w="1872" w:type="dxa"/>
          </w:tcPr>
          <w:p w14:paraId="41C1AC43" w14:textId="77777777" w:rsidR="00890F1E" w:rsidRPr="00FB249F" w:rsidRDefault="00890F1E" w:rsidP="00F23144">
            <w:pPr>
              <w:pStyle w:val="TableText"/>
            </w:pPr>
            <w:r w:rsidRPr="00FB249F">
              <w:t xml:space="preserve">Horokiri Stream </w:t>
            </w:r>
            <w:r w:rsidRPr="00FB249F">
              <w:br/>
              <w:t>(35 km</w:t>
            </w:r>
            <w:r w:rsidRPr="00FB249F">
              <w:rPr>
                <w:vertAlign w:val="superscript"/>
              </w:rPr>
              <w:t>2</w:t>
            </w:r>
            <w:r w:rsidRPr="00FB249F">
              <w:t>)</w:t>
            </w:r>
          </w:p>
        </w:tc>
        <w:tc>
          <w:tcPr>
            <w:tcW w:w="1417" w:type="dxa"/>
          </w:tcPr>
          <w:p w14:paraId="3DFA607B" w14:textId="631840C2" w:rsidR="00890F1E" w:rsidRPr="00FB249F" w:rsidRDefault="00890F1E" w:rsidP="00F23144">
            <w:pPr>
              <w:pStyle w:val="TableText"/>
            </w:pPr>
            <w:r w:rsidRPr="00FB249F">
              <w:t>Horokiri Valley/</w:t>
            </w:r>
            <w:r w:rsidR="0094197F">
              <w:t xml:space="preserve"> </w:t>
            </w:r>
            <w:r w:rsidRPr="00FB249F">
              <w:t>Pauatahanui</w:t>
            </w:r>
          </w:p>
        </w:tc>
        <w:tc>
          <w:tcPr>
            <w:tcW w:w="1843" w:type="dxa"/>
          </w:tcPr>
          <w:p w14:paraId="495415DD" w14:textId="77777777" w:rsidR="00890F1E" w:rsidRPr="00FB249F" w:rsidRDefault="00890F1E" w:rsidP="00F23144">
            <w:pPr>
              <w:pStyle w:val="TableText"/>
            </w:pPr>
            <w:r w:rsidRPr="00FB249F">
              <w:t>Horokiri Stream</w:t>
            </w:r>
          </w:p>
        </w:tc>
        <w:tc>
          <w:tcPr>
            <w:tcW w:w="3373" w:type="dxa"/>
          </w:tcPr>
          <w:p w14:paraId="39D7AE8E" w14:textId="77777777" w:rsidR="00890F1E" w:rsidRPr="00FB249F" w:rsidRDefault="00890F1E" w:rsidP="00F23144">
            <w:pPr>
              <w:pStyle w:val="TableText"/>
              <w:rPr>
                <w:rFonts w:eastAsia="Times New Roman" w:cs="Calibri"/>
                <w:color w:val="000000"/>
                <w:szCs w:val="18"/>
              </w:rPr>
            </w:pPr>
            <w:r w:rsidRPr="00FB249F">
              <w:rPr>
                <w:szCs w:val="18"/>
              </w:rPr>
              <w:t>Snodgrass (30 km</w:t>
            </w:r>
            <w:r w:rsidRPr="00FB249F">
              <w:rPr>
                <w:szCs w:val="18"/>
                <w:vertAlign w:val="superscript"/>
              </w:rPr>
              <w:t>2</w:t>
            </w:r>
            <w:r w:rsidRPr="00FB249F">
              <w:rPr>
                <w:szCs w:val="18"/>
              </w:rPr>
              <w:t>)</w:t>
            </w:r>
          </w:p>
        </w:tc>
      </w:tr>
      <w:tr w:rsidR="00890F1E" w:rsidRPr="00FB249F" w14:paraId="69A67C53" w14:textId="77777777" w:rsidTr="00622457">
        <w:tc>
          <w:tcPr>
            <w:tcW w:w="1872" w:type="dxa"/>
          </w:tcPr>
          <w:p w14:paraId="7DB2B3BA" w14:textId="77777777" w:rsidR="00890F1E" w:rsidRPr="00FB249F" w:rsidRDefault="00890F1E" w:rsidP="00F23144">
            <w:pPr>
              <w:pStyle w:val="TableText"/>
            </w:pPr>
            <w:r w:rsidRPr="00FB249F">
              <w:t>Pauatahanui Stream (40 km</w:t>
            </w:r>
            <w:r w:rsidRPr="00FB249F">
              <w:rPr>
                <w:vertAlign w:val="superscript"/>
              </w:rPr>
              <w:t>2</w:t>
            </w:r>
            <w:r w:rsidRPr="00FB249F">
              <w:t>)</w:t>
            </w:r>
          </w:p>
        </w:tc>
        <w:tc>
          <w:tcPr>
            <w:tcW w:w="1417" w:type="dxa"/>
          </w:tcPr>
          <w:p w14:paraId="4BA5D337" w14:textId="77777777" w:rsidR="00890F1E" w:rsidRPr="00FB249F" w:rsidRDefault="00890F1E" w:rsidP="00F23144">
            <w:pPr>
              <w:pStyle w:val="TableText"/>
            </w:pPr>
            <w:r w:rsidRPr="00FB249F">
              <w:t>Judgeford/ Pauatahanui</w:t>
            </w:r>
          </w:p>
        </w:tc>
        <w:tc>
          <w:tcPr>
            <w:tcW w:w="1843" w:type="dxa"/>
          </w:tcPr>
          <w:p w14:paraId="33A4CD82" w14:textId="77777777" w:rsidR="00890F1E" w:rsidRPr="00FB249F" w:rsidRDefault="00890F1E" w:rsidP="00F23144">
            <w:pPr>
              <w:pStyle w:val="TableText"/>
            </w:pPr>
            <w:r w:rsidRPr="00FB249F">
              <w:t>Pauatahanui Stream</w:t>
            </w:r>
          </w:p>
        </w:tc>
        <w:tc>
          <w:tcPr>
            <w:tcW w:w="3373" w:type="dxa"/>
          </w:tcPr>
          <w:p w14:paraId="546CB69D" w14:textId="77777777" w:rsidR="00890F1E" w:rsidRPr="00FB249F" w:rsidRDefault="00890F1E" w:rsidP="00F23144">
            <w:pPr>
              <w:pStyle w:val="TableText"/>
              <w:rPr>
                <w:rFonts w:eastAsia="Times New Roman" w:cs="Calibri"/>
                <w:color w:val="000000"/>
                <w:szCs w:val="18"/>
              </w:rPr>
            </w:pPr>
            <w:r w:rsidRPr="00FB249F">
              <w:rPr>
                <w:szCs w:val="18"/>
              </w:rPr>
              <w:t>Gorge (40 km</w:t>
            </w:r>
            <w:r w:rsidRPr="00FB249F">
              <w:rPr>
                <w:szCs w:val="18"/>
                <w:vertAlign w:val="superscript"/>
              </w:rPr>
              <w:t>2</w:t>
            </w:r>
            <w:r w:rsidRPr="00FB249F">
              <w:rPr>
                <w:szCs w:val="18"/>
              </w:rPr>
              <w:t>)</w:t>
            </w:r>
          </w:p>
        </w:tc>
      </w:tr>
      <w:tr w:rsidR="00890F1E" w:rsidRPr="00FB249F" w14:paraId="7057078F" w14:textId="77777777" w:rsidTr="00622457">
        <w:tc>
          <w:tcPr>
            <w:tcW w:w="1872" w:type="dxa"/>
          </w:tcPr>
          <w:p w14:paraId="32FC6D72" w14:textId="77777777" w:rsidR="00890F1E" w:rsidRPr="00FB249F" w:rsidRDefault="00890F1E" w:rsidP="00F23144">
            <w:pPr>
              <w:pStyle w:val="TableText"/>
            </w:pPr>
            <w:r w:rsidRPr="00FB249F">
              <w:t>Wharemauku Stream (15 km</w:t>
            </w:r>
            <w:r w:rsidRPr="00FB249F">
              <w:rPr>
                <w:vertAlign w:val="superscript"/>
              </w:rPr>
              <w:t>2</w:t>
            </w:r>
            <w:r w:rsidRPr="00FB249F">
              <w:t>)</w:t>
            </w:r>
          </w:p>
        </w:tc>
        <w:tc>
          <w:tcPr>
            <w:tcW w:w="1417" w:type="dxa"/>
          </w:tcPr>
          <w:p w14:paraId="18FF7A78" w14:textId="77777777" w:rsidR="00890F1E" w:rsidRPr="00FB249F" w:rsidRDefault="00890F1E" w:rsidP="00F23144">
            <w:pPr>
              <w:pStyle w:val="TableText"/>
            </w:pPr>
            <w:r w:rsidRPr="00FB249F">
              <w:t>Paraparaumu/ Raumati Beach</w:t>
            </w:r>
          </w:p>
        </w:tc>
        <w:tc>
          <w:tcPr>
            <w:tcW w:w="1843" w:type="dxa"/>
          </w:tcPr>
          <w:p w14:paraId="1C0A0F15" w14:textId="77777777" w:rsidR="00890F1E" w:rsidRPr="00FB249F" w:rsidRDefault="00890F1E" w:rsidP="00F23144">
            <w:pPr>
              <w:pStyle w:val="TableText"/>
            </w:pPr>
            <w:r w:rsidRPr="00FB249F">
              <w:t>Wharemauku Stream</w:t>
            </w:r>
          </w:p>
        </w:tc>
        <w:tc>
          <w:tcPr>
            <w:tcW w:w="3373" w:type="dxa"/>
          </w:tcPr>
          <w:p w14:paraId="48F16907" w14:textId="77777777" w:rsidR="00890F1E" w:rsidRPr="00FB249F" w:rsidRDefault="00890F1E" w:rsidP="00F23144">
            <w:pPr>
              <w:pStyle w:val="TableText"/>
              <w:rPr>
                <w:rFonts w:eastAsia="Times New Roman" w:cs="Calibri"/>
                <w:color w:val="000000"/>
                <w:szCs w:val="18"/>
              </w:rPr>
            </w:pPr>
            <w:r w:rsidRPr="00FB249F">
              <w:rPr>
                <w:szCs w:val="18"/>
              </w:rPr>
              <w:t xml:space="preserve">Coastlands </w:t>
            </w:r>
            <w:r w:rsidRPr="00FB249F">
              <w:rPr>
                <w:rFonts w:cs="Calibri"/>
                <w:color w:val="000000"/>
                <w:szCs w:val="18"/>
              </w:rPr>
              <w:t>(7</w:t>
            </w:r>
            <w:r w:rsidRPr="00FB249F">
              <w:rPr>
                <w:szCs w:val="18"/>
              </w:rPr>
              <w:t xml:space="preserve"> km</w:t>
            </w:r>
            <w:r w:rsidRPr="00FB249F">
              <w:rPr>
                <w:szCs w:val="18"/>
                <w:vertAlign w:val="superscript"/>
              </w:rPr>
              <w:t>2</w:t>
            </w:r>
            <w:r w:rsidRPr="00FB249F">
              <w:rPr>
                <w:szCs w:val="18"/>
              </w:rPr>
              <w:t>)</w:t>
            </w:r>
          </w:p>
        </w:tc>
      </w:tr>
    </w:tbl>
    <w:p w14:paraId="3DAABE79" w14:textId="79DCC28B" w:rsidR="00890F1E" w:rsidRPr="00FB249F" w:rsidRDefault="00890F1E" w:rsidP="00890F1E">
      <w:pPr>
        <w:pStyle w:val="Tableheading"/>
      </w:pPr>
      <w:bookmarkStart w:id="62" w:name="_Toc88208539"/>
      <w:bookmarkStart w:id="63" w:name="_Toc90312383"/>
      <w:bookmarkEnd w:id="61"/>
      <w:r w:rsidRPr="00FB249F">
        <w:lastRenderedPageBreak/>
        <w:t xml:space="preserve">Table </w:t>
      </w:r>
      <w:r w:rsidR="00FB0C00">
        <w:t>5</w:t>
      </w:r>
      <w:r w:rsidRPr="00FB249F">
        <w:t>:</w:t>
      </w:r>
      <w:r w:rsidRPr="00FB249F">
        <w:tab/>
        <w:t>Catchment details for Manawatū-Whanganui region river- and streamflow gauging sites</w:t>
      </w:r>
      <w:r w:rsidR="00622457" w:rsidRPr="00FB249F">
        <w:t> </w:t>
      </w:r>
      <w:r w:rsidRPr="00FB249F">
        <w:t>included in analysis</w:t>
      </w:r>
      <w:bookmarkEnd w:id="62"/>
      <w:bookmarkEnd w:id="63"/>
    </w:p>
    <w:tbl>
      <w:tblPr>
        <w:tblStyle w:val="TableGrid"/>
        <w:tblW w:w="8505" w:type="dxa"/>
        <w:tblInd w:w="113" w:type="dxa"/>
        <w:tblBorders>
          <w:top w:val="single" w:sz="4" w:space="0" w:color="1C556C"/>
          <w:left w:val="none" w:sz="0" w:space="0" w:color="auto"/>
          <w:bottom w:val="single" w:sz="4" w:space="0" w:color="1C556C"/>
          <w:right w:val="none" w:sz="0" w:space="0" w:color="auto"/>
          <w:insideH w:val="single" w:sz="4" w:space="0" w:color="1C556C"/>
          <w:insideV w:val="single" w:sz="4" w:space="0" w:color="1C556C"/>
        </w:tblBorders>
        <w:tblLook w:val="04A0" w:firstRow="1" w:lastRow="0" w:firstColumn="1" w:lastColumn="0" w:noHBand="0" w:noVBand="1"/>
      </w:tblPr>
      <w:tblGrid>
        <w:gridCol w:w="1562"/>
        <w:gridCol w:w="1967"/>
        <w:gridCol w:w="1794"/>
        <w:gridCol w:w="3182"/>
      </w:tblGrid>
      <w:tr w:rsidR="00890F1E" w:rsidRPr="00FB249F" w14:paraId="24DE2A5A" w14:textId="77777777" w:rsidTr="000C1D34">
        <w:trPr>
          <w:tblHeader/>
        </w:trPr>
        <w:tc>
          <w:tcPr>
            <w:tcW w:w="1531" w:type="dxa"/>
            <w:shd w:val="clear" w:color="auto" w:fill="1C556C"/>
          </w:tcPr>
          <w:p w14:paraId="5A59EA0B" w14:textId="77777777" w:rsidR="00890F1E" w:rsidRPr="00FB249F" w:rsidRDefault="00890F1E" w:rsidP="00F23144">
            <w:pPr>
              <w:pStyle w:val="TableTextbold"/>
              <w:rPr>
                <w:color w:val="FFFFFF" w:themeColor="background1"/>
              </w:rPr>
            </w:pPr>
            <w:r w:rsidRPr="00FB249F">
              <w:rPr>
                <w:color w:val="FFFFFF" w:themeColor="background1"/>
              </w:rPr>
              <w:t xml:space="preserve">Catchment (size) </w:t>
            </w:r>
          </w:p>
        </w:tc>
        <w:tc>
          <w:tcPr>
            <w:tcW w:w="1928" w:type="dxa"/>
            <w:shd w:val="clear" w:color="auto" w:fill="1C556C"/>
          </w:tcPr>
          <w:p w14:paraId="467489C7" w14:textId="77777777" w:rsidR="00890F1E" w:rsidRPr="00FB249F" w:rsidRDefault="00890F1E" w:rsidP="00F23144">
            <w:pPr>
              <w:pStyle w:val="TableTextbold"/>
              <w:rPr>
                <w:color w:val="FFFFFF" w:themeColor="background1"/>
              </w:rPr>
            </w:pPr>
            <w:r w:rsidRPr="00FB249F">
              <w:rPr>
                <w:color w:val="FFFFFF" w:themeColor="background1"/>
              </w:rPr>
              <w:t>Location</w:t>
            </w:r>
          </w:p>
        </w:tc>
        <w:tc>
          <w:tcPr>
            <w:tcW w:w="1758" w:type="dxa"/>
            <w:shd w:val="clear" w:color="auto" w:fill="1C556C"/>
          </w:tcPr>
          <w:p w14:paraId="7FD672B4" w14:textId="77777777" w:rsidR="00890F1E" w:rsidRPr="00FB249F" w:rsidRDefault="00890F1E" w:rsidP="00F23144">
            <w:pPr>
              <w:pStyle w:val="TableTextbold"/>
              <w:rPr>
                <w:color w:val="FFFFFF" w:themeColor="background1"/>
              </w:rPr>
            </w:pPr>
            <w:r w:rsidRPr="00FB249F">
              <w:rPr>
                <w:color w:val="FFFFFF" w:themeColor="background1"/>
              </w:rPr>
              <w:t>River/stream</w:t>
            </w:r>
          </w:p>
        </w:tc>
        <w:tc>
          <w:tcPr>
            <w:tcW w:w="3119" w:type="dxa"/>
            <w:shd w:val="clear" w:color="auto" w:fill="1C556C"/>
          </w:tcPr>
          <w:p w14:paraId="60FB544E" w14:textId="77777777" w:rsidR="00890F1E" w:rsidRPr="00FB249F" w:rsidRDefault="00890F1E" w:rsidP="00F23144">
            <w:pPr>
              <w:pStyle w:val="TableTextbold"/>
              <w:rPr>
                <w:color w:val="FFFFFF" w:themeColor="background1"/>
              </w:rPr>
            </w:pPr>
            <w:r w:rsidRPr="00FB249F">
              <w:rPr>
                <w:color w:val="FFFFFF" w:themeColor="background1"/>
              </w:rPr>
              <w:t>Gauging site (upstream catchment size)</w:t>
            </w:r>
          </w:p>
        </w:tc>
      </w:tr>
      <w:tr w:rsidR="00890F1E" w:rsidRPr="00FB249F" w14:paraId="6566CF60" w14:textId="77777777" w:rsidTr="000C1D34">
        <w:tc>
          <w:tcPr>
            <w:tcW w:w="1531" w:type="dxa"/>
            <w:vMerge w:val="restart"/>
            <w:shd w:val="clear" w:color="auto" w:fill="auto"/>
          </w:tcPr>
          <w:p w14:paraId="7A0B7564" w14:textId="77777777" w:rsidR="00890F1E" w:rsidRPr="00FB249F" w:rsidRDefault="00890F1E" w:rsidP="00F23144">
            <w:pPr>
              <w:pStyle w:val="TableText"/>
            </w:pPr>
            <w:r w:rsidRPr="00FB249F">
              <w:t xml:space="preserve">Manawatū River </w:t>
            </w:r>
            <w:r w:rsidRPr="00FB249F">
              <w:br/>
              <w:t>(5,875 km</w:t>
            </w:r>
            <w:r w:rsidRPr="00FB249F">
              <w:rPr>
                <w:vertAlign w:val="superscript"/>
              </w:rPr>
              <w:t>2</w:t>
            </w:r>
            <w:r w:rsidRPr="00FB249F">
              <w:t>)</w:t>
            </w:r>
          </w:p>
        </w:tc>
        <w:tc>
          <w:tcPr>
            <w:tcW w:w="1928" w:type="dxa"/>
            <w:vMerge w:val="restart"/>
          </w:tcPr>
          <w:p w14:paraId="24A36E19" w14:textId="2B718563" w:rsidR="00890F1E" w:rsidRPr="00FB249F" w:rsidRDefault="00890F1E" w:rsidP="00F23144">
            <w:pPr>
              <w:pStyle w:val="TableText"/>
            </w:pPr>
            <w:r w:rsidRPr="00FB249F">
              <w:t>Dannevirke/ Palmerston North/ Foxton</w:t>
            </w:r>
          </w:p>
        </w:tc>
        <w:tc>
          <w:tcPr>
            <w:tcW w:w="1758" w:type="dxa"/>
          </w:tcPr>
          <w:p w14:paraId="2CC376CC" w14:textId="77777777" w:rsidR="00890F1E" w:rsidRPr="00FB249F" w:rsidRDefault="00890F1E" w:rsidP="00F23144">
            <w:pPr>
              <w:pStyle w:val="TableText"/>
            </w:pPr>
            <w:r w:rsidRPr="00FB249F">
              <w:t>Makakahi River</w:t>
            </w:r>
          </w:p>
        </w:tc>
        <w:tc>
          <w:tcPr>
            <w:tcW w:w="3119" w:type="dxa"/>
            <w:shd w:val="clear" w:color="auto" w:fill="auto"/>
          </w:tcPr>
          <w:p w14:paraId="61B12F0C" w14:textId="77777777" w:rsidR="00890F1E" w:rsidRPr="00FB249F" w:rsidRDefault="00890F1E" w:rsidP="00F23144">
            <w:pPr>
              <w:pStyle w:val="TableText"/>
              <w:rPr>
                <w:szCs w:val="18"/>
              </w:rPr>
            </w:pPr>
            <w:r w:rsidRPr="00FB249F">
              <w:rPr>
                <w:szCs w:val="18"/>
              </w:rPr>
              <w:t>Hamua (</w:t>
            </w:r>
            <w:r w:rsidRPr="00FB249F">
              <w:rPr>
                <w:rFonts w:cs="Calibri"/>
                <w:color w:val="000000"/>
                <w:szCs w:val="18"/>
              </w:rPr>
              <w:t xml:space="preserve">165 </w:t>
            </w:r>
            <w:r w:rsidRPr="00FB249F">
              <w:rPr>
                <w:szCs w:val="18"/>
              </w:rPr>
              <w:t>km</w:t>
            </w:r>
            <w:r w:rsidRPr="00FB249F">
              <w:rPr>
                <w:szCs w:val="18"/>
                <w:vertAlign w:val="superscript"/>
              </w:rPr>
              <w:t>2</w:t>
            </w:r>
            <w:r w:rsidRPr="00FB249F">
              <w:rPr>
                <w:szCs w:val="18"/>
              </w:rPr>
              <w:t>)</w:t>
            </w:r>
          </w:p>
        </w:tc>
      </w:tr>
      <w:tr w:rsidR="00890F1E" w:rsidRPr="00FB249F" w14:paraId="375E399A" w14:textId="77777777" w:rsidTr="000C1D34">
        <w:tc>
          <w:tcPr>
            <w:tcW w:w="1531" w:type="dxa"/>
            <w:vMerge/>
            <w:shd w:val="clear" w:color="auto" w:fill="auto"/>
          </w:tcPr>
          <w:p w14:paraId="342E84EB" w14:textId="77777777" w:rsidR="00890F1E" w:rsidRPr="00FB249F" w:rsidRDefault="00890F1E" w:rsidP="00F23144">
            <w:pPr>
              <w:pStyle w:val="TableText"/>
            </w:pPr>
          </w:p>
        </w:tc>
        <w:tc>
          <w:tcPr>
            <w:tcW w:w="1928" w:type="dxa"/>
            <w:vMerge/>
          </w:tcPr>
          <w:p w14:paraId="77AE0C8D" w14:textId="77777777" w:rsidR="00890F1E" w:rsidRPr="00FB249F" w:rsidRDefault="00890F1E" w:rsidP="00F23144">
            <w:pPr>
              <w:pStyle w:val="TableText"/>
            </w:pPr>
          </w:p>
        </w:tc>
        <w:tc>
          <w:tcPr>
            <w:tcW w:w="1758" w:type="dxa"/>
            <w:vMerge w:val="restart"/>
          </w:tcPr>
          <w:p w14:paraId="6B246D9D" w14:textId="77777777" w:rsidR="00890F1E" w:rsidRPr="00FB249F" w:rsidRDefault="00890F1E" w:rsidP="00F23144">
            <w:pPr>
              <w:pStyle w:val="TableText"/>
            </w:pPr>
            <w:r w:rsidRPr="00FB249F">
              <w:t>Manawatū River</w:t>
            </w:r>
          </w:p>
        </w:tc>
        <w:tc>
          <w:tcPr>
            <w:tcW w:w="3119" w:type="dxa"/>
            <w:shd w:val="clear" w:color="auto" w:fill="auto"/>
          </w:tcPr>
          <w:p w14:paraId="6F8E0B8E" w14:textId="77777777" w:rsidR="00890F1E" w:rsidRPr="00FB249F" w:rsidRDefault="00890F1E" w:rsidP="00F23144">
            <w:pPr>
              <w:pStyle w:val="TableText"/>
              <w:rPr>
                <w:szCs w:val="18"/>
              </w:rPr>
            </w:pPr>
            <w:r w:rsidRPr="00FB249F">
              <w:rPr>
                <w:szCs w:val="18"/>
              </w:rPr>
              <w:t>Hopelands (</w:t>
            </w:r>
            <w:r w:rsidRPr="00FB249F">
              <w:rPr>
                <w:rFonts w:cs="Calibri"/>
                <w:color w:val="000000"/>
                <w:szCs w:val="18"/>
              </w:rPr>
              <w:t xml:space="preserve">1,265 </w:t>
            </w:r>
            <w:r w:rsidRPr="00FB249F">
              <w:rPr>
                <w:szCs w:val="18"/>
              </w:rPr>
              <w:t>km</w:t>
            </w:r>
            <w:r w:rsidRPr="00FB249F">
              <w:rPr>
                <w:szCs w:val="18"/>
                <w:vertAlign w:val="superscript"/>
              </w:rPr>
              <w:t>2</w:t>
            </w:r>
            <w:r w:rsidRPr="00FB249F">
              <w:rPr>
                <w:szCs w:val="18"/>
              </w:rPr>
              <w:t>)</w:t>
            </w:r>
          </w:p>
        </w:tc>
      </w:tr>
      <w:tr w:rsidR="00890F1E" w:rsidRPr="00FB249F" w14:paraId="033EADDA" w14:textId="77777777" w:rsidTr="000C1D34">
        <w:tc>
          <w:tcPr>
            <w:tcW w:w="1531" w:type="dxa"/>
            <w:vMerge/>
            <w:shd w:val="clear" w:color="auto" w:fill="auto"/>
          </w:tcPr>
          <w:p w14:paraId="34D49BE4" w14:textId="77777777" w:rsidR="00890F1E" w:rsidRPr="00FB249F" w:rsidRDefault="00890F1E" w:rsidP="00F23144">
            <w:pPr>
              <w:pStyle w:val="TableText"/>
            </w:pPr>
          </w:p>
        </w:tc>
        <w:tc>
          <w:tcPr>
            <w:tcW w:w="1928" w:type="dxa"/>
            <w:vMerge/>
          </w:tcPr>
          <w:p w14:paraId="5B6D5697" w14:textId="77777777" w:rsidR="00890F1E" w:rsidRPr="00FB249F" w:rsidRDefault="00890F1E" w:rsidP="00F23144">
            <w:pPr>
              <w:pStyle w:val="TableText"/>
            </w:pPr>
          </w:p>
        </w:tc>
        <w:tc>
          <w:tcPr>
            <w:tcW w:w="1758" w:type="dxa"/>
            <w:vMerge/>
          </w:tcPr>
          <w:p w14:paraId="0C9FB3C1" w14:textId="77777777" w:rsidR="00890F1E" w:rsidRPr="00FB249F" w:rsidRDefault="00890F1E" w:rsidP="00F23144">
            <w:pPr>
              <w:pStyle w:val="TableText"/>
            </w:pPr>
          </w:p>
        </w:tc>
        <w:tc>
          <w:tcPr>
            <w:tcW w:w="3119" w:type="dxa"/>
            <w:shd w:val="clear" w:color="auto" w:fill="auto"/>
          </w:tcPr>
          <w:p w14:paraId="65BF9EDF" w14:textId="77777777" w:rsidR="00890F1E" w:rsidRPr="00FB249F" w:rsidRDefault="00890F1E" w:rsidP="00F23144">
            <w:pPr>
              <w:pStyle w:val="TableText"/>
              <w:rPr>
                <w:szCs w:val="18"/>
              </w:rPr>
            </w:pPr>
            <w:r w:rsidRPr="00FB249F">
              <w:rPr>
                <w:szCs w:val="18"/>
              </w:rPr>
              <w:t>Teachers College (</w:t>
            </w:r>
            <w:r w:rsidRPr="00FB249F">
              <w:rPr>
                <w:rFonts w:cs="Calibri"/>
                <w:color w:val="000000"/>
                <w:szCs w:val="18"/>
              </w:rPr>
              <w:t xml:space="preserve">3,915 </w:t>
            </w:r>
            <w:r w:rsidRPr="00FB249F">
              <w:rPr>
                <w:szCs w:val="18"/>
              </w:rPr>
              <w:t>km</w:t>
            </w:r>
            <w:r w:rsidRPr="00FB249F">
              <w:rPr>
                <w:szCs w:val="18"/>
                <w:vertAlign w:val="superscript"/>
              </w:rPr>
              <w:t>2</w:t>
            </w:r>
            <w:r w:rsidRPr="00FB249F">
              <w:rPr>
                <w:szCs w:val="18"/>
              </w:rPr>
              <w:t>)</w:t>
            </w:r>
          </w:p>
        </w:tc>
      </w:tr>
      <w:tr w:rsidR="00890F1E" w:rsidRPr="00FB249F" w14:paraId="6C6FA984" w14:textId="77777777" w:rsidTr="000C1D34">
        <w:tc>
          <w:tcPr>
            <w:tcW w:w="1531" w:type="dxa"/>
            <w:vMerge/>
            <w:shd w:val="clear" w:color="auto" w:fill="auto"/>
          </w:tcPr>
          <w:p w14:paraId="16A039B2" w14:textId="77777777" w:rsidR="00890F1E" w:rsidRPr="00FB249F" w:rsidRDefault="00890F1E" w:rsidP="00F23144">
            <w:pPr>
              <w:pStyle w:val="TableText"/>
            </w:pPr>
          </w:p>
        </w:tc>
        <w:tc>
          <w:tcPr>
            <w:tcW w:w="1928" w:type="dxa"/>
            <w:vMerge/>
          </w:tcPr>
          <w:p w14:paraId="1BD22FAB" w14:textId="77777777" w:rsidR="00890F1E" w:rsidRPr="00FB249F" w:rsidRDefault="00890F1E" w:rsidP="00F23144">
            <w:pPr>
              <w:pStyle w:val="TableText"/>
            </w:pPr>
          </w:p>
        </w:tc>
        <w:tc>
          <w:tcPr>
            <w:tcW w:w="1758" w:type="dxa"/>
            <w:vMerge/>
          </w:tcPr>
          <w:p w14:paraId="697B80F8" w14:textId="77777777" w:rsidR="00890F1E" w:rsidRPr="00FB249F" w:rsidRDefault="00890F1E" w:rsidP="00F23144">
            <w:pPr>
              <w:pStyle w:val="TableText"/>
            </w:pPr>
          </w:p>
        </w:tc>
        <w:tc>
          <w:tcPr>
            <w:tcW w:w="3119" w:type="dxa"/>
            <w:shd w:val="clear" w:color="auto" w:fill="auto"/>
          </w:tcPr>
          <w:p w14:paraId="420F9FBB" w14:textId="77777777" w:rsidR="00890F1E" w:rsidRPr="00FB249F" w:rsidRDefault="00890F1E" w:rsidP="00F23144">
            <w:pPr>
              <w:pStyle w:val="TableText"/>
              <w:rPr>
                <w:szCs w:val="18"/>
              </w:rPr>
            </w:pPr>
            <w:r w:rsidRPr="00FB249F">
              <w:rPr>
                <w:szCs w:val="18"/>
              </w:rPr>
              <w:t>Upper Manawatū Gorge (</w:t>
            </w:r>
            <w:r w:rsidRPr="00FB249F">
              <w:rPr>
                <w:rFonts w:cs="Calibri"/>
                <w:color w:val="000000"/>
                <w:szCs w:val="18"/>
              </w:rPr>
              <w:t xml:space="preserve">3,190 </w:t>
            </w:r>
            <w:r w:rsidRPr="00FB249F">
              <w:rPr>
                <w:szCs w:val="18"/>
              </w:rPr>
              <w:t>km</w:t>
            </w:r>
            <w:r w:rsidRPr="00FB249F">
              <w:rPr>
                <w:szCs w:val="18"/>
                <w:vertAlign w:val="superscript"/>
              </w:rPr>
              <w:t>2</w:t>
            </w:r>
            <w:r w:rsidRPr="00FB249F">
              <w:rPr>
                <w:szCs w:val="18"/>
              </w:rPr>
              <w:t>)</w:t>
            </w:r>
          </w:p>
        </w:tc>
      </w:tr>
      <w:tr w:rsidR="00890F1E" w:rsidRPr="00FB249F" w14:paraId="18CC53A2" w14:textId="77777777" w:rsidTr="000C1D34">
        <w:tc>
          <w:tcPr>
            <w:tcW w:w="1531" w:type="dxa"/>
            <w:vMerge/>
            <w:shd w:val="clear" w:color="auto" w:fill="auto"/>
          </w:tcPr>
          <w:p w14:paraId="12C70BF7" w14:textId="77777777" w:rsidR="00890F1E" w:rsidRPr="00FB249F" w:rsidRDefault="00890F1E" w:rsidP="00F23144">
            <w:pPr>
              <w:pStyle w:val="TableText"/>
            </w:pPr>
          </w:p>
        </w:tc>
        <w:tc>
          <w:tcPr>
            <w:tcW w:w="1928" w:type="dxa"/>
            <w:vMerge/>
          </w:tcPr>
          <w:p w14:paraId="7922C27E" w14:textId="77777777" w:rsidR="00890F1E" w:rsidRPr="00FB249F" w:rsidRDefault="00890F1E" w:rsidP="00F23144">
            <w:pPr>
              <w:pStyle w:val="TableText"/>
            </w:pPr>
          </w:p>
        </w:tc>
        <w:tc>
          <w:tcPr>
            <w:tcW w:w="1758" w:type="dxa"/>
            <w:vMerge/>
          </w:tcPr>
          <w:p w14:paraId="458C4BB7" w14:textId="77777777" w:rsidR="00890F1E" w:rsidRPr="00FB249F" w:rsidRDefault="00890F1E" w:rsidP="00F23144">
            <w:pPr>
              <w:pStyle w:val="TableText"/>
            </w:pPr>
          </w:p>
        </w:tc>
        <w:tc>
          <w:tcPr>
            <w:tcW w:w="3119" w:type="dxa"/>
            <w:shd w:val="clear" w:color="auto" w:fill="auto"/>
          </w:tcPr>
          <w:p w14:paraId="324193B5" w14:textId="77777777" w:rsidR="00890F1E" w:rsidRPr="00FB249F" w:rsidRDefault="00890F1E" w:rsidP="00F23144">
            <w:pPr>
              <w:pStyle w:val="TableText"/>
              <w:rPr>
                <w:szCs w:val="18"/>
              </w:rPr>
            </w:pPr>
            <w:r w:rsidRPr="00FB249F">
              <w:rPr>
                <w:szCs w:val="18"/>
              </w:rPr>
              <w:t>Weber Road (</w:t>
            </w:r>
            <w:r w:rsidRPr="00FB249F">
              <w:rPr>
                <w:rFonts w:cs="Calibri"/>
                <w:color w:val="000000"/>
                <w:szCs w:val="18"/>
              </w:rPr>
              <w:t xml:space="preserve">715 </w:t>
            </w:r>
            <w:r w:rsidRPr="00FB249F">
              <w:rPr>
                <w:szCs w:val="18"/>
              </w:rPr>
              <w:t>km</w:t>
            </w:r>
            <w:r w:rsidRPr="00FB249F">
              <w:rPr>
                <w:szCs w:val="18"/>
                <w:vertAlign w:val="superscript"/>
              </w:rPr>
              <w:t>2</w:t>
            </w:r>
            <w:r w:rsidRPr="00FB249F">
              <w:rPr>
                <w:szCs w:val="18"/>
              </w:rPr>
              <w:t>)</w:t>
            </w:r>
          </w:p>
        </w:tc>
      </w:tr>
      <w:tr w:rsidR="00890F1E" w:rsidRPr="00FB249F" w14:paraId="3BB5CAE9" w14:textId="77777777" w:rsidTr="000C1D34">
        <w:tc>
          <w:tcPr>
            <w:tcW w:w="1531" w:type="dxa"/>
            <w:vMerge/>
            <w:shd w:val="clear" w:color="auto" w:fill="auto"/>
          </w:tcPr>
          <w:p w14:paraId="71B12F43" w14:textId="77777777" w:rsidR="00890F1E" w:rsidRPr="00FB249F" w:rsidRDefault="00890F1E" w:rsidP="00F23144">
            <w:pPr>
              <w:pStyle w:val="TableText"/>
            </w:pPr>
          </w:p>
        </w:tc>
        <w:tc>
          <w:tcPr>
            <w:tcW w:w="1928" w:type="dxa"/>
            <w:vMerge/>
          </w:tcPr>
          <w:p w14:paraId="356F0D22" w14:textId="77777777" w:rsidR="00890F1E" w:rsidRPr="00FB249F" w:rsidRDefault="00890F1E" w:rsidP="00F23144">
            <w:pPr>
              <w:pStyle w:val="TableText"/>
            </w:pPr>
          </w:p>
        </w:tc>
        <w:tc>
          <w:tcPr>
            <w:tcW w:w="1758" w:type="dxa"/>
          </w:tcPr>
          <w:p w14:paraId="0057AB7F" w14:textId="77777777" w:rsidR="00890F1E" w:rsidRPr="00FB249F" w:rsidRDefault="00890F1E" w:rsidP="00F23144">
            <w:pPr>
              <w:pStyle w:val="TableText"/>
            </w:pPr>
            <w:r w:rsidRPr="00FB249F">
              <w:t>Mangahao River</w:t>
            </w:r>
          </w:p>
        </w:tc>
        <w:tc>
          <w:tcPr>
            <w:tcW w:w="3119" w:type="dxa"/>
            <w:shd w:val="clear" w:color="auto" w:fill="auto"/>
          </w:tcPr>
          <w:p w14:paraId="3E5AC7F5" w14:textId="77777777" w:rsidR="00890F1E" w:rsidRPr="00FB249F" w:rsidRDefault="00890F1E" w:rsidP="00F23144">
            <w:pPr>
              <w:pStyle w:val="TableText"/>
              <w:rPr>
                <w:szCs w:val="18"/>
              </w:rPr>
            </w:pPr>
            <w:r w:rsidRPr="00FB249F">
              <w:rPr>
                <w:szCs w:val="18"/>
              </w:rPr>
              <w:t>Balance (</w:t>
            </w:r>
            <w:r w:rsidRPr="00FB249F">
              <w:rPr>
                <w:rFonts w:cs="Calibri"/>
                <w:color w:val="000000"/>
                <w:szCs w:val="18"/>
              </w:rPr>
              <w:t xml:space="preserve">280 </w:t>
            </w:r>
            <w:r w:rsidRPr="00FB249F">
              <w:rPr>
                <w:szCs w:val="18"/>
              </w:rPr>
              <w:t>km</w:t>
            </w:r>
            <w:r w:rsidRPr="00FB249F">
              <w:rPr>
                <w:szCs w:val="18"/>
                <w:vertAlign w:val="superscript"/>
              </w:rPr>
              <w:t>2</w:t>
            </w:r>
            <w:r w:rsidRPr="00FB249F">
              <w:rPr>
                <w:szCs w:val="18"/>
              </w:rPr>
              <w:t>)</w:t>
            </w:r>
          </w:p>
        </w:tc>
      </w:tr>
      <w:tr w:rsidR="00890F1E" w:rsidRPr="00FB249F" w14:paraId="055591F8" w14:textId="77777777" w:rsidTr="000C1D34">
        <w:tc>
          <w:tcPr>
            <w:tcW w:w="1531" w:type="dxa"/>
            <w:vMerge/>
            <w:shd w:val="clear" w:color="auto" w:fill="auto"/>
          </w:tcPr>
          <w:p w14:paraId="48362AC1" w14:textId="77777777" w:rsidR="00890F1E" w:rsidRPr="00FB249F" w:rsidRDefault="00890F1E" w:rsidP="00F23144">
            <w:pPr>
              <w:pStyle w:val="TableText"/>
            </w:pPr>
          </w:p>
        </w:tc>
        <w:tc>
          <w:tcPr>
            <w:tcW w:w="1928" w:type="dxa"/>
            <w:vMerge/>
          </w:tcPr>
          <w:p w14:paraId="61130D58" w14:textId="77777777" w:rsidR="00890F1E" w:rsidRPr="00FB249F" w:rsidRDefault="00890F1E" w:rsidP="00F23144">
            <w:pPr>
              <w:pStyle w:val="TableText"/>
            </w:pPr>
          </w:p>
        </w:tc>
        <w:tc>
          <w:tcPr>
            <w:tcW w:w="1758" w:type="dxa"/>
          </w:tcPr>
          <w:p w14:paraId="32F3E401" w14:textId="77777777" w:rsidR="00890F1E" w:rsidRPr="00FB249F" w:rsidRDefault="00890F1E" w:rsidP="00F23144">
            <w:pPr>
              <w:pStyle w:val="TableText"/>
            </w:pPr>
            <w:r w:rsidRPr="00FB249F">
              <w:t>Mangatainoka River</w:t>
            </w:r>
          </w:p>
        </w:tc>
        <w:tc>
          <w:tcPr>
            <w:tcW w:w="3119" w:type="dxa"/>
            <w:shd w:val="clear" w:color="auto" w:fill="auto"/>
          </w:tcPr>
          <w:p w14:paraId="517EB794" w14:textId="77777777" w:rsidR="00890F1E" w:rsidRPr="00FB249F" w:rsidRDefault="00890F1E" w:rsidP="00F23144">
            <w:pPr>
              <w:pStyle w:val="TableText"/>
              <w:rPr>
                <w:szCs w:val="18"/>
              </w:rPr>
            </w:pPr>
            <w:r w:rsidRPr="00FB249F">
              <w:rPr>
                <w:szCs w:val="18"/>
              </w:rPr>
              <w:t>Pahiatua Town Bridge (</w:t>
            </w:r>
            <w:r w:rsidRPr="00FB249F">
              <w:rPr>
                <w:rFonts w:cs="Calibri"/>
                <w:color w:val="000000"/>
                <w:szCs w:val="18"/>
              </w:rPr>
              <w:t xml:space="preserve">405 </w:t>
            </w:r>
            <w:r w:rsidRPr="00FB249F">
              <w:rPr>
                <w:szCs w:val="18"/>
              </w:rPr>
              <w:t>km</w:t>
            </w:r>
            <w:r w:rsidRPr="00FB249F">
              <w:rPr>
                <w:szCs w:val="18"/>
                <w:vertAlign w:val="superscript"/>
              </w:rPr>
              <w:t>2</w:t>
            </w:r>
            <w:r w:rsidRPr="00FB249F">
              <w:rPr>
                <w:szCs w:val="18"/>
              </w:rPr>
              <w:t>)</w:t>
            </w:r>
          </w:p>
        </w:tc>
      </w:tr>
      <w:tr w:rsidR="00890F1E" w:rsidRPr="00FB249F" w14:paraId="33B02631" w14:textId="77777777" w:rsidTr="000C1D34">
        <w:tc>
          <w:tcPr>
            <w:tcW w:w="1531" w:type="dxa"/>
            <w:vMerge/>
            <w:shd w:val="clear" w:color="auto" w:fill="auto"/>
          </w:tcPr>
          <w:p w14:paraId="3ECD8B78" w14:textId="77777777" w:rsidR="00890F1E" w:rsidRPr="00FB249F" w:rsidRDefault="00890F1E" w:rsidP="00F23144">
            <w:pPr>
              <w:pStyle w:val="TableText"/>
            </w:pPr>
          </w:p>
        </w:tc>
        <w:tc>
          <w:tcPr>
            <w:tcW w:w="1928" w:type="dxa"/>
            <w:vMerge/>
          </w:tcPr>
          <w:p w14:paraId="6E6C5328" w14:textId="77777777" w:rsidR="00890F1E" w:rsidRPr="00FB249F" w:rsidRDefault="00890F1E" w:rsidP="00F23144">
            <w:pPr>
              <w:pStyle w:val="TableText"/>
            </w:pPr>
          </w:p>
        </w:tc>
        <w:tc>
          <w:tcPr>
            <w:tcW w:w="1758" w:type="dxa"/>
          </w:tcPr>
          <w:p w14:paraId="4CBF1A32" w14:textId="77777777" w:rsidR="00890F1E" w:rsidRPr="00FB249F" w:rsidRDefault="00890F1E" w:rsidP="00F23144">
            <w:pPr>
              <w:pStyle w:val="TableText"/>
            </w:pPr>
            <w:r w:rsidRPr="00FB249F">
              <w:t>Mangatoro River</w:t>
            </w:r>
          </w:p>
        </w:tc>
        <w:tc>
          <w:tcPr>
            <w:tcW w:w="3119" w:type="dxa"/>
            <w:shd w:val="clear" w:color="auto" w:fill="auto"/>
          </w:tcPr>
          <w:p w14:paraId="5A5CC2F5" w14:textId="77777777" w:rsidR="00890F1E" w:rsidRPr="00FB249F" w:rsidRDefault="00890F1E" w:rsidP="00F23144">
            <w:pPr>
              <w:pStyle w:val="TableText"/>
              <w:rPr>
                <w:szCs w:val="18"/>
              </w:rPr>
            </w:pPr>
            <w:r w:rsidRPr="00FB249F">
              <w:rPr>
                <w:szCs w:val="18"/>
              </w:rPr>
              <w:t>Mangahei Road (</w:t>
            </w:r>
            <w:r w:rsidRPr="00FB249F">
              <w:rPr>
                <w:rFonts w:cs="Calibri"/>
                <w:color w:val="000000"/>
                <w:szCs w:val="18"/>
              </w:rPr>
              <w:t xml:space="preserve">220 </w:t>
            </w:r>
            <w:r w:rsidRPr="00FB249F">
              <w:rPr>
                <w:szCs w:val="18"/>
              </w:rPr>
              <w:t>km</w:t>
            </w:r>
            <w:r w:rsidRPr="00FB249F">
              <w:rPr>
                <w:szCs w:val="18"/>
                <w:vertAlign w:val="superscript"/>
              </w:rPr>
              <w:t>2</w:t>
            </w:r>
            <w:r w:rsidRPr="00FB249F">
              <w:rPr>
                <w:szCs w:val="18"/>
              </w:rPr>
              <w:t>)</w:t>
            </w:r>
          </w:p>
        </w:tc>
      </w:tr>
      <w:tr w:rsidR="00890F1E" w:rsidRPr="00FB249F" w14:paraId="6FECE3B1" w14:textId="77777777" w:rsidTr="000C1D34">
        <w:tc>
          <w:tcPr>
            <w:tcW w:w="1531" w:type="dxa"/>
            <w:vMerge/>
            <w:shd w:val="clear" w:color="auto" w:fill="auto"/>
          </w:tcPr>
          <w:p w14:paraId="07B602F1" w14:textId="77777777" w:rsidR="00890F1E" w:rsidRPr="00FB249F" w:rsidRDefault="00890F1E" w:rsidP="00F23144">
            <w:pPr>
              <w:pStyle w:val="TableText"/>
            </w:pPr>
          </w:p>
        </w:tc>
        <w:tc>
          <w:tcPr>
            <w:tcW w:w="1928" w:type="dxa"/>
            <w:vMerge/>
          </w:tcPr>
          <w:p w14:paraId="6C9B828F" w14:textId="77777777" w:rsidR="00890F1E" w:rsidRPr="00FB249F" w:rsidRDefault="00890F1E" w:rsidP="00F23144">
            <w:pPr>
              <w:pStyle w:val="TableText"/>
            </w:pPr>
          </w:p>
        </w:tc>
        <w:tc>
          <w:tcPr>
            <w:tcW w:w="1758" w:type="dxa"/>
          </w:tcPr>
          <w:p w14:paraId="24EC8BD5" w14:textId="77777777" w:rsidR="00890F1E" w:rsidRPr="00FB249F" w:rsidRDefault="00890F1E" w:rsidP="00F23144">
            <w:pPr>
              <w:pStyle w:val="TableText"/>
            </w:pPr>
            <w:r w:rsidRPr="00FB249F">
              <w:t>Oroua River</w:t>
            </w:r>
          </w:p>
        </w:tc>
        <w:tc>
          <w:tcPr>
            <w:tcW w:w="3119" w:type="dxa"/>
            <w:shd w:val="clear" w:color="auto" w:fill="auto"/>
          </w:tcPr>
          <w:p w14:paraId="21BD22CD" w14:textId="77777777" w:rsidR="00890F1E" w:rsidRPr="00FB249F" w:rsidRDefault="00890F1E" w:rsidP="00F23144">
            <w:pPr>
              <w:pStyle w:val="TableText"/>
              <w:rPr>
                <w:szCs w:val="18"/>
              </w:rPr>
            </w:pPr>
            <w:r w:rsidRPr="00FB249F">
              <w:rPr>
                <w:szCs w:val="18"/>
              </w:rPr>
              <w:t>Almadale Slackline (</w:t>
            </w:r>
            <w:r w:rsidRPr="00FB249F">
              <w:rPr>
                <w:rFonts w:cs="Calibri"/>
                <w:color w:val="000000"/>
                <w:szCs w:val="18"/>
              </w:rPr>
              <w:t xml:space="preserve">305 </w:t>
            </w:r>
            <w:r w:rsidRPr="00FB249F">
              <w:rPr>
                <w:szCs w:val="18"/>
              </w:rPr>
              <w:t>km</w:t>
            </w:r>
            <w:r w:rsidRPr="00FB249F">
              <w:rPr>
                <w:szCs w:val="18"/>
                <w:vertAlign w:val="superscript"/>
              </w:rPr>
              <w:t>2</w:t>
            </w:r>
            <w:r w:rsidRPr="00FB249F">
              <w:rPr>
                <w:szCs w:val="18"/>
              </w:rPr>
              <w:t>)</w:t>
            </w:r>
          </w:p>
        </w:tc>
      </w:tr>
      <w:tr w:rsidR="00890F1E" w:rsidRPr="00FB249F" w14:paraId="534306CA" w14:textId="77777777" w:rsidTr="000C1D34">
        <w:tc>
          <w:tcPr>
            <w:tcW w:w="1531" w:type="dxa"/>
            <w:vMerge/>
            <w:shd w:val="clear" w:color="auto" w:fill="auto"/>
          </w:tcPr>
          <w:p w14:paraId="6DE7F99B" w14:textId="77777777" w:rsidR="00890F1E" w:rsidRPr="00FB249F" w:rsidRDefault="00890F1E" w:rsidP="00F23144">
            <w:pPr>
              <w:pStyle w:val="TableText"/>
            </w:pPr>
          </w:p>
        </w:tc>
        <w:tc>
          <w:tcPr>
            <w:tcW w:w="1928" w:type="dxa"/>
            <w:vMerge/>
          </w:tcPr>
          <w:p w14:paraId="775F9655" w14:textId="77777777" w:rsidR="00890F1E" w:rsidRPr="00FB249F" w:rsidRDefault="00890F1E" w:rsidP="00F23144">
            <w:pPr>
              <w:pStyle w:val="TableText"/>
            </w:pPr>
          </w:p>
        </w:tc>
        <w:tc>
          <w:tcPr>
            <w:tcW w:w="1758" w:type="dxa"/>
          </w:tcPr>
          <w:p w14:paraId="291731CB" w14:textId="77777777" w:rsidR="00890F1E" w:rsidRPr="00FB249F" w:rsidRDefault="00890F1E" w:rsidP="00F23144">
            <w:pPr>
              <w:pStyle w:val="TableText"/>
            </w:pPr>
            <w:r w:rsidRPr="00FB249F">
              <w:t>Pohangina River</w:t>
            </w:r>
          </w:p>
        </w:tc>
        <w:tc>
          <w:tcPr>
            <w:tcW w:w="3119" w:type="dxa"/>
            <w:shd w:val="clear" w:color="auto" w:fill="auto"/>
          </w:tcPr>
          <w:p w14:paraId="79DDF669" w14:textId="77777777" w:rsidR="00890F1E" w:rsidRPr="00FB249F" w:rsidRDefault="00890F1E" w:rsidP="00F23144">
            <w:pPr>
              <w:pStyle w:val="TableText"/>
              <w:rPr>
                <w:szCs w:val="18"/>
              </w:rPr>
            </w:pPr>
            <w:r w:rsidRPr="00FB249F">
              <w:rPr>
                <w:szCs w:val="18"/>
              </w:rPr>
              <w:t>Mais Reach (</w:t>
            </w:r>
            <w:r w:rsidRPr="00FB249F">
              <w:rPr>
                <w:rFonts w:cs="Calibri"/>
                <w:color w:val="000000"/>
                <w:szCs w:val="18"/>
              </w:rPr>
              <w:t xml:space="preserve">485 </w:t>
            </w:r>
            <w:r w:rsidRPr="00FB249F">
              <w:rPr>
                <w:szCs w:val="18"/>
              </w:rPr>
              <w:t>km</w:t>
            </w:r>
            <w:r w:rsidRPr="00FB249F">
              <w:rPr>
                <w:szCs w:val="18"/>
                <w:vertAlign w:val="superscript"/>
              </w:rPr>
              <w:t>2</w:t>
            </w:r>
            <w:r w:rsidRPr="00FB249F">
              <w:rPr>
                <w:szCs w:val="18"/>
              </w:rPr>
              <w:t>)</w:t>
            </w:r>
          </w:p>
        </w:tc>
      </w:tr>
      <w:tr w:rsidR="00890F1E" w:rsidRPr="00FB249F" w14:paraId="78522D8E" w14:textId="77777777" w:rsidTr="000C1D34">
        <w:tc>
          <w:tcPr>
            <w:tcW w:w="1531" w:type="dxa"/>
            <w:vMerge/>
            <w:shd w:val="clear" w:color="auto" w:fill="auto"/>
          </w:tcPr>
          <w:p w14:paraId="4D685BE8" w14:textId="77777777" w:rsidR="00890F1E" w:rsidRPr="00FB249F" w:rsidRDefault="00890F1E" w:rsidP="00F23144">
            <w:pPr>
              <w:pStyle w:val="TableText"/>
            </w:pPr>
          </w:p>
        </w:tc>
        <w:tc>
          <w:tcPr>
            <w:tcW w:w="1928" w:type="dxa"/>
            <w:vMerge/>
          </w:tcPr>
          <w:p w14:paraId="379ABC08" w14:textId="77777777" w:rsidR="00890F1E" w:rsidRPr="00FB249F" w:rsidRDefault="00890F1E" w:rsidP="00F23144">
            <w:pPr>
              <w:pStyle w:val="TableText"/>
            </w:pPr>
          </w:p>
        </w:tc>
        <w:tc>
          <w:tcPr>
            <w:tcW w:w="1758" w:type="dxa"/>
          </w:tcPr>
          <w:p w14:paraId="462C5633" w14:textId="77777777" w:rsidR="00890F1E" w:rsidRPr="00FB249F" w:rsidRDefault="00890F1E" w:rsidP="00F23144">
            <w:pPr>
              <w:pStyle w:val="TableText"/>
            </w:pPr>
            <w:r w:rsidRPr="00FB249F">
              <w:t>Makino Stream</w:t>
            </w:r>
          </w:p>
        </w:tc>
        <w:tc>
          <w:tcPr>
            <w:tcW w:w="3119" w:type="dxa"/>
            <w:shd w:val="clear" w:color="auto" w:fill="auto"/>
          </w:tcPr>
          <w:p w14:paraId="2DF3AD75" w14:textId="77777777" w:rsidR="00890F1E" w:rsidRPr="00FB249F" w:rsidRDefault="00890F1E" w:rsidP="00F23144">
            <w:pPr>
              <w:pStyle w:val="TableText"/>
              <w:rPr>
                <w:szCs w:val="18"/>
              </w:rPr>
            </w:pPr>
            <w:r w:rsidRPr="00FB249F">
              <w:rPr>
                <w:szCs w:val="18"/>
              </w:rPr>
              <w:t>Boness Road (0.2 km</w:t>
            </w:r>
            <w:r w:rsidRPr="00FB249F">
              <w:rPr>
                <w:szCs w:val="18"/>
                <w:vertAlign w:val="superscript"/>
              </w:rPr>
              <w:t>2</w:t>
            </w:r>
            <w:r w:rsidRPr="00FB249F">
              <w:rPr>
                <w:szCs w:val="18"/>
              </w:rPr>
              <w:t>)</w:t>
            </w:r>
          </w:p>
        </w:tc>
      </w:tr>
      <w:tr w:rsidR="00890F1E" w:rsidRPr="00FB249F" w14:paraId="4FFA0F18" w14:textId="77777777" w:rsidTr="000C1D34">
        <w:tc>
          <w:tcPr>
            <w:tcW w:w="1531" w:type="dxa"/>
            <w:vMerge/>
            <w:shd w:val="clear" w:color="auto" w:fill="auto"/>
          </w:tcPr>
          <w:p w14:paraId="03AA8871" w14:textId="77777777" w:rsidR="00890F1E" w:rsidRPr="00FB249F" w:rsidRDefault="00890F1E" w:rsidP="00F23144">
            <w:pPr>
              <w:pStyle w:val="TableText"/>
            </w:pPr>
          </w:p>
        </w:tc>
        <w:tc>
          <w:tcPr>
            <w:tcW w:w="1928" w:type="dxa"/>
            <w:vMerge/>
          </w:tcPr>
          <w:p w14:paraId="4041013C" w14:textId="77777777" w:rsidR="00890F1E" w:rsidRPr="00FB249F" w:rsidRDefault="00890F1E" w:rsidP="00F23144">
            <w:pPr>
              <w:pStyle w:val="TableText"/>
            </w:pPr>
          </w:p>
        </w:tc>
        <w:tc>
          <w:tcPr>
            <w:tcW w:w="1758" w:type="dxa"/>
          </w:tcPr>
          <w:p w14:paraId="18D93EC1" w14:textId="77777777" w:rsidR="00890F1E" w:rsidRPr="00FB249F" w:rsidRDefault="00890F1E" w:rsidP="00F23144">
            <w:pPr>
              <w:pStyle w:val="TableText"/>
            </w:pPr>
            <w:r w:rsidRPr="00FB249F">
              <w:t>Mangapapa Stream</w:t>
            </w:r>
          </w:p>
        </w:tc>
        <w:tc>
          <w:tcPr>
            <w:tcW w:w="3119" w:type="dxa"/>
            <w:shd w:val="clear" w:color="auto" w:fill="auto"/>
          </w:tcPr>
          <w:p w14:paraId="6149316D" w14:textId="77777777" w:rsidR="00890F1E" w:rsidRPr="00FB249F" w:rsidRDefault="00890F1E" w:rsidP="00F23144">
            <w:pPr>
              <w:pStyle w:val="TableText"/>
              <w:rPr>
                <w:szCs w:val="18"/>
              </w:rPr>
            </w:pPr>
            <w:r w:rsidRPr="00FB249F">
              <w:rPr>
                <w:szCs w:val="18"/>
              </w:rPr>
              <w:t>Troup Road (</w:t>
            </w:r>
            <w:r w:rsidRPr="00FB249F">
              <w:rPr>
                <w:rFonts w:cs="Calibri"/>
                <w:color w:val="000000"/>
                <w:szCs w:val="18"/>
              </w:rPr>
              <w:t xml:space="preserve">125 </w:t>
            </w:r>
            <w:r w:rsidRPr="00FB249F">
              <w:rPr>
                <w:szCs w:val="18"/>
              </w:rPr>
              <w:t>km</w:t>
            </w:r>
            <w:r w:rsidRPr="00FB249F">
              <w:rPr>
                <w:szCs w:val="18"/>
                <w:vertAlign w:val="superscript"/>
              </w:rPr>
              <w:t>2</w:t>
            </w:r>
            <w:r w:rsidRPr="00FB249F">
              <w:rPr>
                <w:szCs w:val="18"/>
              </w:rPr>
              <w:t>)</w:t>
            </w:r>
          </w:p>
        </w:tc>
      </w:tr>
      <w:tr w:rsidR="00890F1E" w:rsidRPr="00FB249F" w14:paraId="6CC6DC44" w14:textId="77777777" w:rsidTr="000C1D34">
        <w:tc>
          <w:tcPr>
            <w:tcW w:w="1531" w:type="dxa"/>
            <w:vMerge/>
            <w:shd w:val="clear" w:color="auto" w:fill="auto"/>
          </w:tcPr>
          <w:p w14:paraId="4721E628" w14:textId="77777777" w:rsidR="00890F1E" w:rsidRPr="00FB249F" w:rsidRDefault="00890F1E" w:rsidP="00F23144">
            <w:pPr>
              <w:pStyle w:val="TableText"/>
            </w:pPr>
          </w:p>
        </w:tc>
        <w:tc>
          <w:tcPr>
            <w:tcW w:w="1928" w:type="dxa"/>
            <w:vMerge/>
          </w:tcPr>
          <w:p w14:paraId="7A876F95" w14:textId="77777777" w:rsidR="00890F1E" w:rsidRPr="00FB249F" w:rsidRDefault="00890F1E" w:rsidP="00F23144">
            <w:pPr>
              <w:pStyle w:val="TableText"/>
            </w:pPr>
          </w:p>
        </w:tc>
        <w:tc>
          <w:tcPr>
            <w:tcW w:w="1758" w:type="dxa"/>
          </w:tcPr>
          <w:p w14:paraId="38D0AC47" w14:textId="77777777" w:rsidR="00890F1E" w:rsidRPr="00FB249F" w:rsidRDefault="00890F1E" w:rsidP="00F23144">
            <w:pPr>
              <w:pStyle w:val="TableText"/>
            </w:pPr>
            <w:r w:rsidRPr="00FB249F">
              <w:t>Oruakeretaki Stream</w:t>
            </w:r>
          </w:p>
        </w:tc>
        <w:tc>
          <w:tcPr>
            <w:tcW w:w="3119" w:type="dxa"/>
            <w:shd w:val="clear" w:color="auto" w:fill="auto"/>
          </w:tcPr>
          <w:p w14:paraId="386DF117" w14:textId="77777777" w:rsidR="00890F1E" w:rsidRPr="00FB249F" w:rsidRDefault="00890F1E" w:rsidP="00F23144">
            <w:pPr>
              <w:pStyle w:val="TableText"/>
              <w:rPr>
                <w:szCs w:val="18"/>
              </w:rPr>
            </w:pPr>
            <w:r w:rsidRPr="00FB249F">
              <w:rPr>
                <w:szCs w:val="18"/>
              </w:rPr>
              <w:t>State Highway 2, Napier (</w:t>
            </w:r>
            <w:r w:rsidRPr="00FB249F">
              <w:rPr>
                <w:rFonts w:cs="Calibri"/>
                <w:color w:val="000000"/>
                <w:szCs w:val="18"/>
              </w:rPr>
              <w:t xml:space="preserve">55 </w:t>
            </w:r>
            <w:r w:rsidRPr="00FB249F">
              <w:rPr>
                <w:szCs w:val="18"/>
              </w:rPr>
              <w:t>km</w:t>
            </w:r>
            <w:r w:rsidRPr="00FB249F">
              <w:rPr>
                <w:szCs w:val="18"/>
                <w:vertAlign w:val="superscript"/>
              </w:rPr>
              <w:t>2</w:t>
            </w:r>
            <w:r w:rsidRPr="00FB249F">
              <w:rPr>
                <w:szCs w:val="18"/>
              </w:rPr>
              <w:t>)</w:t>
            </w:r>
          </w:p>
        </w:tc>
      </w:tr>
      <w:tr w:rsidR="00890F1E" w:rsidRPr="00FB249F" w14:paraId="069CC7AA" w14:textId="77777777" w:rsidTr="000C1D34">
        <w:tc>
          <w:tcPr>
            <w:tcW w:w="1531" w:type="dxa"/>
          </w:tcPr>
          <w:p w14:paraId="23FCFF89" w14:textId="0A23BD9F" w:rsidR="00890F1E" w:rsidRPr="00FB249F" w:rsidRDefault="00890F1E" w:rsidP="00F23144">
            <w:pPr>
              <w:pStyle w:val="TableText"/>
            </w:pPr>
            <w:r w:rsidRPr="00FB249F">
              <w:t>Ohau River</w:t>
            </w:r>
            <w:r w:rsidRPr="00FB249F">
              <w:rPr>
                <w:vertAlign w:val="superscript"/>
              </w:rPr>
              <w:t xml:space="preserve">1 </w:t>
            </w:r>
            <w:r w:rsidR="007D5701" w:rsidRPr="00FB249F">
              <w:rPr>
                <w:vertAlign w:val="superscript"/>
              </w:rPr>
              <w:br/>
            </w:r>
            <w:r w:rsidRPr="00FB249F">
              <w:t>(185 km</w:t>
            </w:r>
            <w:r w:rsidRPr="00FB249F">
              <w:rPr>
                <w:vertAlign w:val="superscript"/>
              </w:rPr>
              <w:t>2</w:t>
            </w:r>
            <w:r w:rsidRPr="00FB249F">
              <w:t>)</w:t>
            </w:r>
          </w:p>
        </w:tc>
        <w:tc>
          <w:tcPr>
            <w:tcW w:w="1928" w:type="dxa"/>
          </w:tcPr>
          <w:p w14:paraId="3BE3F4B9" w14:textId="77777777" w:rsidR="00890F1E" w:rsidRPr="00FB249F" w:rsidRDefault="00890F1E" w:rsidP="00F23144">
            <w:pPr>
              <w:pStyle w:val="TableText"/>
            </w:pPr>
            <w:r w:rsidRPr="00FB249F">
              <w:t>Levin</w:t>
            </w:r>
          </w:p>
        </w:tc>
        <w:tc>
          <w:tcPr>
            <w:tcW w:w="1758" w:type="dxa"/>
          </w:tcPr>
          <w:p w14:paraId="333041C3" w14:textId="77777777" w:rsidR="00890F1E" w:rsidRPr="00FB249F" w:rsidRDefault="00890F1E" w:rsidP="00F23144">
            <w:pPr>
              <w:pStyle w:val="TableText"/>
            </w:pPr>
            <w:r w:rsidRPr="00FB249F">
              <w:t>Ohau River</w:t>
            </w:r>
          </w:p>
        </w:tc>
        <w:tc>
          <w:tcPr>
            <w:tcW w:w="3119" w:type="dxa"/>
          </w:tcPr>
          <w:p w14:paraId="5D57A689" w14:textId="77777777" w:rsidR="00890F1E" w:rsidRPr="00FB249F" w:rsidRDefault="00890F1E" w:rsidP="00F23144">
            <w:pPr>
              <w:pStyle w:val="TableText"/>
              <w:rPr>
                <w:szCs w:val="18"/>
              </w:rPr>
            </w:pPr>
            <w:r w:rsidRPr="00FB249F">
              <w:rPr>
                <w:szCs w:val="18"/>
              </w:rPr>
              <w:t>Rongomatane (</w:t>
            </w:r>
            <w:r w:rsidRPr="00FB249F">
              <w:rPr>
                <w:rFonts w:cs="Calibri"/>
                <w:color w:val="000000"/>
                <w:szCs w:val="18"/>
              </w:rPr>
              <w:t xml:space="preserve">105 </w:t>
            </w:r>
            <w:r w:rsidRPr="00FB249F">
              <w:rPr>
                <w:szCs w:val="18"/>
              </w:rPr>
              <w:t>km</w:t>
            </w:r>
            <w:r w:rsidRPr="00FB249F">
              <w:rPr>
                <w:szCs w:val="18"/>
                <w:vertAlign w:val="superscript"/>
              </w:rPr>
              <w:t>2</w:t>
            </w:r>
            <w:r w:rsidRPr="00FB249F">
              <w:rPr>
                <w:szCs w:val="18"/>
              </w:rPr>
              <w:t>)</w:t>
            </w:r>
          </w:p>
        </w:tc>
      </w:tr>
      <w:tr w:rsidR="00890F1E" w:rsidRPr="00FB249F" w14:paraId="4DA2FD65" w14:textId="77777777" w:rsidTr="000C1D34">
        <w:tc>
          <w:tcPr>
            <w:tcW w:w="1531" w:type="dxa"/>
            <w:vMerge w:val="restart"/>
          </w:tcPr>
          <w:p w14:paraId="47A47BD4" w14:textId="77777777" w:rsidR="00890F1E" w:rsidRPr="00FB249F" w:rsidRDefault="00890F1E" w:rsidP="00F23144">
            <w:pPr>
              <w:pStyle w:val="TableText"/>
            </w:pPr>
            <w:r w:rsidRPr="00FB249F">
              <w:t xml:space="preserve">Rangitīkei River </w:t>
            </w:r>
            <w:r w:rsidRPr="00FB249F">
              <w:br/>
              <w:t>(3,930 km</w:t>
            </w:r>
            <w:r w:rsidRPr="00FB249F">
              <w:rPr>
                <w:vertAlign w:val="superscript"/>
              </w:rPr>
              <w:t>2</w:t>
            </w:r>
            <w:r w:rsidRPr="00FB249F">
              <w:t>)</w:t>
            </w:r>
          </w:p>
        </w:tc>
        <w:tc>
          <w:tcPr>
            <w:tcW w:w="1928" w:type="dxa"/>
            <w:vMerge w:val="restart"/>
          </w:tcPr>
          <w:p w14:paraId="0C2F6144" w14:textId="34AF45B8" w:rsidR="00890F1E" w:rsidRPr="00FB249F" w:rsidRDefault="00890F1E" w:rsidP="00F23144">
            <w:pPr>
              <w:pStyle w:val="TableText"/>
            </w:pPr>
            <w:r w:rsidRPr="00FB249F">
              <w:t>Bulls</w:t>
            </w:r>
            <w:r w:rsidR="00EE2E09">
              <w:t>/Taihape</w:t>
            </w:r>
          </w:p>
        </w:tc>
        <w:tc>
          <w:tcPr>
            <w:tcW w:w="1758" w:type="dxa"/>
          </w:tcPr>
          <w:p w14:paraId="10B31ABD" w14:textId="77777777" w:rsidR="00890F1E" w:rsidRPr="00FB249F" w:rsidRDefault="00890F1E" w:rsidP="00F23144">
            <w:pPr>
              <w:pStyle w:val="TableText"/>
            </w:pPr>
            <w:r w:rsidRPr="00FB249F">
              <w:t>Hautapu River</w:t>
            </w:r>
          </w:p>
        </w:tc>
        <w:tc>
          <w:tcPr>
            <w:tcW w:w="3119" w:type="dxa"/>
          </w:tcPr>
          <w:p w14:paraId="42157E81" w14:textId="77777777" w:rsidR="00890F1E" w:rsidRPr="00FB249F" w:rsidRDefault="00890F1E" w:rsidP="00F23144">
            <w:pPr>
              <w:pStyle w:val="TableText"/>
              <w:rPr>
                <w:szCs w:val="18"/>
              </w:rPr>
            </w:pPr>
            <w:r w:rsidRPr="00FB249F">
              <w:rPr>
                <w:szCs w:val="18"/>
              </w:rPr>
              <w:t>Alabasters (</w:t>
            </w:r>
            <w:r w:rsidRPr="00FB249F">
              <w:rPr>
                <w:rFonts w:cs="Calibri"/>
                <w:color w:val="000000"/>
                <w:szCs w:val="18"/>
              </w:rPr>
              <w:t xml:space="preserve">275 </w:t>
            </w:r>
            <w:r w:rsidRPr="00FB249F">
              <w:rPr>
                <w:szCs w:val="18"/>
              </w:rPr>
              <w:t>km</w:t>
            </w:r>
            <w:r w:rsidRPr="00FB249F">
              <w:rPr>
                <w:szCs w:val="18"/>
                <w:vertAlign w:val="superscript"/>
              </w:rPr>
              <w:t>2</w:t>
            </w:r>
            <w:r w:rsidRPr="00FB249F">
              <w:rPr>
                <w:szCs w:val="18"/>
              </w:rPr>
              <w:t>)</w:t>
            </w:r>
          </w:p>
        </w:tc>
      </w:tr>
      <w:tr w:rsidR="00890F1E" w:rsidRPr="00FB249F" w14:paraId="3F543CFB" w14:textId="77777777" w:rsidTr="000C1D34">
        <w:tc>
          <w:tcPr>
            <w:tcW w:w="1531" w:type="dxa"/>
            <w:vMerge/>
          </w:tcPr>
          <w:p w14:paraId="00DFE011" w14:textId="77777777" w:rsidR="00890F1E" w:rsidRPr="00FB249F" w:rsidRDefault="00890F1E" w:rsidP="00F23144">
            <w:pPr>
              <w:pStyle w:val="TableText"/>
            </w:pPr>
          </w:p>
        </w:tc>
        <w:tc>
          <w:tcPr>
            <w:tcW w:w="1928" w:type="dxa"/>
            <w:vMerge/>
          </w:tcPr>
          <w:p w14:paraId="27A38D85" w14:textId="77777777" w:rsidR="00890F1E" w:rsidRPr="00FB249F" w:rsidRDefault="00890F1E" w:rsidP="00F23144">
            <w:pPr>
              <w:pStyle w:val="TableText"/>
            </w:pPr>
          </w:p>
        </w:tc>
        <w:tc>
          <w:tcPr>
            <w:tcW w:w="1758" w:type="dxa"/>
            <w:vMerge w:val="restart"/>
          </w:tcPr>
          <w:p w14:paraId="4878FAA3" w14:textId="77777777" w:rsidR="00890F1E" w:rsidRPr="00FB249F" w:rsidRDefault="00890F1E" w:rsidP="00F23144">
            <w:pPr>
              <w:pStyle w:val="TableText"/>
            </w:pPr>
            <w:r w:rsidRPr="00FB249F">
              <w:t>Rangitīkei River</w:t>
            </w:r>
          </w:p>
        </w:tc>
        <w:tc>
          <w:tcPr>
            <w:tcW w:w="3119" w:type="dxa"/>
          </w:tcPr>
          <w:p w14:paraId="643423F4" w14:textId="77777777" w:rsidR="00890F1E" w:rsidRPr="00FB249F" w:rsidRDefault="00890F1E" w:rsidP="00F23144">
            <w:pPr>
              <w:pStyle w:val="TableText"/>
              <w:rPr>
                <w:szCs w:val="18"/>
              </w:rPr>
            </w:pPr>
            <w:r w:rsidRPr="00FB249F">
              <w:rPr>
                <w:szCs w:val="18"/>
              </w:rPr>
              <w:t>McKelvies (</w:t>
            </w:r>
            <w:r w:rsidRPr="00FB249F">
              <w:rPr>
                <w:rFonts w:cs="Calibri"/>
                <w:color w:val="000000"/>
                <w:szCs w:val="18"/>
              </w:rPr>
              <w:t xml:space="preserve">3,850 </w:t>
            </w:r>
            <w:r w:rsidRPr="00FB249F">
              <w:rPr>
                <w:szCs w:val="18"/>
              </w:rPr>
              <w:t>km</w:t>
            </w:r>
            <w:r w:rsidRPr="00FB249F">
              <w:rPr>
                <w:szCs w:val="18"/>
                <w:vertAlign w:val="superscript"/>
              </w:rPr>
              <w:t>2</w:t>
            </w:r>
            <w:r w:rsidRPr="00FB249F">
              <w:rPr>
                <w:szCs w:val="18"/>
              </w:rPr>
              <w:t>)</w:t>
            </w:r>
          </w:p>
        </w:tc>
      </w:tr>
      <w:tr w:rsidR="00890F1E" w:rsidRPr="00FB249F" w14:paraId="0E09328B" w14:textId="77777777" w:rsidTr="000C1D34">
        <w:tc>
          <w:tcPr>
            <w:tcW w:w="1531" w:type="dxa"/>
            <w:vMerge/>
          </w:tcPr>
          <w:p w14:paraId="1DB42DE5" w14:textId="77777777" w:rsidR="00890F1E" w:rsidRPr="00FB249F" w:rsidRDefault="00890F1E" w:rsidP="00F23144">
            <w:pPr>
              <w:pStyle w:val="TableText"/>
            </w:pPr>
          </w:p>
        </w:tc>
        <w:tc>
          <w:tcPr>
            <w:tcW w:w="1928" w:type="dxa"/>
            <w:vMerge/>
          </w:tcPr>
          <w:p w14:paraId="24517353" w14:textId="77777777" w:rsidR="00890F1E" w:rsidRPr="00FB249F" w:rsidRDefault="00890F1E" w:rsidP="00F23144">
            <w:pPr>
              <w:pStyle w:val="TableText"/>
            </w:pPr>
          </w:p>
        </w:tc>
        <w:tc>
          <w:tcPr>
            <w:tcW w:w="1758" w:type="dxa"/>
            <w:vMerge/>
          </w:tcPr>
          <w:p w14:paraId="63C1F56A" w14:textId="77777777" w:rsidR="00890F1E" w:rsidRPr="00FB249F" w:rsidRDefault="00890F1E" w:rsidP="00F23144">
            <w:pPr>
              <w:pStyle w:val="TableText"/>
            </w:pPr>
          </w:p>
        </w:tc>
        <w:tc>
          <w:tcPr>
            <w:tcW w:w="3119" w:type="dxa"/>
          </w:tcPr>
          <w:p w14:paraId="22F0E18A" w14:textId="77777777" w:rsidR="00890F1E" w:rsidRPr="00FB249F" w:rsidRDefault="00890F1E" w:rsidP="00F23144">
            <w:pPr>
              <w:pStyle w:val="TableText"/>
              <w:rPr>
                <w:szCs w:val="18"/>
              </w:rPr>
            </w:pPr>
            <w:r w:rsidRPr="00FB249F">
              <w:rPr>
                <w:szCs w:val="18"/>
              </w:rPr>
              <w:t>Pukeokahu (</w:t>
            </w:r>
            <w:r w:rsidRPr="00FB249F">
              <w:rPr>
                <w:rFonts w:cs="Calibri"/>
                <w:color w:val="000000"/>
                <w:szCs w:val="18"/>
              </w:rPr>
              <w:t xml:space="preserve">770 </w:t>
            </w:r>
            <w:r w:rsidRPr="00FB249F">
              <w:rPr>
                <w:szCs w:val="18"/>
              </w:rPr>
              <w:t>km</w:t>
            </w:r>
            <w:r w:rsidRPr="00FB249F">
              <w:rPr>
                <w:szCs w:val="18"/>
                <w:vertAlign w:val="superscript"/>
              </w:rPr>
              <w:t>2</w:t>
            </w:r>
            <w:r w:rsidRPr="00FB249F">
              <w:rPr>
                <w:szCs w:val="18"/>
              </w:rPr>
              <w:t>)</w:t>
            </w:r>
          </w:p>
        </w:tc>
      </w:tr>
      <w:tr w:rsidR="00890F1E" w:rsidRPr="00FB249F" w14:paraId="3291608A" w14:textId="77777777" w:rsidTr="000C1D34">
        <w:tc>
          <w:tcPr>
            <w:tcW w:w="1531" w:type="dxa"/>
            <w:vMerge w:val="restart"/>
          </w:tcPr>
          <w:p w14:paraId="11E4B5F2" w14:textId="77777777" w:rsidR="00890F1E" w:rsidRPr="00FB249F" w:rsidRDefault="00890F1E" w:rsidP="00F23144">
            <w:pPr>
              <w:pStyle w:val="TableText"/>
            </w:pPr>
            <w:r w:rsidRPr="00FB249F">
              <w:t>Whangaehu River</w:t>
            </w:r>
            <w:r w:rsidRPr="00FB249F">
              <w:rPr>
                <w:vertAlign w:val="superscript"/>
              </w:rPr>
              <w:t xml:space="preserve">2 </w:t>
            </w:r>
            <w:r w:rsidRPr="00FB249F">
              <w:t>(1,990 km</w:t>
            </w:r>
            <w:r w:rsidRPr="00FB249F">
              <w:rPr>
                <w:vertAlign w:val="superscript"/>
              </w:rPr>
              <w:t>2</w:t>
            </w:r>
            <w:r w:rsidRPr="00FB249F">
              <w:t>)</w:t>
            </w:r>
          </w:p>
        </w:tc>
        <w:tc>
          <w:tcPr>
            <w:tcW w:w="1928" w:type="dxa"/>
            <w:vMerge w:val="restart"/>
          </w:tcPr>
          <w:p w14:paraId="0E24C847" w14:textId="604ADF22" w:rsidR="00890F1E" w:rsidRPr="00FB249F" w:rsidRDefault="00890F1E" w:rsidP="00F23144">
            <w:pPr>
              <w:pStyle w:val="TableText"/>
            </w:pPr>
            <w:r w:rsidRPr="00FB249F">
              <w:t>Waiouru/Mangamahu/</w:t>
            </w:r>
            <w:r w:rsidR="0088631E">
              <w:t xml:space="preserve"> </w:t>
            </w:r>
            <w:r w:rsidRPr="00FB249F">
              <w:t>Whangaehu</w:t>
            </w:r>
          </w:p>
        </w:tc>
        <w:tc>
          <w:tcPr>
            <w:tcW w:w="1758" w:type="dxa"/>
          </w:tcPr>
          <w:p w14:paraId="34240A95" w14:textId="77777777" w:rsidR="00890F1E" w:rsidRPr="00FB249F" w:rsidRDefault="00890F1E" w:rsidP="00F23144">
            <w:pPr>
              <w:pStyle w:val="TableText"/>
            </w:pPr>
            <w:r w:rsidRPr="00FB249F">
              <w:t>Makotuku River</w:t>
            </w:r>
          </w:p>
        </w:tc>
        <w:tc>
          <w:tcPr>
            <w:tcW w:w="3119" w:type="dxa"/>
          </w:tcPr>
          <w:p w14:paraId="65B6D835" w14:textId="77777777" w:rsidR="00890F1E" w:rsidRPr="00FB249F" w:rsidRDefault="00890F1E" w:rsidP="00F23144">
            <w:pPr>
              <w:pStyle w:val="TableText"/>
              <w:rPr>
                <w:szCs w:val="18"/>
              </w:rPr>
            </w:pPr>
            <w:r w:rsidRPr="00FB249F">
              <w:rPr>
                <w:szCs w:val="18"/>
              </w:rPr>
              <w:t>Raetihi (</w:t>
            </w:r>
            <w:r w:rsidRPr="00FB249F">
              <w:rPr>
                <w:rFonts w:cs="Calibri"/>
                <w:color w:val="000000"/>
                <w:szCs w:val="18"/>
              </w:rPr>
              <w:t xml:space="preserve">55 </w:t>
            </w:r>
            <w:r w:rsidRPr="00FB249F">
              <w:rPr>
                <w:szCs w:val="18"/>
              </w:rPr>
              <w:t>km</w:t>
            </w:r>
            <w:r w:rsidRPr="00FB249F">
              <w:rPr>
                <w:szCs w:val="18"/>
                <w:vertAlign w:val="superscript"/>
              </w:rPr>
              <w:t>2</w:t>
            </w:r>
            <w:r w:rsidRPr="00FB249F">
              <w:rPr>
                <w:szCs w:val="18"/>
              </w:rPr>
              <w:t>)</w:t>
            </w:r>
          </w:p>
        </w:tc>
      </w:tr>
      <w:tr w:rsidR="00890F1E" w:rsidRPr="00FB249F" w14:paraId="32696875" w14:textId="77777777" w:rsidTr="000C1D34">
        <w:tc>
          <w:tcPr>
            <w:tcW w:w="1531" w:type="dxa"/>
            <w:vMerge/>
          </w:tcPr>
          <w:p w14:paraId="0E316E92" w14:textId="77777777" w:rsidR="00890F1E" w:rsidRPr="00FB249F" w:rsidRDefault="00890F1E" w:rsidP="00F23144">
            <w:pPr>
              <w:pStyle w:val="TableText"/>
            </w:pPr>
          </w:p>
        </w:tc>
        <w:tc>
          <w:tcPr>
            <w:tcW w:w="1928" w:type="dxa"/>
            <w:vMerge/>
          </w:tcPr>
          <w:p w14:paraId="196B81C0" w14:textId="77777777" w:rsidR="00890F1E" w:rsidRPr="00FB249F" w:rsidRDefault="00890F1E" w:rsidP="00F23144">
            <w:pPr>
              <w:pStyle w:val="TableText"/>
            </w:pPr>
          </w:p>
        </w:tc>
        <w:tc>
          <w:tcPr>
            <w:tcW w:w="1758" w:type="dxa"/>
            <w:vMerge w:val="restart"/>
          </w:tcPr>
          <w:p w14:paraId="4C5D6AC1" w14:textId="77777777" w:rsidR="00890F1E" w:rsidRPr="00FB249F" w:rsidRDefault="00890F1E" w:rsidP="00F23144">
            <w:pPr>
              <w:pStyle w:val="TableText"/>
            </w:pPr>
            <w:r w:rsidRPr="00FB249F">
              <w:t>Mangawhero River</w:t>
            </w:r>
          </w:p>
        </w:tc>
        <w:tc>
          <w:tcPr>
            <w:tcW w:w="3119" w:type="dxa"/>
          </w:tcPr>
          <w:p w14:paraId="36D55D4F" w14:textId="77777777" w:rsidR="00890F1E" w:rsidRPr="00FB249F" w:rsidRDefault="00890F1E" w:rsidP="00F23144">
            <w:pPr>
              <w:pStyle w:val="TableText"/>
              <w:rPr>
                <w:szCs w:val="18"/>
              </w:rPr>
            </w:pPr>
            <w:r w:rsidRPr="00FB249F">
              <w:rPr>
                <w:szCs w:val="18"/>
              </w:rPr>
              <w:t>Ore Ore (</w:t>
            </w:r>
            <w:r w:rsidRPr="00FB249F">
              <w:rPr>
                <w:rFonts w:cs="Calibri"/>
                <w:color w:val="000000"/>
                <w:szCs w:val="18"/>
              </w:rPr>
              <w:t xml:space="preserve">670 </w:t>
            </w:r>
            <w:r w:rsidRPr="00FB249F">
              <w:rPr>
                <w:szCs w:val="18"/>
              </w:rPr>
              <w:t>km</w:t>
            </w:r>
            <w:r w:rsidRPr="00FB249F">
              <w:rPr>
                <w:szCs w:val="18"/>
                <w:vertAlign w:val="superscript"/>
              </w:rPr>
              <w:t>2</w:t>
            </w:r>
            <w:r w:rsidRPr="00FB249F">
              <w:rPr>
                <w:szCs w:val="18"/>
              </w:rPr>
              <w:t>)</w:t>
            </w:r>
          </w:p>
        </w:tc>
      </w:tr>
      <w:tr w:rsidR="00890F1E" w:rsidRPr="00FB249F" w14:paraId="28FB3B2C" w14:textId="77777777" w:rsidTr="000C1D34">
        <w:tc>
          <w:tcPr>
            <w:tcW w:w="1531" w:type="dxa"/>
            <w:vMerge/>
          </w:tcPr>
          <w:p w14:paraId="10D9124B" w14:textId="77777777" w:rsidR="00890F1E" w:rsidRPr="00FB249F" w:rsidRDefault="00890F1E" w:rsidP="00F23144">
            <w:pPr>
              <w:pStyle w:val="TableText"/>
            </w:pPr>
          </w:p>
        </w:tc>
        <w:tc>
          <w:tcPr>
            <w:tcW w:w="1928" w:type="dxa"/>
            <w:vMerge/>
          </w:tcPr>
          <w:p w14:paraId="729F8D27" w14:textId="77777777" w:rsidR="00890F1E" w:rsidRPr="00FB249F" w:rsidRDefault="00890F1E" w:rsidP="00F23144">
            <w:pPr>
              <w:pStyle w:val="TableText"/>
            </w:pPr>
          </w:p>
        </w:tc>
        <w:tc>
          <w:tcPr>
            <w:tcW w:w="1758" w:type="dxa"/>
            <w:vMerge/>
          </w:tcPr>
          <w:p w14:paraId="6DF6FD10" w14:textId="77777777" w:rsidR="00890F1E" w:rsidRPr="00FB249F" w:rsidRDefault="00890F1E" w:rsidP="00F23144">
            <w:pPr>
              <w:pStyle w:val="TableText"/>
            </w:pPr>
          </w:p>
        </w:tc>
        <w:tc>
          <w:tcPr>
            <w:tcW w:w="3119" w:type="dxa"/>
          </w:tcPr>
          <w:p w14:paraId="37573E3B" w14:textId="77777777" w:rsidR="00890F1E" w:rsidRPr="00FB249F" w:rsidRDefault="00890F1E" w:rsidP="00F23144">
            <w:pPr>
              <w:pStyle w:val="TableText"/>
              <w:rPr>
                <w:szCs w:val="18"/>
              </w:rPr>
            </w:pPr>
            <w:r w:rsidRPr="00FB249F">
              <w:rPr>
                <w:szCs w:val="18"/>
              </w:rPr>
              <w:t>Pakihi Road Bridge (</w:t>
            </w:r>
            <w:r w:rsidRPr="00FB249F">
              <w:rPr>
                <w:rFonts w:cs="Calibri"/>
                <w:color w:val="000000"/>
                <w:szCs w:val="18"/>
              </w:rPr>
              <w:t xml:space="preserve">140 </w:t>
            </w:r>
            <w:r w:rsidRPr="00FB249F">
              <w:rPr>
                <w:szCs w:val="18"/>
              </w:rPr>
              <w:t>km</w:t>
            </w:r>
            <w:r w:rsidRPr="00FB249F">
              <w:rPr>
                <w:szCs w:val="18"/>
                <w:vertAlign w:val="superscript"/>
              </w:rPr>
              <w:t>2</w:t>
            </w:r>
            <w:r w:rsidRPr="00FB249F">
              <w:rPr>
                <w:szCs w:val="18"/>
              </w:rPr>
              <w:t>)</w:t>
            </w:r>
          </w:p>
        </w:tc>
      </w:tr>
      <w:tr w:rsidR="00890F1E" w:rsidRPr="00FB249F" w14:paraId="56DF1FF1" w14:textId="77777777" w:rsidTr="000C1D34">
        <w:tc>
          <w:tcPr>
            <w:tcW w:w="1531" w:type="dxa"/>
            <w:vMerge/>
          </w:tcPr>
          <w:p w14:paraId="4919C360" w14:textId="77777777" w:rsidR="00890F1E" w:rsidRPr="00FB249F" w:rsidRDefault="00890F1E" w:rsidP="00F23144">
            <w:pPr>
              <w:pStyle w:val="TableText"/>
            </w:pPr>
          </w:p>
        </w:tc>
        <w:tc>
          <w:tcPr>
            <w:tcW w:w="1928" w:type="dxa"/>
            <w:vMerge/>
          </w:tcPr>
          <w:p w14:paraId="7C692325" w14:textId="77777777" w:rsidR="00890F1E" w:rsidRPr="00FB249F" w:rsidRDefault="00890F1E" w:rsidP="00F23144">
            <w:pPr>
              <w:pStyle w:val="TableText"/>
            </w:pPr>
          </w:p>
        </w:tc>
        <w:tc>
          <w:tcPr>
            <w:tcW w:w="1758" w:type="dxa"/>
            <w:vMerge w:val="restart"/>
          </w:tcPr>
          <w:p w14:paraId="68764A82" w14:textId="77777777" w:rsidR="00890F1E" w:rsidRPr="00FB249F" w:rsidRDefault="00890F1E" w:rsidP="00F23144">
            <w:pPr>
              <w:pStyle w:val="TableText"/>
            </w:pPr>
            <w:r w:rsidRPr="00FB249F">
              <w:t>Whangaehu River</w:t>
            </w:r>
          </w:p>
        </w:tc>
        <w:tc>
          <w:tcPr>
            <w:tcW w:w="3119" w:type="dxa"/>
          </w:tcPr>
          <w:p w14:paraId="1D155809" w14:textId="77777777" w:rsidR="00890F1E" w:rsidRPr="00FB249F" w:rsidRDefault="00890F1E" w:rsidP="00F23144">
            <w:pPr>
              <w:pStyle w:val="TableText"/>
              <w:rPr>
                <w:szCs w:val="18"/>
              </w:rPr>
            </w:pPr>
            <w:r w:rsidRPr="00FB249F">
              <w:rPr>
                <w:szCs w:val="18"/>
              </w:rPr>
              <w:t>Aranui (</w:t>
            </w:r>
            <w:r w:rsidRPr="00FB249F">
              <w:rPr>
                <w:rFonts w:cs="Calibri"/>
                <w:color w:val="000000"/>
                <w:szCs w:val="18"/>
              </w:rPr>
              <w:t xml:space="preserve">790 </w:t>
            </w:r>
            <w:r w:rsidRPr="00FB249F">
              <w:rPr>
                <w:szCs w:val="18"/>
              </w:rPr>
              <w:t>km</w:t>
            </w:r>
            <w:r w:rsidRPr="00FB249F">
              <w:rPr>
                <w:szCs w:val="18"/>
                <w:vertAlign w:val="superscript"/>
              </w:rPr>
              <w:t>2</w:t>
            </w:r>
            <w:r w:rsidRPr="00FB249F">
              <w:rPr>
                <w:szCs w:val="18"/>
              </w:rPr>
              <w:t>)</w:t>
            </w:r>
          </w:p>
        </w:tc>
      </w:tr>
      <w:tr w:rsidR="00890F1E" w:rsidRPr="00FB249F" w14:paraId="73227CDD" w14:textId="77777777" w:rsidTr="000C1D34">
        <w:tc>
          <w:tcPr>
            <w:tcW w:w="1531" w:type="dxa"/>
            <w:vMerge/>
          </w:tcPr>
          <w:p w14:paraId="48D9561D" w14:textId="77777777" w:rsidR="00890F1E" w:rsidRPr="00FB249F" w:rsidRDefault="00890F1E" w:rsidP="00F23144">
            <w:pPr>
              <w:pStyle w:val="TableText"/>
            </w:pPr>
          </w:p>
        </w:tc>
        <w:tc>
          <w:tcPr>
            <w:tcW w:w="1928" w:type="dxa"/>
            <w:vMerge/>
          </w:tcPr>
          <w:p w14:paraId="54C97026" w14:textId="77777777" w:rsidR="00890F1E" w:rsidRPr="00FB249F" w:rsidRDefault="00890F1E" w:rsidP="00F23144">
            <w:pPr>
              <w:pStyle w:val="TableText"/>
            </w:pPr>
          </w:p>
        </w:tc>
        <w:tc>
          <w:tcPr>
            <w:tcW w:w="1758" w:type="dxa"/>
            <w:vMerge/>
          </w:tcPr>
          <w:p w14:paraId="4EE044EF" w14:textId="77777777" w:rsidR="00890F1E" w:rsidRPr="00FB249F" w:rsidRDefault="00890F1E" w:rsidP="00F23144">
            <w:pPr>
              <w:pStyle w:val="TableText"/>
            </w:pPr>
          </w:p>
        </w:tc>
        <w:tc>
          <w:tcPr>
            <w:tcW w:w="3119" w:type="dxa"/>
          </w:tcPr>
          <w:p w14:paraId="0CC16A95" w14:textId="77777777" w:rsidR="00890F1E" w:rsidRPr="00FB249F" w:rsidRDefault="00890F1E" w:rsidP="00F23144">
            <w:pPr>
              <w:pStyle w:val="TableText"/>
              <w:rPr>
                <w:szCs w:val="18"/>
              </w:rPr>
            </w:pPr>
            <w:r w:rsidRPr="00FB249F">
              <w:rPr>
                <w:szCs w:val="18"/>
              </w:rPr>
              <w:t>Kauangaroa (</w:t>
            </w:r>
            <w:r w:rsidRPr="00FB249F">
              <w:rPr>
                <w:rFonts w:cs="Calibri"/>
                <w:color w:val="000000"/>
                <w:szCs w:val="18"/>
              </w:rPr>
              <w:t xml:space="preserve">1,895 </w:t>
            </w:r>
            <w:r w:rsidRPr="00FB249F">
              <w:rPr>
                <w:szCs w:val="18"/>
              </w:rPr>
              <w:t>km</w:t>
            </w:r>
            <w:r w:rsidRPr="00FB249F">
              <w:rPr>
                <w:szCs w:val="18"/>
                <w:vertAlign w:val="superscript"/>
              </w:rPr>
              <w:t>2</w:t>
            </w:r>
            <w:r w:rsidRPr="00FB249F">
              <w:rPr>
                <w:szCs w:val="18"/>
              </w:rPr>
              <w:t>)</w:t>
            </w:r>
          </w:p>
        </w:tc>
      </w:tr>
      <w:tr w:rsidR="00890F1E" w:rsidRPr="00FB249F" w14:paraId="1FD4BF68" w14:textId="77777777" w:rsidTr="000C1D34">
        <w:tc>
          <w:tcPr>
            <w:tcW w:w="1531" w:type="dxa"/>
            <w:vMerge w:val="restart"/>
          </w:tcPr>
          <w:p w14:paraId="0D1D26F8" w14:textId="77777777" w:rsidR="00890F1E" w:rsidRPr="00FB249F" w:rsidRDefault="00890F1E" w:rsidP="00F23144">
            <w:pPr>
              <w:pStyle w:val="TableText"/>
            </w:pPr>
            <w:r w:rsidRPr="00FB249F">
              <w:t>Whanganui River (7,135 km</w:t>
            </w:r>
            <w:r w:rsidRPr="00FB249F">
              <w:rPr>
                <w:vertAlign w:val="superscript"/>
              </w:rPr>
              <w:t>2</w:t>
            </w:r>
            <w:r w:rsidRPr="00FB249F">
              <w:t>)</w:t>
            </w:r>
          </w:p>
        </w:tc>
        <w:tc>
          <w:tcPr>
            <w:tcW w:w="1928" w:type="dxa"/>
            <w:vMerge w:val="restart"/>
          </w:tcPr>
          <w:p w14:paraId="326CB529" w14:textId="3E1B4318" w:rsidR="00890F1E" w:rsidRPr="00FB249F" w:rsidRDefault="00890F1E" w:rsidP="00F23144">
            <w:pPr>
              <w:pStyle w:val="TableText"/>
            </w:pPr>
            <w:r w:rsidRPr="00FB249F">
              <w:t>Taumarunui/</w:t>
            </w:r>
            <w:r w:rsidR="0088631E">
              <w:t xml:space="preserve"> </w:t>
            </w:r>
            <w:r w:rsidRPr="00FB249F">
              <w:t>Whanganui National Park/Whanganui</w:t>
            </w:r>
          </w:p>
        </w:tc>
        <w:tc>
          <w:tcPr>
            <w:tcW w:w="1758" w:type="dxa"/>
            <w:vMerge w:val="restart"/>
          </w:tcPr>
          <w:p w14:paraId="0F6EC129" w14:textId="77777777" w:rsidR="00890F1E" w:rsidRPr="00FB249F" w:rsidRDefault="00890F1E" w:rsidP="00F23144">
            <w:pPr>
              <w:pStyle w:val="TableText"/>
            </w:pPr>
            <w:r w:rsidRPr="00FB249F">
              <w:t>Whanganui River</w:t>
            </w:r>
          </w:p>
        </w:tc>
        <w:tc>
          <w:tcPr>
            <w:tcW w:w="3119" w:type="dxa"/>
          </w:tcPr>
          <w:p w14:paraId="26F4FE83" w14:textId="77777777" w:rsidR="00890F1E" w:rsidRPr="00FB249F" w:rsidRDefault="00890F1E" w:rsidP="00F23144">
            <w:pPr>
              <w:pStyle w:val="TableText"/>
              <w:rPr>
                <w:szCs w:val="18"/>
              </w:rPr>
            </w:pPr>
            <w:r w:rsidRPr="00FB249F">
              <w:rPr>
                <w:szCs w:val="18"/>
              </w:rPr>
              <w:t>Pipiriki (</w:t>
            </w:r>
            <w:r w:rsidRPr="00FB249F">
              <w:rPr>
                <w:rFonts w:cs="Calibri"/>
                <w:color w:val="000000"/>
                <w:szCs w:val="18"/>
              </w:rPr>
              <w:t xml:space="preserve">6,030 </w:t>
            </w:r>
            <w:r w:rsidRPr="00FB249F">
              <w:rPr>
                <w:szCs w:val="18"/>
              </w:rPr>
              <w:t>km</w:t>
            </w:r>
            <w:r w:rsidRPr="00FB249F">
              <w:rPr>
                <w:szCs w:val="18"/>
                <w:vertAlign w:val="superscript"/>
              </w:rPr>
              <w:t>2</w:t>
            </w:r>
            <w:r w:rsidRPr="00FB249F">
              <w:rPr>
                <w:szCs w:val="18"/>
              </w:rPr>
              <w:t>)</w:t>
            </w:r>
          </w:p>
        </w:tc>
      </w:tr>
      <w:tr w:rsidR="00890F1E" w:rsidRPr="00FB249F" w14:paraId="575AC15E" w14:textId="77777777" w:rsidTr="000C1D34">
        <w:tc>
          <w:tcPr>
            <w:tcW w:w="1531" w:type="dxa"/>
            <w:vMerge/>
          </w:tcPr>
          <w:p w14:paraId="3FBFCE20" w14:textId="77777777" w:rsidR="00890F1E" w:rsidRPr="00FB249F" w:rsidRDefault="00890F1E" w:rsidP="00F23144">
            <w:pPr>
              <w:pStyle w:val="TableText"/>
            </w:pPr>
          </w:p>
        </w:tc>
        <w:tc>
          <w:tcPr>
            <w:tcW w:w="1928" w:type="dxa"/>
            <w:vMerge/>
          </w:tcPr>
          <w:p w14:paraId="3C537732" w14:textId="77777777" w:rsidR="00890F1E" w:rsidRPr="00FB249F" w:rsidRDefault="00890F1E" w:rsidP="00F23144">
            <w:pPr>
              <w:pStyle w:val="TableText"/>
            </w:pPr>
          </w:p>
        </w:tc>
        <w:tc>
          <w:tcPr>
            <w:tcW w:w="1758" w:type="dxa"/>
            <w:vMerge/>
          </w:tcPr>
          <w:p w14:paraId="69107D46" w14:textId="77777777" w:rsidR="00890F1E" w:rsidRPr="00FB249F" w:rsidRDefault="00890F1E" w:rsidP="00F23144">
            <w:pPr>
              <w:pStyle w:val="TableText"/>
            </w:pPr>
          </w:p>
        </w:tc>
        <w:tc>
          <w:tcPr>
            <w:tcW w:w="3119" w:type="dxa"/>
          </w:tcPr>
          <w:p w14:paraId="38A2C48A" w14:textId="77777777" w:rsidR="00890F1E" w:rsidRPr="00FB249F" w:rsidRDefault="00890F1E" w:rsidP="00F23144">
            <w:pPr>
              <w:pStyle w:val="TableText"/>
              <w:rPr>
                <w:szCs w:val="18"/>
              </w:rPr>
            </w:pPr>
            <w:r w:rsidRPr="00FB249F">
              <w:rPr>
                <w:szCs w:val="18"/>
              </w:rPr>
              <w:t>Te Rewa (</w:t>
            </w:r>
            <w:r w:rsidRPr="00FB249F">
              <w:rPr>
                <w:rFonts w:cs="Calibri"/>
                <w:color w:val="000000"/>
                <w:szCs w:val="18"/>
              </w:rPr>
              <w:t xml:space="preserve">6,620 </w:t>
            </w:r>
            <w:r w:rsidRPr="00FB249F">
              <w:rPr>
                <w:szCs w:val="18"/>
              </w:rPr>
              <w:t>km</w:t>
            </w:r>
            <w:r w:rsidRPr="00FB249F">
              <w:rPr>
                <w:szCs w:val="18"/>
                <w:vertAlign w:val="superscript"/>
              </w:rPr>
              <w:t>2</w:t>
            </w:r>
            <w:r w:rsidRPr="00FB249F">
              <w:rPr>
                <w:szCs w:val="18"/>
              </w:rPr>
              <w:t>)</w:t>
            </w:r>
          </w:p>
        </w:tc>
      </w:tr>
      <w:tr w:rsidR="00890F1E" w:rsidRPr="00FB249F" w14:paraId="3767A7DD" w14:textId="77777777" w:rsidTr="000C1D34">
        <w:tc>
          <w:tcPr>
            <w:tcW w:w="1531" w:type="dxa"/>
          </w:tcPr>
          <w:p w14:paraId="4FB907D1" w14:textId="77777777" w:rsidR="00890F1E" w:rsidRPr="00FB249F" w:rsidRDefault="00890F1E" w:rsidP="00F23144">
            <w:pPr>
              <w:pStyle w:val="TableText"/>
            </w:pPr>
            <w:r w:rsidRPr="00FB249F">
              <w:t xml:space="preserve">Kai Iwi Stream </w:t>
            </w:r>
            <w:r w:rsidRPr="00FB249F">
              <w:br/>
              <w:t>(190 km</w:t>
            </w:r>
            <w:r w:rsidRPr="00FB249F">
              <w:rPr>
                <w:vertAlign w:val="superscript"/>
              </w:rPr>
              <w:t>2</w:t>
            </w:r>
            <w:r w:rsidRPr="00FB249F">
              <w:t>)</w:t>
            </w:r>
          </w:p>
        </w:tc>
        <w:tc>
          <w:tcPr>
            <w:tcW w:w="1928" w:type="dxa"/>
          </w:tcPr>
          <w:p w14:paraId="086DC082" w14:textId="77777777" w:rsidR="00890F1E" w:rsidRPr="00FB249F" w:rsidRDefault="00890F1E" w:rsidP="00F23144">
            <w:pPr>
              <w:pStyle w:val="TableText"/>
            </w:pPr>
            <w:r w:rsidRPr="00FB249F">
              <w:t>Whanganui</w:t>
            </w:r>
          </w:p>
        </w:tc>
        <w:tc>
          <w:tcPr>
            <w:tcW w:w="1758" w:type="dxa"/>
          </w:tcPr>
          <w:p w14:paraId="757EFE0F" w14:textId="77777777" w:rsidR="00890F1E" w:rsidRPr="00FB249F" w:rsidRDefault="00890F1E" w:rsidP="00F23144">
            <w:pPr>
              <w:pStyle w:val="TableText"/>
            </w:pPr>
            <w:r w:rsidRPr="00FB249F">
              <w:t>Kai Iwi Stream</w:t>
            </w:r>
          </w:p>
        </w:tc>
        <w:tc>
          <w:tcPr>
            <w:tcW w:w="3119" w:type="dxa"/>
          </w:tcPr>
          <w:p w14:paraId="23E5868D" w14:textId="77777777" w:rsidR="00890F1E" w:rsidRPr="00FB249F" w:rsidRDefault="00890F1E" w:rsidP="00F23144">
            <w:pPr>
              <w:pStyle w:val="TableText"/>
              <w:rPr>
                <w:szCs w:val="18"/>
              </w:rPr>
            </w:pPr>
            <w:r w:rsidRPr="00FB249F">
              <w:rPr>
                <w:szCs w:val="18"/>
              </w:rPr>
              <w:t>Handley Road (</w:t>
            </w:r>
            <w:r w:rsidRPr="00FB249F">
              <w:rPr>
                <w:rFonts w:cs="Calibri"/>
                <w:color w:val="000000"/>
                <w:szCs w:val="18"/>
              </w:rPr>
              <w:t xml:space="preserve">190 </w:t>
            </w:r>
            <w:r w:rsidRPr="00FB249F">
              <w:rPr>
                <w:szCs w:val="18"/>
              </w:rPr>
              <w:t>km</w:t>
            </w:r>
            <w:r w:rsidRPr="00FB249F">
              <w:rPr>
                <w:szCs w:val="18"/>
                <w:vertAlign w:val="superscript"/>
              </w:rPr>
              <w:t>2</w:t>
            </w:r>
            <w:r w:rsidRPr="00FB249F">
              <w:rPr>
                <w:szCs w:val="18"/>
              </w:rPr>
              <w:t>)</w:t>
            </w:r>
          </w:p>
        </w:tc>
      </w:tr>
      <w:tr w:rsidR="00890F1E" w:rsidRPr="00FB249F" w14:paraId="3AF70A51" w14:textId="77777777" w:rsidTr="000C1D34">
        <w:tc>
          <w:tcPr>
            <w:tcW w:w="1531" w:type="dxa"/>
          </w:tcPr>
          <w:p w14:paraId="1E9F9E8E" w14:textId="77777777" w:rsidR="00890F1E" w:rsidRPr="00FB249F" w:rsidRDefault="00890F1E" w:rsidP="00F23144">
            <w:pPr>
              <w:pStyle w:val="TableText"/>
            </w:pPr>
            <w:r w:rsidRPr="00FB249F">
              <w:t xml:space="preserve">Waikawa Stream </w:t>
            </w:r>
            <w:r w:rsidRPr="00FB249F">
              <w:br/>
              <w:t>(80 km</w:t>
            </w:r>
            <w:r w:rsidRPr="00FB249F">
              <w:rPr>
                <w:vertAlign w:val="superscript"/>
              </w:rPr>
              <w:t>2</w:t>
            </w:r>
            <w:r w:rsidRPr="00FB249F">
              <w:t>)</w:t>
            </w:r>
          </w:p>
        </w:tc>
        <w:tc>
          <w:tcPr>
            <w:tcW w:w="1928" w:type="dxa"/>
          </w:tcPr>
          <w:p w14:paraId="6C927C2F" w14:textId="77777777" w:rsidR="00890F1E" w:rsidRPr="00FB249F" w:rsidRDefault="00890F1E" w:rsidP="00F23144">
            <w:pPr>
              <w:pStyle w:val="TableText"/>
            </w:pPr>
            <w:r w:rsidRPr="00FB249F">
              <w:t>Manakau</w:t>
            </w:r>
          </w:p>
        </w:tc>
        <w:tc>
          <w:tcPr>
            <w:tcW w:w="1758" w:type="dxa"/>
          </w:tcPr>
          <w:p w14:paraId="4AB305AB" w14:textId="77777777" w:rsidR="00890F1E" w:rsidRPr="00FB249F" w:rsidRDefault="00890F1E" w:rsidP="00F23144">
            <w:pPr>
              <w:pStyle w:val="TableText"/>
            </w:pPr>
            <w:r w:rsidRPr="00FB249F">
              <w:t>Waikawa Stream</w:t>
            </w:r>
          </w:p>
        </w:tc>
        <w:tc>
          <w:tcPr>
            <w:tcW w:w="3119" w:type="dxa"/>
          </w:tcPr>
          <w:p w14:paraId="50ED4EDB" w14:textId="77777777" w:rsidR="00890F1E" w:rsidRPr="00FB249F" w:rsidRDefault="00890F1E" w:rsidP="00F23144">
            <w:pPr>
              <w:pStyle w:val="TableText"/>
              <w:rPr>
                <w:szCs w:val="18"/>
              </w:rPr>
            </w:pPr>
            <w:r w:rsidRPr="00FB249F">
              <w:rPr>
                <w:szCs w:val="18"/>
              </w:rPr>
              <w:t>North Manakau Road (</w:t>
            </w:r>
            <w:r w:rsidRPr="00FB249F">
              <w:rPr>
                <w:rFonts w:cs="Calibri"/>
                <w:color w:val="000000"/>
                <w:szCs w:val="18"/>
              </w:rPr>
              <w:t xml:space="preserve">30 </w:t>
            </w:r>
            <w:r w:rsidRPr="00FB249F">
              <w:rPr>
                <w:szCs w:val="18"/>
              </w:rPr>
              <w:t>km</w:t>
            </w:r>
            <w:r w:rsidRPr="00FB249F">
              <w:rPr>
                <w:szCs w:val="18"/>
                <w:vertAlign w:val="superscript"/>
              </w:rPr>
              <w:t>2</w:t>
            </w:r>
            <w:r w:rsidRPr="00FB249F">
              <w:rPr>
                <w:szCs w:val="18"/>
              </w:rPr>
              <w:t>)</w:t>
            </w:r>
          </w:p>
        </w:tc>
      </w:tr>
    </w:tbl>
    <w:p w14:paraId="0BB6769B" w14:textId="77777777" w:rsidR="00D3748C" w:rsidRDefault="00D3748C" w:rsidP="00890F1E">
      <w:pPr>
        <w:pStyle w:val="Note"/>
      </w:pPr>
    </w:p>
    <w:p w14:paraId="32538857" w14:textId="62059874" w:rsidR="00147566" w:rsidRDefault="00890F1E" w:rsidP="00890F1E">
      <w:pPr>
        <w:pStyle w:val="Note"/>
      </w:pPr>
      <w:r w:rsidRPr="00FB249F">
        <w:t>Note: Not all provided flow data included for Ohau and Whangaehu river catchments. Datasets for Haines Ford (Ohau River catchment) and Kiwitea Stream (Whangaehu River catchment) gauging sites did not meet inclusion criteria and were excluded from analysis.</w:t>
      </w:r>
    </w:p>
    <w:p w14:paraId="50201028" w14:textId="77777777" w:rsidR="00147566" w:rsidRDefault="00147566">
      <w:pPr>
        <w:spacing w:before="0" w:after="200" w:line="276" w:lineRule="auto"/>
        <w:jc w:val="left"/>
        <w:rPr>
          <w:sz w:val="18"/>
        </w:rPr>
      </w:pPr>
      <w:r>
        <w:br w:type="page"/>
      </w:r>
    </w:p>
    <w:p w14:paraId="13A93814" w14:textId="7918B781" w:rsidR="00147566" w:rsidRDefault="0016547D" w:rsidP="00147566">
      <w:pPr>
        <w:pStyle w:val="Figureheading"/>
        <w:spacing w:after="60"/>
        <w:rPr>
          <w:noProof/>
        </w:rPr>
      </w:pPr>
      <w:bookmarkStart w:id="64" w:name="_Toc88208553"/>
      <w:bookmarkStart w:id="65" w:name="_Toc90312413"/>
      <w:r w:rsidRPr="00FB249F">
        <w:lastRenderedPageBreak/>
        <w:t xml:space="preserve">Figure </w:t>
      </w:r>
      <w:r w:rsidR="00C75BBE" w:rsidRPr="00FB249F">
        <w:t>1</w:t>
      </w:r>
      <w:r w:rsidR="00C75BBE">
        <w:t>1</w:t>
      </w:r>
      <w:r w:rsidRPr="00FB249F">
        <w:t xml:space="preserve">: </w:t>
      </w:r>
      <w:r w:rsidRPr="00FB249F">
        <w:tab/>
        <w:t>Locations of Horizons river- and streamflow gauging sites in the</w:t>
      </w:r>
      <w:r w:rsidR="000C1D34" w:rsidRPr="00FB249F">
        <w:br/>
      </w:r>
      <w:r w:rsidRPr="00FB249F">
        <w:t>Manawatū-Whanganui region</w:t>
      </w:r>
      <w:bookmarkEnd w:id="64"/>
      <w:bookmarkEnd w:id="65"/>
    </w:p>
    <w:p w14:paraId="074F7522" w14:textId="1F4ACD0D" w:rsidR="0016547D" w:rsidRPr="00FB249F" w:rsidRDefault="00147566" w:rsidP="000B4C3B">
      <w:pPr>
        <w:pStyle w:val="BodyText"/>
        <w:jc w:val="center"/>
      </w:pPr>
      <w:r>
        <w:rPr>
          <w:noProof/>
        </w:rPr>
        <w:drawing>
          <wp:inline distT="0" distB="0" distL="0" distR="0" wp14:anchorId="2F7FF789" wp14:editId="1FD46BF5">
            <wp:extent cx="5106838" cy="8146011"/>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a:extLst>
                        <a:ext uri="{28A0092B-C50C-407E-A947-70E740481C1C}">
                          <a14:useLocalDpi xmlns:a14="http://schemas.microsoft.com/office/drawing/2010/main" val="0"/>
                        </a:ext>
                      </a:extLst>
                    </a:blip>
                    <a:srcRect b="2349"/>
                    <a:stretch/>
                  </pic:blipFill>
                  <pic:spPr bwMode="auto">
                    <a:xfrm>
                      <a:off x="0" y="0"/>
                      <a:ext cx="5114680" cy="8158520"/>
                    </a:xfrm>
                    <a:prstGeom prst="rect">
                      <a:avLst/>
                    </a:prstGeom>
                    <a:noFill/>
                    <a:ln>
                      <a:noFill/>
                    </a:ln>
                    <a:extLst>
                      <a:ext uri="{53640926-AAD7-44D8-BBD7-CCE9431645EC}">
                        <a14:shadowObscured xmlns:a14="http://schemas.microsoft.com/office/drawing/2010/main"/>
                      </a:ext>
                    </a:extLst>
                  </pic:spPr>
                </pic:pic>
              </a:graphicData>
            </a:graphic>
          </wp:inline>
        </w:drawing>
      </w:r>
    </w:p>
    <w:p w14:paraId="0E4D3BAC" w14:textId="77777777" w:rsidR="0016547D" w:rsidRPr="00FB249F" w:rsidRDefault="0016547D" w:rsidP="00E803E1">
      <w:pPr>
        <w:pStyle w:val="Source"/>
        <w:spacing w:before="0" w:after="0"/>
      </w:pPr>
      <w:r w:rsidRPr="00FB249F">
        <w:t>Data source: Horizons</w:t>
      </w:r>
    </w:p>
    <w:p w14:paraId="43F6F04E" w14:textId="064BDFA8" w:rsidR="0016547D" w:rsidRPr="00FB249F" w:rsidRDefault="0016547D" w:rsidP="00E803E1">
      <w:pPr>
        <w:pStyle w:val="Note"/>
      </w:pPr>
      <w:r w:rsidRPr="00FB249F">
        <w:t>Note: Figure only includes sites that are part of Horizons water allocation framework, and for which Horizons is the primary data holder</w:t>
      </w:r>
      <w:r w:rsidR="000C1D34" w:rsidRPr="00FB249F">
        <w:t>.</w:t>
      </w:r>
    </w:p>
    <w:p w14:paraId="66865514" w14:textId="77777777" w:rsidR="00D75F30" w:rsidRPr="00FB249F" w:rsidRDefault="00D75F30" w:rsidP="00D75F30">
      <w:pPr>
        <w:pStyle w:val="Heading2"/>
      </w:pPr>
      <w:bookmarkStart w:id="66" w:name="_Toc88208528"/>
      <w:bookmarkStart w:id="67" w:name="_Toc90312373"/>
      <w:r w:rsidRPr="00FB249F">
        <w:lastRenderedPageBreak/>
        <w:t>Comparing measured streamflows to measured upstream surface- and groundwater abstractions</w:t>
      </w:r>
      <w:bookmarkEnd w:id="66"/>
      <w:bookmarkEnd w:id="67"/>
    </w:p>
    <w:p w14:paraId="4A7ABE73" w14:textId="41365449" w:rsidR="00D75F30" w:rsidRPr="00FB249F" w:rsidRDefault="00D75F30" w:rsidP="00D75F30">
      <w:pPr>
        <w:pStyle w:val="BodyText"/>
      </w:pPr>
      <w:bookmarkStart w:id="68" w:name="_Measured_daily_river"/>
      <w:bookmarkEnd w:id="68"/>
      <w:r w:rsidRPr="00FB249F">
        <w:t>To explore how water use and demand relate to river and stream flows, we compared the temporal patterns of measured streamflow for the assessed GWRC and Horizons gauging sites to the measured non-hydropower abstractions in their upstream catchments. We also disaggregated surface- and groundwater abstractions, to determine how water use patterns differed by source type over time and between catchments. These comparisons helped identify the times of year that measured abstraction rates from surface- and groundwater sources upstream of gauging sites in the assessed catchments were at their highest, relative to measured streamflow. The analysis was able to show that average measured daily abstraction rates upstream of the assessed gauging sites were variable between catchments, but were generally higher during the summer and autumn months when the median measured daily river and stream flows were generally at their lowest. The methods to complete this analysis are detailed in the following subsections.</w:t>
      </w:r>
    </w:p>
    <w:p w14:paraId="61E927FA" w14:textId="5C1DFB50" w:rsidR="00D75F30" w:rsidRPr="00FB249F" w:rsidRDefault="00D75F30" w:rsidP="00D75F30">
      <w:pPr>
        <w:pStyle w:val="Heading3"/>
      </w:pPr>
      <w:r w:rsidRPr="00FB249F">
        <w:t xml:space="preserve">Monthly median daily streamflow for </w:t>
      </w:r>
      <w:r w:rsidRPr="00FB249F">
        <w:br/>
        <w:t>assessed river- and streamflow gauging sites</w:t>
      </w:r>
    </w:p>
    <w:p w14:paraId="48AF98BB" w14:textId="77777777" w:rsidR="00D75F30" w:rsidRPr="00FB249F" w:rsidRDefault="00D75F30" w:rsidP="00D75F30">
      <w:pPr>
        <w:pStyle w:val="BodyText"/>
      </w:pPr>
      <w:r w:rsidRPr="00FB249F">
        <w:t xml:space="preserve">To examine temporal streamflow patterns, we generated a plot for each catchment aggregating streamflow time-series for each gauging site in the catchment that had verified streamflow data for the three-year period June 2015–May 2018. </w:t>
      </w:r>
    </w:p>
    <w:p w14:paraId="138321E4" w14:textId="4A921E64" w:rsidR="00D75F30" w:rsidRPr="00FB249F" w:rsidRDefault="00D75F30" w:rsidP="00D75F30">
      <w:pPr>
        <w:pStyle w:val="BodyText"/>
      </w:pPr>
      <w:r w:rsidRPr="00FB249F">
        <w:t xml:space="preserve">For the Wellington region, this included the Hutt, Orongorongo, Pahaoa, Ruamahanga and Wainuiomata river catchments and the Pauatahanui and Wharemauku stream catchments, but excluded the Horokiri Stream catchment (see figure </w:t>
      </w:r>
      <w:r w:rsidR="00965648">
        <w:t>12</w:t>
      </w:r>
      <w:r w:rsidRPr="00FB249F">
        <w:t xml:space="preserve">). For the Manawatū-Whanganui region, this included the Manawatū, Ohau, Rangitīkei, Whangaehu and Whanganui river catchments and the Kai Iwi and Waikawa stream catchments (see figure </w:t>
      </w:r>
      <w:r w:rsidR="00965648">
        <w:t>13</w:t>
      </w:r>
      <w:r w:rsidRPr="00FB249F">
        <w:t xml:space="preserve">). To minimise the influence of interannual variation, and for simplicity of communication, these plots display median daily flow rates at each gauging site in each month of the year (for example, the median of daily values for the 90 days in June 2015, 2016 and 2017). </w:t>
      </w:r>
    </w:p>
    <w:p w14:paraId="28B7E725" w14:textId="77777777" w:rsidR="00D75F30" w:rsidRPr="00FB249F" w:rsidRDefault="00D75F30" w:rsidP="00D75F30">
      <w:pPr>
        <w:pStyle w:val="BodyText"/>
      </w:pPr>
      <w:r w:rsidRPr="00FB249F">
        <w:t>The individual plots are displayed at different scales to best illustrate temporal patterns, and are not intended to compare flow rates between catchments.</w:t>
      </w:r>
    </w:p>
    <w:p w14:paraId="322B3C93" w14:textId="5AA10181" w:rsidR="00D75F30" w:rsidRPr="00FB249F" w:rsidRDefault="00D75F30" w:rsidP="00316BE7">
      <w:pPr>
        <w:pStyle w:val="Figureheading"/>
        <w:spacing w:line="260" w:lineRule="atLeast"/>
      </w:pPr>
      <w:bookmarkStart w:id="69" w:name="_Toc88208554"/>
      <w:bookmarkStart w:id="70" w:name="_Toc90312414"/>
      <w:r w:rsidRPr="00FB249F">
        <w:lastRenderedPageBreak/>
        <w:t xml:space="preserve">Figure </w:t>
      </w:r>
      <w:r w:rsidR="00C75BBE" w:rsidRPr="00FB249F">
        <w:t>1</w:t>
      </w:r>
      <w:r w:rsidR="00C75BBE">
        <w:t>2</w:t>
      </w:r>
      <w:r w:rsidRPr="00FB249F">
        <w:t xml:space="preserve">: </w:t>
      </w:r>
      <w:r w:rsidRPr="00FB249F">
        <w:tab/>
        <w:t>Monthly median daily streamflow measured at assessed river- and streamflow gauging sites in the Wellington region by catchment, June 2015–May 2018</w:t>
      </w:r>
      <w:bookmarkEnd w:id="69"/>
      <w:bookmarkEnd w:id="70"/>
    </w:p>
    <w:p w14:paraId="3FBFADD7" w14:textId="77777777" w:rsidR="00D75F30" w:rsidRPr="00FB249F" w:rsidRDefault="00D75F30" w:rsidP="00D75F30">
      <w:pPr>
        <w:pStyle w:val="BodyText"/>
        <w:jc w:val="center"/>
      </w:pPr>
      <w:r w:rsidRPr="00FB249F">
        <w:rPr>
          <w:noProof/>
        </w:rPr>
        <w:drawing>
          <wp:inline distT="0" distB="0" distL="0" distR="0" wp14:anchorId="20C08F6F" wp14:editId="1A50AEC3">
            <wp:extent cx="5659907" cy="4123426"/>
            <wp:effectExtent l="0" t="0" r="0" b="0"/>
            <wp:docPr id="53" name="Picture 53" descr="Chart, line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pic:nvPicPr>
                  <pic:blipFill rotWithShape="1">
                    <a:blip r:embed="rId39" cstate="print">
                      <a:extLst>
                        <a:ext uri="{28A0092B-C50C-407E-A947-70E740481C1C}">
                          <a14:useLocalDpi xmlns:a14="http://schemas.microsoft.com/office/drawing/2010/main" val="0"/>
                        </a:ext>
                      </a:extLst>
                    </a:blip>
                    <a:srcRect t="1902" b="1717"/>
                    <a:stretch/>
                  </pic:blipFill>
                  <pic:spPr bwMode="auto">
                    <a:xfrm>
                      <a:off x="0" y="0"/>
                      <a:ext cx="5670592" cy="4131211"/>
                    </a:xfrm>
                    <a:prstGeom prst="rect">
                      <a:avLst/>
                    </a:prstGeom>
                    <a:ln>
                      <a:noFill/>
                    </a:ln>
                    <a:extLst>
                      <a:ext uri="{53640926-AAD7-44D8-BBD7-CCE9431645EC}">
                        <a14:shadowObscured xmlns:a14="http://schemas.microsoft.com/office/drawing/2010/main"/>
                      </a:ext>
                    </a:extLst>
                  </pic:spPr>
                </pic:pic>
              </a:graphicData>
            </a:graphic>
          </wp:inline>
        </w:drawing>
      </w:r>
    </w:p>
    <w:p w14:paraId="377CF429" w14:textId="77777777" w:rsidR="00D75F30" w:rsidRPr="00FB249F" w:rsidRDefault="00D75F30" w:rsidP="008279BB">
      <w:pPr>
        <w:pStyle w:val="Source"/>
        <w:spacing w:before="0"/>
      </w:pPr>
      <w:r w:rsidRPr="00FB249F">
        <w:t>Data source: GWRC</w:t>
      </w:r>
    </w:p>
    <w:p w14:paraId="4FAFA7AE" w14:textId="77777777" w:rsidR="00D75F30" w:rsidRPr="00FB249F" w:rsidRDefault="00D75F30" w:rsidP="008279BB">
      <w:pPr>
        <w:pStyle w:val="Note"/>
        <w:spacing w:before="0"/>
      </w:pPr>
      <w:r w:rsidRPr="00FB249F">
        <w:t>Note: Only sites with verified streamflow time-series datasets are shown. For the catchments with multiple sites, downstream sites may re-measure some or all of the flow measured at upstream sites. Figure excludes Horokiri Stream catchment, as no measurable abstractions were recorded upstream of its gauging site.</w:t>
      </w:r>
    </w:p>
    <w:p w14:paraId="025E432E" w14:textId="42A98D3B" w:rsidR="000A2EF8" w:rsidRPr="00FB249F" w:rsidRDefault="000A2EF8" w:rsidP="00316BE7">
      <w:pPr>
        <w:pStyle w:val="Figureheading"/>
        <w:spacing w:line="240" w:lineRule="atLeast"/>
      </w:pPr>
      <w:bookmarkStart w:id="71" w:name="_Toc88208555"/>
      <w:bookmarkStart w:id="72" w:name="_Toc90312415"/>
      <w:r w:rsidRPr="00FB249F">
        <w:lastRenderedPageBreak/>
        <w:t xml:space="preserve">Figure </w:t>
      </w:r>
      <w:r w:rsidR="00C75BBE" w:rsidRPr="00FB249F">
        <w:t>1</w:t>
      </w:r>
      <w:r w:rsidR="00C75BBE">
        <w:t>3</w:t>
      </w:r>
      <w:r w:rsidRPr="00FB249F">
        <w:t xml:space="preserve">: </w:t>
      </w:r>
      <w:r w:rsidRPr="00FB249F">
        <w:tab/>
        <w:t>Monthly median daily streamflow measured at assessed river- and streamflow gauging sites in the Manawat</w:t>
      </w:r>
      <w:r w:rsidRPr="00FB249F">
        <w:rPr>
          <w:rFonts w:cstheme="minorHAnsi"/>
        </w:rPr>
        <w:t>ū</w:t>
      </w:r>
      <w:r w:rsidRPr="00FB249F">
        <w:t>-Whanganui region by catchment, June 2015–May 2018</w:t>
      </w:r>
      <w:bookmarkEnd w:id="71"/>
      <w:bookmarkEnd w:id="72"/>
      <w:r w:rsidRPr="00FB249F">
        <w:t xml:space="preserve"> </w:t>
      </w:r>
    </w:p>
    <w:p w14:paraId="7543E0CC" w14:textId="77777777" w:rsidR="000A2EF8" w:rsidRPr="00FB249F" w:rsidRDefault="000A2EF8" w:rsidP="000A2EF8">
      <w:pPr>
        <w:pStyle w:val="BodyText"/>
        <w:jc w:val="center"/>
      </w:pPr>
      <w:r w:rsidRPr="00FB249F">
        <w:rPr>
          <w:noProof/>
        </w:rPr>
        <w:drawing>
          <wp:inline distT="0" distB="0" distL="0" distR="0" wp14:anchorId="3EA5F4DC" wp14:editId="7BF678E9">
            <wp:extent cx="5647103" cy="4140679"/>
            <wp:effectExtent l="0" t="0" r="0" b="0"/>
            <wp:docPr id="55" name="Picture 55"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pic:nvPicPr>
                  <pic:blipFill rotWithShape="1">
                    <a:blip r:embed="rId40" cstate="print">
                      <a:extLst>
                        <a:ext uri="{28A0092B-C50C-407E-A947-70E740481C1C}">
                          <a14:useLocalDpi xmlns:a14="http://schemas.microsoft.com/office/drawing/2010/main" val="0"/>
                        </a:ext>
                      </a:extLst>
                    </a:blip>
                    <a:srcRect t="1691" b="1305"/>
                    <a:stretch/>
                  </pic:blipFill>
                  <pic:spPr bwMode="auto">
                    <a:xfrm>
                      <a:off x="0" y="0"/>
                      <a:ext cx="5653653" cy="4145482"/>
                    </a:xfrm>
                    <a:prstGeom prst="rect">
                      <a:avLst/>
                    </a:prstGeom>
                    <a:ln>
                      <a:noFill/>
                    </a:ln>
                    <a:extLst>
                      <a:ext uri="{53640926-AAD7-44D8-BBD7-CCE9431645EC}">
                        <a14:shadowObscured xmlns:a14="http://schemas.microsoft.com/office/drawing/2010/main"/>
                      </a:ext>
                    </a:extLst>
                  </pic:spPr>
                </pic:pic>
              </a:graphicData>
            </a:graphic>
          </wp:inline>
        </w:drawing>
      </w:r>
    </w:p>
    <w:p w14:paraId="4813EEF1" w14:textId="77777777" w:rsidR="000A2EF8" w:rsidRPr="00FB249F" w:rsidRDefault="000A2EF8" w:rsidP="000A2EF8">
      <w:pPr>
        <w:pStyle w:val="Source"/>
        <w:spacing w:before="0"/>
      </w:pPr>
      <w:r w:rsidRPr="00FB249F">
        <w:t>Data source: Horizons</w:t>
      </w:r>
    </w:p>
    <w:p w14:paraId="3FC275A2" w14:textId="77777777" w:rsidR="000A2EF8" w:rsidRPr="00FB249F" w:rsidRDefault="000A2EF8" w:rsidP="000A2EF8">
      <w:pPr>
        <w:pStyle w:val="Note"/>
        <w:spacing w:before="0"/>
      </w:pPr>
      <w:r w:rsidRPr="00FB249F">
        <w:t>Note: Only sites with verified streamflow time-series datasets are shown. For the catchments with multiple sites, downstream sites may re-measure some or all of the flow measured at upstream sites.</w:t>
      </w:r>
    </w:p>
    <w:p w14:paraId="222798C7" w14:textId="77777777" w:rsidR="000A2EF8" w:rsidRPr="00FB249F" w:rsidRDefault="000A2EF8" w:rsidP="00316BE7">
      <w:pPr>
        <w:pStyle w:val="BodyText"/>
        <w:spacing w:before="100" w:after="100"/>
      </w:pPr>
      <w:r w:rsidRPr="00FB249F">
        <w:t xml:space="preserve">This assessment was able to show that the daily average streamflow measured at the assessed gauging sites in the Wellington and Manawatū-Whanganui regions was variable over the three-year study period, but generally followed the expected temporal pattern of lower flows in summer and autumn, and higher flows in winter and spring. </w:t>
      </w:r>
    </w:p>
    <w:p w14:paraId="641CC45C" w14:textId="77777777" w:rsidR="000A2EF8" w:rsidRPr="00FB249F" w:rsidRDefault="000A2EF8" w:rsidP="00316BE7">
      <w:pPr>
        <w:pStyle w:val="BodyText"/>
        <w:spacing w:before="100" w:after="100"/>
      </w:pPr>
      <w:r w:rsidRPr="00FB249F">
        <w:t>These flow patterns are likely to have been influenced by the effect of droughts in Wellington and the Wairarapa from summer 2015 to spring 2016, and in summer 2018, and across the Manawatū-Whanganui region in summer and autumn 2016 and summer 2018. They may not be representative of non-drought conditions (Stats NZ, 2020).</w:t>
      </w:r>
    </w:p>
    <w:p w14:paraId="052FBF5D" w14:textId="77777777" w:rsidR="002D2AFF" w:rsidRPr="00FB249F" w:rsidRDefault="002D2AFF" w:rsidP="00316BE7">
      <w:pPr>
        <w:pStyle w:val="Heading3"/>
        <w:spacing w:before="240" w:line="340" w:lineRule="exact"/>
      </w:pPr>
      <w:r w:rsidRPr="00FB249F">
        <w:t>Monthly average totalised daily surface- and groundwater abstractions upstream of assessed river- and streamflow gauging sites</w:t>
      </w:r>
    </w:p>
    <w:p w14:paraId="13CCFD46" w14:textId="274FF53E" w:rsidR="002D2AFF" w:rsidRPr="00FB249F" w:rsidRDefault="002D2AFF" w:rsidP="00316BE7">
      <w:pPr>
        <w:pStyle w:val="BodyText"/>
        <w:spacing w:before="100"/>
      </w:pPr>
      <w:r w:rsidRPr="00FB249F">
        <w:t>To examine abstraction patterns for the same catchments for the same period, we used council-supplied metadata to determine which abstraction sites were upstream of one or more assessed river- or streamflow gauging site in each catchment. We then used the same metadata to segregate the surface- and groundwater abstraction timeseries, to allow a comparison of surface- and groundwater abstraction patterns. Finally, we totalised the daily</w:t>
      </w:r>
      <w:r w:rsidR="009332B5">
        <w:t> </w:t>
      </w:r>
      <w:r w:rsidRPr="00FB249F">
        <w:t>measured upstream abstraction rates in each catchment by source type, and plotted the</w:t>
      </w:r>
      <w:r w:rsidR="009332B5">
        <w:t> </w:t>
      </w:r>
      <w:r w:rsidRPr="00FB249F">
        <w:t xml:space="preserve">combined average daily total abstraction rate by month (for example, the average </w:t>
      </w:r>
      <w:r w:rsidRPr="00FB249F">
        <w:lastRenderedPageBreak/>
        <w:t>of</w:t>
      </w:r>
      <w:r w:rsidR="009332B5">
        <w:t> </w:t>
      </w:r>
      <w:r w:rsidRPr="00FB249F">
        <w:t>the</w:t>
      </w:r>
      <w:r w:rsidR="009332B5">
        <w:t> </w:t>
      </w:r>
      <w:r w:rsidRPr="00FB249F">
        <w:t>combined abstraction rates for the 90 days in June 2015, 2016 and 2017; see figures</w:t>
      </w:r>
      <w:r w:rsidR="009332B5">
        <w:t> </w:t>
      </w:r>
      <w:r w:rsidR="0074022F">
        <w:t>14 </w:t>
      </w:r>
      <w:r w:rsidRPr="00FB249F">
        <w:t>and</w:t>
      </w:r>
      <w:r w:rsidR="00C14B08" w:rsidRPr="00FB249F">
        <w:t> </w:t>
      </w:r>
      <w:r w:rsidR="0074022F">
        <w:t>15</w:t>
      </w:r>
      <w:r w:rsidRPr="00FB249F">
        <w:t xml:space="preserve">). </w:t>
      </w:r>
    </w:p>
    <w:p w14:paraId="3A1D1988" w14:textId="77777777" w:rsidR="002D2AFF" w:rsidRPr="00FB249F" w:rsidRDefault="002D2AFF" w:rsidP="002D2AFF">
      <w:pPr>
        <w:pStyle w:val="BodyText"/>
      </w:pPr>
      <w:r w:rsidRPr="00FB249F">
        <w:t xml:space="preserve">The individual plots are displayed at different scales to best illustrate temporal patterns, and are not intended to compare abstraction rates between catchments. </w:t>
      </w:r>
    </w:p>
    <w:p w14:paraId="09694B9A" w14:textId="11D8C869" w:rsidR="002D2AFF" w:rsidRPr="00FB249F" w:rsidRDefault="002D2AFF" w:rsidP="002D2AFF">
      <w:pPr>
        <w:pStyle w:val="Figureheading"/>
      </w:pPr>
      <w:bookmarkStart w:id="73" w:name="_Toc88208556"/>
      <w:bookmarkStart w:id="74" w:name="_Toc90312416"/>
      <w:r w:rsidRPr="00FB249F">
        <w:t xml:space="preserve">Figure </w:t>
      </w:r>
      <w:r w:rsidR="00C75BBE" w:rsidRPr="00FB249F">
        <w:t>1</w:t>
      </w:r>
      <w:r w:rsidR="00C75BBE">
        <w:t>4</w:t>
      </w:r>
      <w:r w:rsidRPr="00FB249F">
        <w:t xml:space="preserve">: </w:t>
      </w:r>
      <w:r w:rsidRPr="00FB249F">
        <w:tab/>
        <w:t>Monthly average total daily surface- and groundwater abstraction rates measured upstream of assessed river- and streamflow gauging sites in the Wellington region by catchment, June 2015–May 2018</w:t>
      </w:r>
      <w:bookmarkEnd w:id="73"/>
      <w:bookmarkEnd w:id="74"/>
    </w:p>
    <w:p w14:paraId="27861A94" w14:textId="77777777" w:rsidR="002D2AFF" w:rsidRPr="00FB249F" w:rsidRDefault="002D2AFF" w:rsidP="008C0E1B">
      <w:pPr>
        <w:pStyle w:val="BodyText"/>
        <w:spacing w:after="0"/>
      </w:pPr>
      <w:r w:rsidRPr="00FB249F">
        <w:rPr>
          <w:noProof/>
        </w:rPr>
        <w:drawing>
          <wp:inline distT="0" distB="0" distL="0" distR="0" wp14:anchorId="362FCFDB" wp14:editId="2A73347B">
            <wp:extent cx="5555411" cy="4105804"/>
            <wp:effectExtent l="0" t="0" r="7620" b="9525"/>
            <wp:docPr id="52" name="Picture 52"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ic:nvPicPr>
                  <pic:blipFill rotWithShape="1">
                    <a:blip r:embed="rId41" cstate="print">
                      <a:extLst>
                        <a:ext uri="{28A0092B-C50C-407E-A947-70E740481C1C}">
                          <a14:useLocalDpi xmlns:a14="http://schemas.microsoft.com/office/drawing/2010/main" val="0"/>
                        </a:ext>
                      </a:extLst>
                    </a:blip>
                    <a:srcRect b="2225"/>
                    <a:stretch/>
                  </pic:blipFill>
                  <pic:spPr bwMode="auto">
                    <a:xfrm>
                      <a:off x="0" y="0"/>
                      <a:ext cx="5562105" cy="4110752"/>
                    </a:xfrm>
                    <a:prstGeom prst="rect">
                      <a:avLst/>
                    </a:prstGeom>
                    <a:ln>
                      <a:noFill/>
                    </a:ln>
                    <a:extLst>
                      <a:ext uri="{53640926-AAD7-44D8-BBD7-CCE9431645EC}">
                        <a14:shadowObscured xmlns:a14="http://schemas.microsoft.com/office/drawing/2010/main"/>
                      </a:ext>
                    </a:extLst>
                  </pic:spPr>
                </pic:pic>
              </a:graphicData>
            </a:graphic>
          </wp:inline>
        </w:drawing>
      </w:r>
    </w:p>
    <w:p w14:paraId="5EB66C1E" w14:textId="77777777" w:rsidR="002D2AFF" w:rsidRPr="00FB249F" w:rsidRDefault="002D2AFF" w:rsidP="008C0E1B">
      <w:pPr>
        <w:pStyle w:val="Source"/>
        <w:spacing w:after="0"/>
      </w:pPr>
      <w:r w:rsidRPr="00FB249F">
        <w:t>Data source: GWRC</w:t>
      </w:r>
    </w:p>
    <w:p w14:paraId="175E9843" w14:textId="77777777" w:rsidR="002D2AFF" w:rsidRPr="00FB249F" w:rsidRDefault="002D2AFF" w:rsidP="002D2AFF">
      <w:pPr>
        <w:pStyle w:val="Note"/>
      </w:pPr>
      <w:r w:rsidRPr="00FB249F">
        <w:t>Note: Only catchments with verified streamflow time-series datasets and at least one recorded abstraction greater than zero upstream of an assessed gauging site are shown.</w:t>
      </w:r>
    </w:p>
    <w:p w14:paraId="3F857C4B" w14:textId="77777777" w:rsidR="00203EB2" w:rsidRPr="00FB249F" w:rsidRDefault="00203EB2" w:rsidP="00203EB2">
      <w:pPr>
        <w:pStyle w:val="Figureheading"/>
      </w:pPr>
      <w:bookmarkStart w:id="75" w:name="_Toc88208557"/>
      <w:bookmarkStart w:id="76" w:name="_Toc90312417"/>
      <w:r w:rsidRPr="00FB249F">
        <w:lastRenderedPageBreak/>
        <w:t>Figure 1</w:t>
      </w:r>
      <w:r>
        <w:t>5</w:t>
      </w:r>
      <w:r w:rsidRPr="00FB249F">
        <w:t xml:space="preserve">: </w:t>
      </w:r>
      <w:r w:rsidRPr="00FB249F">
        <w:tab/>
        <w:t>Monthly average total daily surface- and groundwater abstraction rates for non</w:t>
      </w:r>
      <w:r>
        <w:noBreakHyphen/>
      </w:r>
      <w:r w:rsidRPr="00FB249F">
        <w:t>hydropower use, measured upstream of assessed river- and streamflow gauging sites in</w:t>
      </w:r>
      <w:r>
        <w:t> </w:t>
      </w:r>
      <w:r w:rsidRPr="00FB249F">
        <w:t>the Manawatū-Whanganui region by parent catchment, June 2015</w:t>
      </w:r>
      <w:r w:rsidRPr="00FB249F">
        <w:rPr>
          <w:rFonts w:ascii="MS Mincho" w:eastAsia="MS Mincho" w:hAnsi="MS Mincho" w:cs="MS Mincho"/>
          <w:lang w:eastAsia="ja-JP"/>
        </w:rPr>
        <w:t>–</w:t>
      </w:r>
      <w:r w:rsidRPr="00FB249F">
        <w:t>May 2018</w:t>
      </w:r>
      <w:bookmarkEnd w:id="75"/>
      <w:bookmarkEnd w:id="76"/>
    </w:p>
    <w:p w14:paraId="7EFE1359" w14:textId="77777777" w:rsidR="00203EB2" w:rsidRPr="00FB249F" w:rsidRDefault="00203EB2" w:rsidP="00203EB2">
      <w:pPr>
        <w:pStyle w:val="BodyText"/>
        <w:jc w:val="center"/>
      </w:pPr>
      <w:r w:rsidRPr="00FB249F">
        <w:rPr>
          <w:noProof/>
        </w:rPr>
        <w:drawing>
          <wp:inline distT="0" distB="0" distL="0" distR="0" wp14:anchorId="1BBF020B" wp14:editId="66FDB63A">
            <wp:extent cx="5552651" cy="4080295"/>
            <wp:effectExtent l="0" t="0" r="0" b="0"/>
            <wp:docPr id="54" name="Picture 54"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ic:nvPicPr>
                  <pic:blipFill rotWithShape="1">
                    <a:blip r:embed="rId42" cstate="print">
                      <a:extLst>
                        <a:ext uri="{28A0092B-C50C-407E-A947-70E740481C1C}">
                          <a14:useLocalDpi xmlns:a14="http://schemas.microsoft.com/office/drawing/2010/main" val="0"/>
                        </a:ext>
                      </a:extLst>
                    </a:blip>
                    <a:srcRect b="2784"/>
                    <a:stretch/>
                  </pic:blipFill>
                  <pic:spPr bwMode="auto">
                    <a:xfrm>
                      <a:off x="0" y="0"/>
                      <a:ext cx="5562788" cy="4087744"/>
                    </a:xfrm>
                    <a:prstGeom prst="rect">
                      <a:avLst/>
                    </a:prstGeom>
                    <a:ln>
                      <a:noFill/>
                    </a:ln>
                    <a:extLst>
                      <a:ext uri="{53640926-AAD7-44D8-BBD7-CCE9431645EC}">
                        <a14:shadowObscured xmlns:a14="http://schemas.microsoft.com/office/drawing/2010/main"/>
                      </a:ext>
                    </a:extLst>
                  </pic:spPr>
                </pic:pic>
              </a:graphicData>
            </a:graphic>
          </wp:inline>
        </w:drawing>
      </w:r>
    </w:p>
    <w:p w14:paraId="74392FD2" w14:textId="77777777" w:rsidR="00203EB2" w:rsidRPr="00FB249F" w:rsidRDefault="00203EB2" w:rsidP="00203EB2">
      <w:pPr>
        <w:pStyle w:val="Source"/>
        <w:spacing w:before="0" w:after="0"/>
      </w:pPr>
      <w:r w:rsidRPr="00FB249F">
        <w:t>Data source: Horizons</w:t>
      </w:r>
    </w:p>
    <w:p w14:paraId="50EC7A1B" w14:textId="77777777" w:rsidR="00203EB2" w:rsidRPr="00FB249F" w:rsidRDefault="00203EB2" w:rsidP="00203EB2">
      <w:pPr>
        <w:pStyle w:val="Note"/>
      </w:pPr>
      <w:r w:rsidRPr="00FB249F">
        <w:t>Note: Only catchments with verified streamflow time-series datasets and at least one recorded abstraction greater than zero upstream of an assessed site are shown. Surface water plots do not include the consumptive hydropower diversions that remove flow from the Rangitīkei, Whangaehu, Whanganui rivers, and divert flow from the Whangaehu River catchment to the Whanganui River catchment and from the upper Mangahao River to the lower Manawatū River.</w:t>
      </w:r>
    </w:p>
    <w:p w14:paraId="2304DC9C" w14:textId="5916B428" w:rsidR="00203EB2" w:rsidRPr="00FB249F" w:rsidRDefault="00203EB2" w:rsidP="00573D7A">
      <w:pPr>
        <w:pStyle w:val="BodyText"/>
      </w:pPr>
      <w:r w:rsidRPr="00FB249F">
        <w:t>This helped illustrate seasonal patterns of non-hydropower surface- and groundwater use and demand in the assessed catchments. In the Hutt and Ruamahanga river catchments in the Wellington region, for most months of the year the average combined daily surface water abstraction rates upstream of assessed gauging sites (light blue in figure 1</w:t>
      </w:r>
      <w:r w:rsidR="005A115E">
        <w:t>4</w:t>
      </w:r>
      <w:r w:rsidRPr="00FB249F">
        <w:t>) were considerably higher than the average combined daily groundwater abstraction rates (dark blue in figure 1</w:t>
      </w:r>
      <w:r w:rsidR="005A115E">
        <w:t>4</w:t>
      </w:r>
      <w:r w:rsidRPr="00FB249F">
        <w:t>), but in summer months the groundwater abstraction rates were similar to, or higher than, surface water abstraction rates. In the Manawatū and Rangitīkei river catchments in the Manawatū-Whanganui region, for most months of the year the combined average daily surface- and groundwater abstraction rates upstream of assessed gauging sites (light blue and</w:t>
      </w:r>
      <w:r>
        <w:t> </w:t>
      </w:r>
      <w:r w:rsidRPr="00FB249F">
        <w:t>dark blue in figure 1</w:t>
      </w:r>
      <w:r w:rsidR="005A115E">
        <w:t>5</w:t>
      </w:r>
      <w:r w:rsidRPr="00FB249F">
        <w:t>, respectively) were similar, but in summer months the groundwater abstraction rates were considerably higher than surface water abstraction rates.</w:t>
      </w:r>
    </w:p>
    <w:p w14:paraId="3D73B9DD" w14:textId="77777777" w:rsidR="00D562EB" w:rsidRDefault="00D562EB" w:rsidP="00D562EB">
      <w:pPr>
        <w:pStyle w:val="BodyText"/>
      </w:pPr>
      <w:r w:rsidRPr="00FB249F">
        <w:t xml:space="preserve">These patterns reflect known patterns of water use in these catchments. Wellington and Palmerston North rely heavily on a combination of surface- and groundwater sources in the Hutt and Manawatū river catchments respectively, and both municipal schemes increase their reliance on groundwater sources in summer when surface water is in higher demand (Wellington Water, 2021a; Palmerston North City Council, 2021). A similar explanation applies to the rural towns and large agricultural areas in the Wairarapa and surrounding Palmerston </w:t>
      </w:r>
      <w:r w:rsidRPr="00FB249F">
        <w:lastRenderedPageBreak/>
        <w:t>North, which get their water from surface- and groundwater sources in the Ruamahanga, Manawatū and Rangitīkei river catchments; these areas will increasingly rely on groundwater sources in summer, when there is limited surface water available to fill the higher demand for water for irrigation (Wellington Water, 2021b; Land Air Water Aotearoa, nd; Rangitīkei District Council, 2018).</w:t>
      </w:r>
    </w:p>
    <w:p w14:paraId="4E36597A" w14:textId="77777777" w:rsidR="00573D7A" w:rsidRPr="00FB249F" w:rsidRDefault="00573D7A" w:rsidP="00573D7A">
      <w:pPr>
        <w:pStyle w:val="BodyText"/>
      </w:pPr>
      <w:r w:rsidRPr="00FB249F">
        <w:t>These patterns are likely to have been magnified by the effects of the droughts in Wellington and the Wairarapa summer 2015 to spring 2016, and in summer 2018, and across the Manawatū-Whanganui region in summer and autumn 2016 and summer 2018 (Stats NZ, 2020). These droughts would have placed even greater pressures on surface water resources, triggering restrictions on surface water abstractions and increased demand for groundwater for municipal and irrigation use.</w:t>
      </w:r>
    </w:p>
    <w:p w14:paraId="161382DA" w14:textId="77777777" w:rsidR="00573D7A" w:rsidRPr="00FB249F" w:rsidRDefault="00573D7A" w:rsidP="005669EA">
      <w:pPr>
        <w:pStyle w:val="BodyText"/>
        <w:spacing w:before="100" w:after="100"/>
      </w:pPr>
      <w:r w:rsidRPr="00FB249F">
        <w:t>This analysis is likely to under-report actual totalised abstraction rates to some degree, because it does not account for abstraction sites excluded due to data quality issues, or abstractions under-reported or not reported. By excluding consumptive hydropower schemes in the Manawatū-Whanganui region, it will also significantly underestimate actual totalised surface water abstraction rates for the assessed portions of the Whangaehu, Whanganui and Rangitīkei River catchments, and to a lesser degree, the Manawatū River catchment. This is because the analysis does not account for the ongoing diversion of approximately 29 cubic metres of flow per second from the headwaters of the Whangaehu, Whanganui and Rangitīkei rivers into Lake Taupō and the Waikato River for the Tongariro Power Scheme, or the smaller scheme that diverts flow from an upper tributary of the Manawatū River to the Mangahao Power Station in the lower Manawatū River catchment (Genesis Energy, nd; Horizons Regional Council, 2019).</w:t>
      </w:r>
    </w:p>
    <w:p w14:paraId="058F9D65" w14:textId="5C070514" w:rsidR="00573D7A" w:rsidRPr="00FB249F" w:rsidRDefault="00573D7A" w:rsidP="00573D7A">
      <w:pPr>
        <w:pStyle w:val="Heading2"/>
      </w:pPr>
      <w:bookmarkStart w:id="77" w:name="_Using_estimated_streamflow"/>
      <w:bookmarkStart w:id="78" w:name="_Toc88208529"/>
      <w:bookmarkStart w:id="79" w:name="_Toc90312374"/>
      <w:bookmarkEnd w:id="77"/>
      <w:r w:rsidRPr="00FB249F">
        <w:t>Using estimated streamflow depletion and</w:t>
      </w:r>
      <w:r w:rsidR="005669EA" w:rsidRPr="00FB249F">
        <w:t> </w:t>
      </w:r>
      <w:r w:rsidRPr="00FB249F">
        <w:t>measured streamflow to estimate natural</w:t>
      </w:r>
      <w:r w:rsidR="005669EA" w:rsidRPr="00FB249F">
        <w:t> </w:t>
      </w:r>
      <w:r w:rsidRPr="00FB249F">
        <w:t>streamflow</w:t>
      </w:r>
      <w:bookmarkEnd w:id="78"/>
      <w:bookmarkEnd w:id="79"/>
    </w:p>
    <w:p w14:paraId="7195E802" w14:textId="77777777" w:rsidR="00573D7A" w:rsidRPr="00FB249F" w:rsidRDefault="00573D7A" w:rsidP="005669EA">
      <w:pPr>
        <w:pStyle w:val="BodyText"/>
        <w:spacing w:after="100"/>
      </w:pPr>
      <w:r w:rsidRPr="00FB249F">
        <w:t xml:space="preserve">To estimate what the daily streamflow at each assessed gauging location would have been if none of the upstream measured abstractions had taken place, we added the daily average measured flow rate for each gauging site to the estimated daily streamflow depletion rate calculated for the corresponding digital river network segment (see </w:t>
      </w:r>
      <w:hyperlink w:anchor="_Estimating_streamflow_depletion" w:history="1">
        <w:r w:rsidRPr="00FB249F">
          <w:rPr>
            <w:rStyle w:val="Hyperlink"/>
          </w:rPr>
          <w:t>Estimating streamflow depletion using measured abstraction data</w:t>
        </w:r>
      </w:hyperlink>
      <w:r w:rsidRPr="00FB249F">
        <w:t>), for each day of the three-year period 1 June 2015–31 May 2018. We describe this figure as the ‘estimated natural streamflow’; however, the potential accuracy of this figure is affected by all the limitations of the streamflow depletion analyses it is derived from. This means it:</w:t>
      </w:r>
    </w:p>
    <w:p w14:paraId="3B7E6D1C" w14:textId="77777777" w:rsidR="005669EA" w:rsidRPr="00FB249F" w:rsidRDefault="005669EA" w:rsidP="005669EA">
      <w:pPr>
        <w:pStyle w:val="Bullet"/>
        <w:tabs>
          <w:tab w:val="num" w:pos="397"/>
        </w:tabs>
        <w:spacing w:after="100"/>
      </w:pPr>
      <w:r w:rsidRPr="00FB249F">
        <w:t>will overestimate true natural flow for some segments affected by hydropower augmentations (that is, added flows from other catchments)</w:t>
      </w:r>
    </w:p>
    <w:p w14:paraId="7C2CA036" w14:textId="77777777" w:rsidR="005669EA" w:rsidRPr="00FB249F" w:rsidRDefault="005669EA" w:rsidP="005669EA">
      <w:pPr>
        <w:pStyle w:val="Bullet"/>
        <w:tabs>
          <w:tab w:val="num" w:pos="397"/>
        </w:tabs>
        <w:spacing w:after="100"/>
      </w:pPr>
      <w:r w:rsidRPr="00FB249F">
        <w:t>will underestimate true natural flow for segments affected by consumptive hydropower abstractions</w:t>
      </w:r>
    </w:p>
    <w:p w14:paraId="570B3E0A" w14:textId="77777777" w:rsidR="005669EA" w:rsidRPr="00FB249F" w:rsidRDefault="005669EA" w:rsidP="005669EA">
      <w:pPr>
        <w:pStyle w:val="Bullet"/>
        <w:tabs>
          <w:tab w:val="num" w:pos="397"/>
        </w:tabs>
        <w:spacing w:after="100"/>
      </w:pPr>
      <w:r w:rsidRPr="00FB249F">
        <w:t>may underestimate true natural flow for some segments, where the analyses have not captured delayed depletion effects from abstractions before the study period or depletion estimated to have occurred after the study period ended</w:t>
      </w:r>
    </w:p>
    <w:p w14:paraId="6557DA60" w14:textId="77777777" w:rsidR="005669EA" w:rsidRPr="00FB249F" w:rsidRDefault="005669EA" w:rsidP="005669EA">
      <w:pPr>
        <w:pStyle w:val="Bullet"/>
        <w:tabs>
          <w:tab w:val="num" w:pos="397"/>
        </w:tabs>
        <w:spacing w:after="100"/>
      </w:pPr>
      <w:r w:rsidRPr="00FB249F">
        <w:t>may underestimate or overestimate true natural flow due to input data gaps and various modelling uncertainties.</w:t>
      </w:r>
    </w:p>
    <w:p w14:paraId="76617F6C" w14:textId="73F88880" w:rsidR="005669EA" w:rsidRPr="00FB249F" w:rsidRDefault="005669EA" w:rsidP="005669EA">
      <w:pPr>
        <w:pStyle w:val="BodyText"/>
        <w:spacing w:after="100"/>
      </w:pPr>
      <w:r w:rsidRPr="00FB249F">
        <w:lastRenderedPageBreak/>
        <w:t xml:space="preserve">Counter to this, these calculations may overestimate true natural flow for segments where the total actual upstream abstractions are well represented by the measured data. This is because the streamflow depletion calculations </w:t>
      </w:r>
      <w:r w:rsidR="006A2294">
        <w:t>do not account for</w:t>
      </w:r>
      <w:r w:rsidR="00950BDF">
        <w:t xml:space="preserve"> the proportion</w:t>
      </w:r>
      <w:r w:rsidRPr="00FB249F">
        <w:t xml:space="preserve"> of abstracted water </w:t>
      </w:r>
      <w:r w:rsidR="00B75D3A">
        <w:t>that</w:t>
      </w:r>
      <w:r w:rsidRPr="00FB249F">
        <w:t xml:space="preserve"> flow</w:t>
      </w:r>
      <w:r w:rsidR="00B75D3A">
        <w:t>s</w:t>
      </w:r>
      <w:r w:rsidRPr="00FB249F">
        <w:t xml:space="preserve"> back into rivers and streams </w:t>
      </w:r>
      <w:r w:rsidR="00B75D3A">
        <w:t>after</w:t>
      </w:r>
      <w:r w:rsidRPr="00FB249F">
        <w:t xml:space="preserve"> use (for example, where farms are over-irrigated). In these instances, the returned flow will be double counted in the estimate of natural streamflow. The implications of these under- and overestimates on subsequent analyses, to the extent they are known to affect findings, are discussed in the following subsection.</w:t>
      </w:r>
    </w:p>
    <w:p w14:paraId="15623751" w14:textId="77777777" w:rsidR="005669EA" w:rsidRPr="00FB249F" w:rsidRDefault="005669EA" w:rsidP="005669EA">
      <w:pPr>
        <w:pStyle w:val="BodyText"/>
        <w:spacing w:after="100"/>
      </w:pPr>
      <w:r w:rsidRPr="00FB249F">
        <w:rPr>
          <w:rFonts w:asciiTheme="minorHAnsi" w:hAnsiTheme="minorHAnsi" w:cstheme="minorHAnsi"/>
        </w:rPr>
        <w:t xml:space="preserve">While these methods rely heavily on assumptions and are affected by the uncertainties noted above, they allowed the estimation of the potential influences of known and quantified (that is, measured and reported) surface- and groundwater abstractions on surrounding rivers and streams. More detailed explanations of the streamflow depletion modelling and equations used are provided in </w:t>
      </w:r>
      <w:hyperlink w:anchor="_Appendix_A:_Technical" w:history="1">
        <w:r w:rsidRPr="00FB249F">
          <w:rPr>
            <w:rStyle w:val="Hyperlink"/>
            <w:rFonts w:asciiTheme="minorHAnsi" w:hAnsiTheme="minorHAnsi" w:cstheme="minorHAnsi"/>
          </w:rPr>
          <w:t>Appendix A</w:t>
        </w:r>
      </w:hyperlink>
      <w:r w:rsidRPr="00FB249F">
        <w:rPr>
          <w:rFonts w:asciiTheme="minorHAnsi" w:hAnsiTheme="minorHAnsi" w:cstheme="minorHAnsi"/>
        </w:rPr>
        <w:t>, Booker et al (2016), and Booker et al (2019).</w:t>
      </w:r>
    </w:p>
    <w:p w14:paraId="73F0D33F" w14:textId="788119D8" w:rsidR="005669EA" w:rsidRPr="00FB249F" w:rsidRDefault="005669EA" w:rsidP="005669EA">
      <w:pPr>
        <w:pStyle w:val="Heading2"/>
      </w:pPr>
      <w:bookmarkStart w:id="80" w:name="_Toc88208530"/>
      <w:bookmarkStart w:id="81" w:name="_Toc90312375"/>
      <w:r w:rsidRPr="00FB249F">
        <w:t>Comparing estimated streamflow depletion to estimated natural flow</w:t>
      </w:r>
      <w:bookmarkEnd w:id="80"/>
      <w:bookmarkEnd w:id="81"/>
    </w:p>
    <w:p w14:paraId="78E51A42" w14:textId="703B2FAF" w:rsidR="005669EA" w:rsidRPr="00FB249F" w:rsidRDefault="005669EA" w:rsidP="005669EA">
      <w:pPr>
        <w:pStyle w:val="BodyText"/>
      </w:pPr>
      <w:r w:rsidRPr="00FB249F">
        <w:t>To estimate streamflow depletion proportional to natural streamflow for each river- and</w:t>
      </w:r>
      <w:r w:rsidR="00EB6873">
        <w:t> </w:t>
      </w:r>
      <w:r w:rsidRPr="00FB249F">
        <w:t xml:space="preserve">streamflow gauging location included in the analysis, we divided the estimated daily streamflow depletion rate for the corresponding digital river network segment by the estimated natural streamflow for the segment. </w:t>
      </w:r>
      <w:r w:rsidRPr="00FB249F">
        <w:rPr>
          <w:rFonts w:asciiTheme="minorHAnsi" w:hAnsiTheme="minorHAnsi"/>
        </w:rPr>
        <w:t xml:space="preserve">This allowed us to generate a daily streamflow depletion time-series for each gauging location, </w:t>
      </w:r>
      <w:r w:rsidRPr="00FB249F">
        <w:t xml:space="preserve">expressed as a ratio of estimated natural streamflow. </w:t>
      </w:r>
    </w:p>
    <w:p w14:paraId="082D5848" w14:textId="1CA5DA35" w:rsidR="005669EA" w:rsidRPr="00FB249F" w:rsidRDefault="005669EA" w:rsidP="005669EA">
      <w:pPr>
        <w:pStyle w:val="BodyText"/>
      </w:pPr>
      <w:r w:rsidRPr="00FB249F">
        <w:t>This analysis only describes the estimated flow-proportional depletion at discrete locations along the river network (gauging sites), and cannot demonstrate potential impacts for any portion of the upstream network. However, as the estimated streamflow depletion calculations it uses are based on the accumulated impact of all measured abstractions upstream of each gauging site, it does provide some indication of how each of the catchments upstream of the assessed gauging sites were affected by measured abstractions. The methods used for this analysis are detailed in the following subsections.</w:t>
      </w:r>
    </w:p>
    <w:p w14:paraId="4EA070D6" w14:textId="27F4EF1E" w:rsidR="005669EA" w:rsidRPr="00FB249F" w:rsidRDefault="005669EA" w:rsidP="005669EA">
      <w:pPr>
        <w:pStyle w:val="BodyText"/>
      </w:pPr>
      <w:r w:rsidRPr="00FB249F">
        <w:t>This analysis is likely to underestimate streamflow depletion to some degree, and by extension, natural flow and flow-proportional depletion, for reasons discussed previously (see </w:t>
      </w:r>
      <w:hyperlink w:anchor="_Using_estimated_streamflow" w:history="1">
        <w:r w:rsidRPr="00FB249F">
          <w:rPr>
            <w:rStyle w:val="Hyperlink"/>
          </w:rPr>
          <w:t>Using estimated streamflow depletion and measured flow to estimate natural streamflow</w:t>
        </w:r>
      </w:hyperlink>
      <w:r w:rsidRPr="00FB249F">
        <w:t>). The analysis for the Manawatū-Whanganui region is also likely to significantly underestimate flow-proportional streamflow depletion for the assessed portions of the Whangaehu, Whanganui and Rangitīkei river catchments and, to a lesser extent, the Manawatū River catchment. This is because it does not account for the ongoing diversion of approximately 2.5 million cubic metres of daily flow</w:t>
      </w:r>
      <w:r w:rsidRPr="00FB249F">
        <w:rPr>
          <w:rStyle w:val="FootnoteReference"/>
        </w:rPr>
        <w:footnoteReference w:id="6"/>
      </w:r>
      <w:r w:rsidRPr="00FB249F">
        <w:t xml:space="preserve"> from the headwaters of the Whangaehu, Whanganui and Rangitīkei rivers into Lake Taupō and the Waikato River for the Tongariro Power Scheme, or the smaller hydropower scheme that diverts flow from an upper tributary of</w:t>
      </w:r>
      <w:r w:rsidR="00EB6873">
        <w:t> </w:t>
      </w:r>
      <w:r w:rsidRPr="00FB249F">
        <w:t>the Manawatū River to the Mangahao Power Station in the lower Manawatū River catchment (Genesis Energy, nd; Horizons Regional Council, 2019).</w:t>
      </w:r>
    </w:p>
    <w:p w14:paraId="7C15A1CC" w14:textId="7210007B" w:rsidR="005669EA" w:rsidRPr="00FB249F" w:rsidRDefault="005669EA" w:rsidP="005669EA">
      <w:pPr>
        <w:pStyle w:val="Heading3"/>
      </w:pPr>
      <w:bookmarkStart w:id="82" w:name="_Average_daily_flow-proportional"/>
      <w:bookmarkEnd w:id="82"/>
      <w:r w:rsidRPr="00FB249F">
        <w:lastRenderedPageBreak/>
        <w:t>Average daily flow-proportional streamflow depletion</w:t>
      </w:r>
      <w:r w:rsidR="00482A59">
        <w:t> </w:t>
      </w:r>
      <w:r w:rsidRPr="00FB249F">
        <w:t>across seasons</w:t>
      </w:r>
    </w:p>
    <w:p w14:paraId="64ED0A11" w14:textId="65221F8E" w:rsidR="005669EA" w:rsidRPr="00FB249F" w:rsidRDefault="005669EA" w:rsidP="005669EA">
      <w:pPr>
        <w:pStyle w:val="BodyText"/>
      </w:pPr>
      <w:r w:rsidRPr="00FB249F">
        <w:t xml:space="preserve">To enable us to assess the estimated impacts of measured abstractions on natural daily streamflows at the assessed gauging sites across the regions and across seasons, we calculated the average daily ratio of streamflow depletion to estimated natural flow for each site for each of the 12 seasons from winter 2015 to autumn 2018, and plotted these on maps (see figure </w:t>
      </w:r>
      <w:r w:rsidR="00F76085">
        <w:t>16</w:t>
      </w:r>
      <w:r w:rsidRPr="00FB249F">
        <w:t xml:space="preserve">). To provide context for the findings, and for simplicity of communication, we aggregated these ratios into the same </w:t>
      </w:r>
      <w:r w:rsidR="005F252A">
        <w:t xml:space="preserve">arbitrary </w:t>
      </w:r>
      <w:r w:rsidRPr="00FB249F">
        <w:t>categories used in our first approach</w:t>
      </w:r>
      <w:r w:rsidR="009234A7">
        <w:t xml:space="preserve"> (see</w:t>
      </w:r>
      <w:r w:rsidR="00CA2EC9">
        <w:t xml:space="preserve"> </w:t>
      </w:r>
      <w:hyperlink w:anchor="_Comparing_estimated_streamflow" w:history="1">
        <w:r w:rsidR="00CA2EC9" w:rsidRPr="00022D35">
          <w:rPr>
            <w:rStyle w:val="Hyperlink"/>
          </w:rPr>
          <w:t xml:space="preserve">Comparing </w:t>
        </w:r>
        <w:r w:rsidR="002D1124" w:rsidRPr="00022D35">
          <w:rPr>
            <w:rStyle w:val="Hyperlink"/>
          </w:rPr>
          <w:t>estimated streamflow depletion to estimated long</w:t>
        </w:r>
        <w:r w:rsidR="00357DFA" w:rsidRPr="00022D35">
          <w:rPr>
            <w:rStyle w:val="Hyperlink"/>
          </w:rPr>
          <w:t>-term natural median flow)</w:t>
        </w:r>
        <w:r w:rsidR="00022D35" w:rsidRPr="00022D35">
          <w:rPr>
            <w:rStyle w:val="Hyperlink"/>
          </w:rPr>
          <w:t>.</w:t>
        </w:r>
      </w:hyperlink>
      <w:r w:rsidRPr="00FB249F">
        <w:t xml:space="preserve"> </w:t>
      </w:r>
    </w:p>
    <w:p w14:paraId="301646D7" w14:textId="02B8EBE7" w:rsidR="000B4C3B" w:rsidRDefault="000B4C3B" w:rsidP="001E64CD">
      <w:pPr>
        <w:pStyle w:val="BodyText"/>
      </w:pPr>
    </w:p>
    <w:p w14:paraId="2E197086" w14:textId="77777777" w:rsidR="000B4C3B" w:rsidRDefault="000B4C3B">
      <w:pPr>
        <w:spacing w:before="0" w:after="200" w:line="276" w:lineRule="auto"/>
        <w:jc w:val="left"/>
      </w:pPr>
      <w:r>
        <w:br w:type="page"/>
      </w:r>
    </w:p>
    <w:p w14:paraId="498D9D4C" w14:textId="6317EBC2" w:rsidR="000B4C3B" w:rsidRDefault="00E03A7F" w:rsidP="000B4C3B">
      <w:pPr>
        <w:pStyle w:val="Figureheading"/>
        <w:spacing w:after="0"/>
      </w:pPr>
      <w:bookmarkStart w:id="83" w:name="_Toc88208558"/>
      <w:bookmarkStart w:id="84" w:name="_Toc90312418"/>
      <w:r w:rsidRPr="00FB249F">
        <w:lastRenderedPageBreak/>
        <w:t xml:space="preserve">Figure </w:t>
      </w:r>
      <w:r w:rsidR="00C75BBE" w:rsidRPr="00FB249F">
        <w:t>1</w:t>
      </w:r>
      <w:r w:rsidR="00C75BBE">
        <w:t>6</w:t>
      </w:r>
      <w:r w:rsidRPr="00FB249F">
        <w:t>:</w:t>
      </w:r>
      <w:r w:rsidRPr="00FB249F">
        <w:tab/>
        <w:t xml:space="preserve">Average daily ratio of estimated streamflow depletion to estimated natural streamflow at gauging sites in the Wellington and Manawatū-Whanganui regions by season, </w:t>
      </w:r>
      <w:r w:rsidRPr="00FB249F">
        <w:br/>
        <w:t>winter 2015–autumn 2018</w:t>
      </w:r>
      <w:bookmarkEnd w:id="83"/>
      <w:bookmarkEnd w:id="84"/>
    </w:p>
    <w:p w14:paraId="453773D9" w14:textId="27678608" w:rsidR="00E03A7F" w:rsidRPr="00FB249F" w:rsidRDefault="00E03A7F" w:rsidP="00E03A7F">
      <w:pPr>
        <w:pStyle w:val="BodyText"/>
        <w:spacing w:before="0"/>
      </w:pPr>
      <w:r w:rsidRPr="00FB249F">
        <w:rPr>
          <w:noProof/>
        </w:rPr>
        <w:drawing>
          <wp:inline distT="0" distB="0" distL="0" distR="0" wp14:anchorId="34532A8B" wp14:editId="061A8611">
            <wp:extent cx="5397613" cy="7355960"/>
            <wp:effectExtent l="0" t="0" r="0" b="0"/>
            <wp:docPr id="56" name="Picture 5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diagram&#10;&#10;Description automatically generated"/>
                    <pic:cNvPicPr/>
                  </pic:nvPicPr>
                  <pic:blipFill rotWithShape="1">
                    <a:blip r:embed="rId43" cstate="print">
                      <a:extLst>
                        <a:ext uri="{28A0092B-C50C-407E-A947-70E740481C1C}">
                          <a14:useLocalDpi xmlns:a14="http://schemas.microsoft.com/office/drawing/2010/main" val="0"/>
                        </a:ext>
                      </a:extLst>
                    </a:blip>
                    <a:srcRect l="2237" t="6428" r="1746" b="7047"/>
                    <a:stretch/>
                  </pic:blipFill>
                  <pic:spPr bwMode="auto">
                    <a:xfrm>
                      <a:off x="0" y="0"/>
                      <a:ext cx="5409926" cy="7372741"/>
                    </a:xfrm>
                    <a:prstGeom prst="rect">
                      <a:avLst/>
                    </a:prstGeom>
                    <a:ln>
                      <a:noFill/>
                    </a:ln>
                    <a:extLst>
                      <a:ext uri="{53640926-AAD7-44D8-BBD7-CCE9431645EC}">
                        <a14:shadowObscured xmlns:a14="http://schemas.microsoft.com/office/drawing/2010/main"/>
                      </a:ext>
                    </a:extLst>
                  </pic:spPr>
                </pic:pic>
              </a:graphicData>
            </a:graphic>
          </wp:inline>
        </w:drawing>
      </w:r>
    </w:p>
    <w:p w14:paraId="7B64364D" w14:textId="2350DEDF" w:rsidR="00E03A7F" w:rsidRPr="00FB249F" w:rsidRDefault="00E03A7F" w:rsidP="00E03A7F">
      <w:pPr>
        <w:pStyle w:val="Source"/>
        <w:spacing w:before="0" w:after="0"/>
      </w:pPr>
      <w:r w:rsidRPr="00FB249F">
        <w:t xml:space="preserve">Data sources: National Institute of </w:t>
      </w:r>
      <w:r w:rsidR="000700B3">
        <w:t>Water</w:t>
      </w:r>
      <w:r w:rsidR="000700B3" w:rsidRPr="00FB249F">
        <w:t xml:space="preserve"> </w:t>
      </w:r>
      <w:r w:rsidRPr="00FB249F">
        <w:t>and Atmospheric Research (NIWA), GWRC and Horizons</w:t>
      </w:r>
    </w:p>
    <w:p w14:paraId="4E842C72" w14:textId="77777777" w:rsidR="00E03A7F" w:rsidRPr="00FB249F" w:rsidRDefault="00E03A7F" w:rsidP="00E03A7F">
      <w:pPr>
        <w:pStyle w:val="Note"/>
      </w:pPr>
      <w:r w:rsidRPr="00FB249F">
        <w:t>Note: Abstractions for hydropower were not included in the analysis, so the estimated streamflow depletion effects of consumptive hydropower abstractions are not shown. Analysis assumes that all groundwater abstractions deplete streamflow, and that no abstracted surface- or groundwater is returned to the river network. Estimated natural streamflow calculated using validated abstraction and streamflow time-series datasets only; excludes datasets that did not meet data quality criteria, and does not account for the potential influence of unmeasured, unreported and underreported abstractions, or for the influence of hydropower schemes.</w:t>
      </w:r>
    </w:p>
    <w:p w14:paraId="3FA9F0A6" w14:textId="6EBD8771" w:rsidR="00E03A7F" w:rsidRPr="00FB249F" w:rsidRDefault="00E03A7F" w:rsidP="00E03A7F">
      <w:pPr>
        <w:pStyle w:val="BodyText"/>
      </w:pPr>
      <w:r w:rsidRPr="00FB249F">
        <w:lastRenderedPageBreak/>
        <w:t xml:space="preserve">This method was successful in providing rough estimates of the </w:t>
      </w:r>
      <w:r w:rsidR="008F6F7D">
        <w:t xml:space="preserve">average </w:t>
      </w:r>
      <w:r w:rsidRPr="00FB249F">
        <w:t>proportion of natural daily streamflow removed from catchments upstream of the river- and streamflow gauging sites as</w:t>
      </w:r>
      <w:r w:rsidR="000D0F2C" w:rsidRPr="00FB249F">
        <w:t> </w:t>
      </w:r>
      <w:r w:rsidRPr="00FB249F">
        <w:t>a result of measured non-hydropower abstractions across the three-year study period. It</w:t>
      </w:r>
      <w:r w:rsidR="000D0F2C" w:rsidRPr="00FB249F">
        <w:t> </w:t>
      </w:r>
      <w:r w:rsidRPr="00FB249F">
        <w:t>demonstrated that flow-proportional depletion was experienced to different degrees according to location and season, and was most pronounced in the summer seasons.</w:t>
      </w:r>
    </w:p>
    <w:p w14:paraId="7581E4F9" w14:textId="22314978" w:rsidR="00E03A7F" w:rsidRPr="00FB249F" w:rsidRDefault="00E03A7F" w:rsidP="00E03A7F">
      <w:pPr>
        <w:pStyle w:val="BodyText"/>
      </w:pPr>
      <w:r w:rsidRPr="00FB249F">
        <w:t>The analysis for the Wellington region estimates that none of the catchments upstream of the</w:t>
      </w:r>
      <w:r w:rsidR="000D0F2C" w:rsidRPr="00FB249F">
        <w:t> </w:t>
      </w:r>
      <w:r w:rsidRPr="00FB249F">
        <w:t>assessed gauging sites experienced average daily streamflow depletion greater than 25</w:t>
      </w:r>
      <w:r w:rsidR="000D0F2C" w:rsidRPr="00FB249F">
        <w:t> </w:t>
      </w:r>
      <w:r w:rsidRPr="00FB249F">
        <w:t>per</w:t>
      </w:r>
      <w:r w:rsidR="000D0F2C" w:rsidRPr="00FB249F">
        <w:t> </w:t>
      </w:r>
      <w:r w:rsidRPr="00FB249F">
        <w:t>cent of natural streamflow in winter or spring seasons (June to November), or in autumn of 2017 or 2018, and that most experienced average daily streamflow depletion less than 5 per cent of natural streamflow during these seasons. However, it estimates that most of</w:t>
      </w:r>
      <w:r w:rsidR="003E1B49" w:rsidRPr="00FB249F">
        <w:t xml:space="preserve"> </w:t>
      </w:r>
      <w:r w:rsidRPr="00FB249F">
        <w:t xml:space="preserve">these catchments experienced average daily streamflow depletion greater than 5 per cent in summer and autumn 2016, and summers of 2017 and 2018, and that several experienced average daily streamflow depletion greater than 25 per cent of natural streamflow in one or more of these seasons. If these estimates are accurate, they may partly be the result of lower natural streamflows due to a drought in Wellington and the Wairarapa from summer 2015 to spring 2016, and in Summer 2018 (Stats NZ, 2020). </w:t>
      </w:r>
    </w:p>
    <w:p w14:paraId="133A080A" w14:textId="77777777" w:rsidR="00E03A7F" w:rsidRPr="00FB249F" w:rsidRDefault="00E03A7F" w:rsidP="00E03A7F">
      <w:pPr>
        <w:pStyle w:val="BodyText"/>
      </w:pPr>
      <w:r w:rsidRPr="00FB249F">
        <w:t>The analysis for the Manawatū-Whanganui region estimates that none of the catchments upstream of the assessed gauging sites in the region experienced average daily streamflow depletion greater than 5 per cent of natural streamflow in winter or spring 2015, or during any seasons from winter 2016 to spring 2017, and that only a few catchments experienced average daily streamflow depletion greater than this outside of these seasons. It also estimates that none of the assessed catchments experienced average daily streamflow depletion greater than 25 per cent of natural streamflow during any season of the three-year study period. It is noted that the higher average daily streamflow depletion estimated for some catchments during summer and autumn 2016 and summer and autumn 2018 coincided with droughts that occurred across the region during these seasons (Stats NZ, 2020).</w:t>
      </w:r>
    </w:p>
    <w:p w14:paraId="09807A0A" w14:textId="612C4815" w:rsidR="00143F38" w:rsidRPr="00FB249F" w:rsidRDefault="00143F38" w:rsidP="00143F38">
      <w:pPr>
        <w:pStyle w:val="Heading3"/>
      </w:pPr>
      <w:r w:rsidRPr="00FB249F">
        <w:t>Frequency and severity of flow-proportional streamflow depletion by season</w:t>
      </w:r>
    </w:p>
    <w:p w14:paraId="545C055A" w14:textId="517F4927" w:rsidR="00A26516" w:rsidRDefault="00143F38" w:rsidP="00143F38">
      <w:pPr>
        <w:pStyle w:val="BodyText"/>
      </w:pPr>
      <w:r w:rsidRPr="00FB249F">
        <w:t xml:space="preserve">To refine our assessment of the estimated impacts of measured abstractions on natural daily streamflows at the assessed gauging sites, we calculated the proportion of winter, spring, summer and autumn days that the estimated flow-proportional streamflow depletion ratios for each site exceeded the same </w:t>
      </w:r>
      <w:r w:rsidR="002A512A">
        <w:t>arbitrary</w:t>
      </w:r>
      <w:r w:rsidR="00015043">
        <w:t xml:space="preserve"> </w:t>
      </w:r>
      <w:r w:rsidRPr="00FB249F">
        <w:t xml:space="preserve">numeric </w:t>
      </w:r>
      <w:r w:rsidR="00FF3575">
        <w:t>categories</w:t>
      </w:r>
      <w:r w:rsidR="00FF3575" w:rsidRPr="00FB249F">
        <w:t xml:space="preserve"> </w:t>
      </w:r>
      <w:r w:rsidRPr="00FB249F">
        <w:t xml:space="preserve">used in the preceding analyses, and plotted these graphically (see figures </w:t>
      </w:r>
      <w:r w:rsidR="006065C5">
        <w:t>17</w:t>
      </w:r>
      <w:r w:rsidR="006065C5" w:rsidRPr="00FB249F">
        <w:t xml:space="preserve"> </w:t>
      </w:r>
      <w:r w:rsidRPr="00FB249F">
        <w:t xml:space="preserve">and </w:t>
      </w:r>
      <w:r w:rsidR="006065C5">
        <w:t>18</w:t>
      </w:r>
      <w:r w:rsidRPr="00FB249F">
        <w:t xml:space="preserve">). We also used the upstream catchment areas from the digital river network to assess the potential spatial significance of the results for individual gauging sites at the catchment level. </w:t>
      </w:r>
    </w:p>
    <w:p w14:paraId="66CC3CC5" w14:textId="51A1BB1C" w:rsidR="00A26516" w:rsidRDefault="009710ED" w:rsidP="00143F38">
      <w:pPr>
        <w:pStyle w:val="BodyText"/>
      </w:pPr>
      <w:r>
        <w:t>T</w:t>
      </w:r>
      <w:r w:rsidR="00F144B0">
        <w:t xml:space="preserve">he numeric categories </w:t>
      </w:r>
      <w:r w:rsidR="00F0638E">
        <w:t xml:space="preserve">in figures 17 and 18 </w:t>
      </w:r>
      <w:r w:rsidR="00E438C4">
        <w:t xml:space="preserve">are divided by arbitrary thresholds of </w:t>
      </w:r>
      <w:r w:rsidR="00105C47">
        <w:t xml:space="preserve">5 per cent, </w:t>
      </w:r>
      <w:r w:rsidR="00312E32">
        <w:t>25 per cent</w:t>
      </w:r>
      <w:r w:rsidR="00040FC3">
        <w:t>, 50 per cent, and 100 per cent</w:t>
      </w:r>
      <w:r w:rsidR="00364B06">
        <w:t xml:space="preserve"> of </w:t>
      </w:r>
      <w:r w:rsidR="00C228A4">
        <w:t xml:space="preserve">estimated natural </w:t>
      </w:r>
      <w:r w:rsidR="00B07408">
        <w:t>daily streamflow</w:t>
      </w:r>
      <w:r w:rsidR="005A2BCB">
        <w:t xml:space="preserve">, </w:t>
      </w:r>
      <w:r>
        <w:t xml:space="preserve">but </w:t>
      </w:r>
      <w:r w:rsidR="005A2BCB">
        <w:t xml:space="preserve">the </w:t>
      </w:r>
      <w:r w:rsidR="001F2132">
        <w:t xml:space="preserve">5 and 25 per cent thresholds roughly align with the </w:t>
      </w:r>
      <w:r w:rsidR="00F75561">
        <w:t xml:space="preserve">streamflow alteration thresholds for ecological protection found in international research in Richter et al (2011). </w:t>
      </w:r>
      <w:r w:rsidR="00F0638E">
        <w:t>This paper suggested that alteration less than 10 per cent of natural daily flow is expected to have minimal impact on e</w:t>
      </w:r>
      <w:r>
        <w:t>cosystems</w:t>
      </w:r>
      <w:r w:rsidR="00ED57CD">
        <w:t>, and greater than 20 per cent will likely result in moderate to major ecosystem impacts.</w:t>
      </w:r>
      <w:r w:rsidR="004E0181">
        <w:t xml:space="preserve"> It could therefore be expected that </w:t>
      </w:r>
      <w:r w:rsidR="008753A5">
        <w:t>streamflow depletion</w:t>
      </w:r>
      <w:r w:rsidR="00D0406D">
        <w:t>:</w:t>
      </w:r>
    </w:p>
    <w:p w14:paraId="1E6151DA" w14:textId="431258BF" w:rsidR="00BC1A78" w:rsidRDefault="00BC1A78" w:rsidP="00BC1A78">
      <w:pPr>
        <w:pStyle w:val="Bullet"/>
        <w:tabs>
          <w:tab w:val="num" w:pos="397"/>
        </w:tabs>
      </w:pPr>
      <w:r>
        <w:t xml:space="preserve">less than 5 per cent of estimated </w:t>
      </w:r>
      <w:r w:rsidR="00FE0DE8">
        <w:t>natural</w:t>
      </w:r>
      <w:r w:rsidR="00F04B8A">
        <w:t xml:space="preserve"> daily</w:t>
      </w:r>
      <w:r>
        <w:t xml:space="preserve"> flow (yellow in figures </w:t>
      </w:r>
      <w:r w:rsidR="00F74A83">
        <w:t>1</w:t>
      </w:r>
      <w:r>
        <w:t xml:space="preserve">7 and </w:t>
      </w:r>
      <w:r w:rsidR="00F74A83">
        <w:t>1</w:t>
      </w:r>
      <w:r>
        <w:t>8) would not harm ecosystems</w:t>
      </w:r>
    </w:p>
    <w:p w14:paraId="24F3D051" w14:textId="77777777" w:rsidR="00C17046" w:rsidRDefault="00BC1A78" w:rsidP="00F23144">
      <w:pPr>
        <w:pStyle w:val="Bullet"/>
        <w:tabs>
          <w:tab w:val="num" w:pos="397"/>
        </w:tabs>
      </w:pPr>
      <w:r>
        <w:t xml:space="preserve">5–25 per cent (light green in figures </w:t>
      </w:r>
      <w:r w:rsidR="00D63D50">
        <w:t>1</w:t>
      </w:r>
      <w:r>
        <w:t xml:space="preserve">7 and </w:t>
      </w:r>
      <w:r w:rsidR="00D63D50">
        <w:t>1</w:t>
      </w:r>
      <w:r>
        <w:t>8) might have some ecosystem impacts</w:t>
      </w:r>
    </w:p>
    <w:p w14:paraId="6FA16275" w14:textId="56829C25" w:rsidR="00D0406D" w:rsidRDefault="00BC1A78" w:rsidP="00203EB2">
      <w:pPr>
        <w:pStyle w:val="Bullet"/>
        <w:tabs>
          <w:tab w:val="num" w:pos="397"/>
        </w:tabs>
      </w:pPr>
      <w:r>
        <w:lastRenderedPageBreak/>
        <w:t>greater than 25 per cent (dark green</w:t>
      </w:r>
      <w:r w:rsidR="008D59B8">
        <w:t xml:space="preserve"> and </w:t>
      </w:r>
      <w:r>
        <w:t xml:space="preserve">blue in figures </w:t>
      </w:r>
      <w:r w:rsidR="008D59B8">
        <w:t>1</w:t>
      </w:r>
      <w:r>
        <w:t xml:space="preserve">7 and </w:t>
      </w:r>
      <w:r w:rsidR="008D59B8">
        <w:t>1</w:t>
      </w:r>
      <w:r>
        <w:t>8) would almost certainly cause ecosystem harm.</w:t>
      </w:r>
    </w:p>
    <w:p w14:paraId="20D6978B" w14:textId="2C0F6CC3" w:rsidR="00143F38" w:rsidRPr="00FB249F" w:rsidRDefault="00143F38" w:rsidP="00143F38">
      <w:pPr>
        <w:pStyle w:val="BodyText"/>
      </w:pPr>
      <w:r w:rsidRPr="00FB249F">
        <w:t>This method was successful in providing a more detailed assessment of seasonal patterns of flow-proportional streamflow depletion; specifically, it demonstrated the frequency and severity of the daily depletion effects estimated to have occurred in individual catchments, and how these effects were expressed seasonally. In doing so, it captures potentially significant flow-proportional depletion events that might be too infrequent or of too short a duration to be captured by seasonal averages. A detailed discussion of the results for the Wellington and Manawatū-Whanganui regions is provided in the following paragraphs.</w:t>
      </w:r>
    </w:p>
    <w:p w14:paraId="29102C73" w14:textId="6C85F55E" w:rsidR="00983F49" w:rsidRDefault="00143F38" w:rsidP="00983F49">
      <w:pPr>
        <w:pStyle w:val="Figureheading"/>
      </w:pPr>
      <w:bookmarkStart w:id="85" w:name="_Toc88208559"/>
      <w:bookmarkStart w:id="86" w:name="_Toc90312419"/>
      <w:r w:rsidRPr="00FB249F">
        <w:t xml:space="preserve">Figure </w:t>
      </w:r>
      <w:r w:rsidR="00C75BBE" w:rsidRPr="00FB249F">
        <w:t>1</w:t>
      </w:r>
      <w:r w:rsidR="00C75BBE">
        <w:t>7</w:t>
      </w:r>
      <w:r w:rsidRPr="00FB249F">
        <w:t xml:space="preserve">: </w:t>
      </w:r>
      <w:r w:rsidRPr="00FB249F">
        <w:tab/>
        <w:t>Percentage of spring, summer, autumn and winter days where the ratio of upstream depletion to estimated natural streamflow exceeded thresholds at gauging sites in the Wellington region, June 2015–May 2018</w:t>
      </w:r>
      <w:bookmarkEnd w:id="85"/>
      <w:bookmarkEnd w:id="86"/>
    </w:p>
    <w:p w14:paraId="52167CF6" w14:textId="26B2811E" w:rsidR="00143F38" w:rsidRPr="00FB249F" w:rsidRDefault="00873E52" w:rsidP="00143F38">
      <w:pPr>
        <w:pStyle w:val="BodyText"/>
      </w:pPr>
      <w:r>
        <w:rPr>
          <w:noProof/>
        </w:rPr>
        <w:drawing>
          <wp:inline distT="0" distB="0" distL="0" distR="0" wp14:anchorId="4620A5DE" wp14:editId="0B5670E5">
            <wp:extent cx="5331124" cy="5697975"/>
            <wp:effectExtent l="0" t="0" r="317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4">
                      <a:extLst>
                        <a:ext uri="{28A0092B-C50C-407E-A947-70E740481C1C}">
                          <a14:useLocalDpi xmlns:a14="http://schemas.microsoft.com/office/drawing/2010/main" val="0"/>
                        </a:ext>
                      </a:extLst>
                    </a:blip>
                    <a:srcRect t="1012" b="2305"/>
                    <a:stretch/>
                  </pic:blipFill>
                  <pic:spPr bwMode="auto">
                    <a:xfrm>
                      <a:off x="0" y="0"/>
                      <a:ext cx="5334142" cy="5701201"/>
                    </a:xfrm>
                    <a:prstGeom prst="rect">
                      <a:avLst/>
                    </a:prstGeom>
                    <a:noFill/>
                    <a:ln>
                      <a:noFill/>
                    </a:ln>
                    <a:extLst>
                      <a:ext uri="{53640926-AAD7-44D8-BBD7-CCE9431645EC}">
                        <a14:shadowObscured xmlns:a14="http://schemas.microsoft.com/office/drawing/2010/main"/>
                      </a:ext>
                    </a:extLst>
                  </pic:spPr>
                </pic:pic>
              </a:graphicData>
            </a:graphic>
          </wp:inline>
        </w:drawing>
      </w:r>
    </w:p>
    <w:p w14:paraId="43C4C707" w14:textId="77777777" w:rsidR="00143F38" w:rsidRPr="00FB249F" w:rsidRDefault="00143F38" w:rsidP="00C77D4B">
      <w:pPr>
        <w:pStyle w:val="Source"/>
        <w:spacing w:before="60" w:after="0"/>
      </w:pPr>
      <w:r w:rsidRPr="00FB249F">
        <w:t>Data sources: NIWA and GWRC</w:t>
      </w:r>
    </w:p>
    <w:p w14:paraId="6F143354" w14:textId="77777777" w:rsidR="00143F38" w:rsidRPr="00FB249F" w:rsidRDefault="00143F38" w:rsidP="00143F38">
      <w:pPr>
        <w:pStyle w:val="Note"/>
      </w:pPr>
      <w:r w:rsidRPr="00FB249F">
        <w:t>Note: Analysis assumes all groundwater abstractions deplete streamflow, and no abstracted surface- or groundwater is returned to the river network. Estimated natural streamflow calculated using validated abstraction and streamflow time-series datasets only; excludes datasets that did not meet data quality criteria, and does not account for the potential influence of unmeasured, unreported and underreported abstractions.</w:t>
      </w:r>
    </w:p>
    <w:p w14:paraId="75020AE8" w14:textId="6B09E70E" w:rsidR="00143F38" w:rsidRPr="00FB249F" w:rsidRDefault="00143F38" w:rsidP="00143F38">
      <w:pPr>
        <w:pStyle w:val="Figureheading"/>
      </w:pPr>
      <w:bookmarkStart w:id="87" w:name="_Toc88208560"/>
      <w:bookmarkStart w:id="88" w:name="_Toc90312420"/>
      <w:r w:rsidRPr="00FB249F">
        <w:lastRenderedPageBreak/>
        <w:t xml:space="preserve">Figure </w:t>
      </w:r>
      <w:r w:rsidR="00C75BBE">
        <w:t>18</w:t>
      </w:r>
      <w:r w:rsidRPr="00FB249F">
        <w:t xml:space="preserve">: </w:t>
      </w:r>
      <w:r w:rsidRPr="00FB249F">
        <w:tab/>
        <w:t>Percentage of spring, summer, autumn and winter days where the ratio of upstream depletion to estimated natural streamflow exceeded thresholds at gauging sites in the Manawatū-Whanganui region, June 2015–May 2018</w:t>
      </w:r>
      <w:bookmarkEnd w:id="87"/>
      <w:bookmarkEnd w:id="88"/>
    </w:p>
    <w:p w14:paraId="69ACE7DC" w14:textId="149E8910" w:rsidR="00143F38" w:rsidRPr="00FB249F" w:rsidRDefault="00C45709" w:rsidP="00D56C4B">
      <w:pPr>
        <w:pStyle w:val="BodyText"/>
      </w:pPr>
      <w:r>
        <w:rPr>
          <w:noProof/>
        </w:rPr>
        <w:drawing>
          <wp:inline distT="0" distB="0" distL="0" distR="0" wp14:anchorId="32D9E38F" wp14:editId="1ACB508F">
            <wp:extent cx="5460521" cy="5731780"/>
            <wp:effectExtent l="0" t="0" r="6985"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5">
                      <a:extLst>
                        <a:ext uri="{28A0092B-C50C-407E-A947-70E740481C1C}">
                          <a14:useLocalDpi xmlns:a14="http://schemas.microsoft.com/office/drawing/2010/main" val="0"/>
                        </a:ext>
                      </a:extLst>
                    </a:blip>
                    <a:srcRect t="871" b="4064"/>
                    <a:stretch/>
                  </pic:blipFill>
                  <pic:spPr bwMode="auto">
                    <a:xfrm>
                      <a:off x="0" y="0"/>
                      <a:ext cx="5463569" cy="5734979"/>
                    </a:xfrm>
                    <a:prstGeom prst="rect">
                      <a:avLst/>
                    </a:prstGeom>
                    <a:noFill/>
                    <a:ln>
                      <a:noFill/>
                    </a:ln>
                    <a:extLst>
                      <a:ext uri="{53640926-AAD7-44D8-BBD7-CCE9431645EC}">
                        <a14:shadowObscured xmlns:a14="http://schemas.microsoft.com/office/drawing/2010/main"/>
                      </a:ext>
                    </a:extLst>
                  </pic:spPr>
                </pic:pic>
              </a:graphicData>
            </a:graphic>
          </wp:inline>
        </w:drawing>
      </w:r>
    </w:p>
    <w:p w14:paraId="2947CD2C" w14:textId="77777777" w:rsidR="00143F38" w:rsidRPr="00FB249F" w:rsidRDefault="00143F38" w:rsidP="00C77D4B">
      <w:pPr>
        <w:pStyle w:val="Note"/>
        <w:spacing w:before="60" w:after="0"/>
      </w:pPr>
      <w:r w:rsidRPr="00FB249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FB249F">
        <w:t>Data sources: NIWA, Horizons Regional Council</w:t>
      </w:r>
    </w:p>
    <w:p w14:paraId="4296DA31" w14:textId="1F13F666" w:rsidR="00143F38" w:rsidRPr="00FB249F" w:rsidRDefault="00143F38" w:rsidP="00143F38">
      <w:pPr>
        <w:pStyle w:val="Note"/>
      </w:pPr>
      <w:r w:rsidRPr="00FB249F">
        <w:t>Note: Abstractions for hydropower were not included in the analysis, so the estimated streamflow depletion effects of consumptive hydropower abstractions are not shown. Analysis assumes all groundwater abstractions deplete streamflow, and no abstracted surface- or groundwater is returned to the river network. Estimated natural streamflow calculated using validated abstraction and streamflow time-series datasets only; excludes datasets that</w:t>
      </w:r>
      <w:r w:rsidR="00C77D4B" w:rsidRPr="00FB249F">
        <w:t> </w:t>
      </w:r>
      <w:r w:rsidRPr="00FB249F">
        <w:t>did not meet data quality criteria, and does not account for the potential influence of unmeasured, unreported and underreported abstractions, or for the influence of hydropower schemes.</w:t>
      </w:r>
    </w:p>
    <w:p w14:paraId="1425727D" w14:textId="3AE05492" w:rsidR="00C77D4B" w:rsidRPr="00FB249F" w:rsidRDefault="00C77D4B" w:rsidP="00C77D4B">
      <w:pPr>
        <w:pStyle w:val="BodyText"/>
      </w:pPr>
      <w:r w:rsidRPr="00FB249F">
        <w:t xml:space="preserve">The assessment for the approximately 3,435 square kilometre Ruamahanga River catchment in the Wellington region estimates that the 95 square kilometres upstream of the Otakura and Parkvale Stream gauging sites experienced streamflow depletion greater than 25 per cent of natural streamflow (dark green and blue on figure </w:t>
      </w:r>
      <w:r w:rsidR="006065C5">
        <w:t>17</w:t>
      </w:r>
      <w:r w:rsidRPr="00FB249F">
        <w:t xml:space="preserve">) on most summer days, and on approximately 20 per cent of autumn and spring days, but the 140 square kilometres upstream of the Huangarua River gauging site experienced depletion of 5 per cent of natural flow or less (yellow on figure </w:t>
      </w:r>
      <w:r w:rsidR="007147C7">
        <w:t>17</w:t>
      </w:r>
      <w:r w:rsidRPr="00FB249F">
        <w:t xml:space="preserve">) for the entirety of the three-year study period. It further estimates that the 2,125 square kilometres upstream of the five other river- and streamflow gauging sites </w:t>
      </w:r>
      <w:r w:rsidRPr="00FB249F">
        <w:lastRenderedPageBreak/>
        <w:t>in</w:t>
      </w:r>
      <w:r w:rsidR="00C138C2" w:rsidRPr="00FB249F">
        <w:t> </w:t>
      </w:r>
      <w:r w:rsidRPr="00FB249F">
        <w:t>the Ruamahanga River catchment</w:t>
      </w:r>
      <w:r w:rsidRPr="00FB249F">
        <w:rPr>
          <w:rStyle w:val="FootnoteReference"/>
        </w:rPr>
        <w:footnoteReference w:id="7"/>
      </w:r>
      <w:r w:rsidRPr="00FB249F">
        <w:t xml:space="preserve"> experienced depletion between 5 and 25 per cent of</w:t>
      </w:r>
      <w:r w:rsidR="00C138C2" w:rsidRPr="00FB249F">
        <w:t> </w:t>
      </w:r>
      <w:r w:rsidRPr="00FB249F">
        <w:t xml:space="preserve">natural flow (light green on figure </w:t>
      </w:r>
      <w:r w:rsidR="007147C7">
        <w:t>17</w:t>
      </w:r>
      <w:r w:rsidRPr="00FB249F">
        <w:t xml:space="preserve">) between approximately half and three quarters of summer days, approximately a quarter of autumn days, and approximately 10 per cent of spring days. </w:t>
      </w:r>
    </w:p>
    <w:p w14:paraId="7BA5E698" w14:textId="396B35E8" w:rsidR="00C77D4B" w:rsidRPr="00FB249F" w:rsidRDefault="00C77D4B" w:rsidP="00C77D4B">
      <w:pPr>
        <w:pStyle w:val="BodyText"/>
      </w:pPr>
      <w:r w:rsidRPr="00FB249F">
        <w:t xml:space="preserve">The assessment for the other Wellington region catchments estimates that the 30 square </w:t>
      </w:r>
      <w:r w:rsidRPr="00FB249F">
        <w:rPr>
          <w:spacing w:val="-2"/>
        </w:rPr>
        <w:t>kilometres upstream of the gauging site in the approximately 95 square kilometre Orongorongo</w:t>
      </w:r>
      <w:r w:rsidRPr="00FB249F">
        <w:t xml:space="preserve"> River catchment experienced streamflow depletion greater than 25 per cent of natural streamflow (dark green and blue on figure </w:t>
      </w:r>
      <w:r w:rsidR="007147C7">
        <w:t>17</w:t>
      </w:r>
      <w:r w:rsidRPr="00FB249F">
        <w:t xml:space="preserve">) on more than half of summer days, and on </w:t>
      </w:r>
      <w:r w:rsidRPr="00FB249F">
        <w:rPr>
          <w:spacing w:val="-2"/>
        </w:rPr>
        <w:t>approximately a quarter of autumn, winter and spring days, and that the 640 square kilometres</w:t>
      </w:r>
      <w:r w:rsidRPr="00FB249F">
        <w:t xml:space="preserve"> upstream of the gauging sites in the approximately 640 square kilometre Hutt River and approximately 135 square kilometre Wainuiomata River catchments experienced depletion between 5 and 25 per cent of natural flow (light green on figure </w:t>
      </w:r>
      <w:r w:rsidR="007147C7">
        <w:t>17</w:t>
      </w:r>
      <w:r w:rsidRPr="00FB249F">
        <w:t xml:space="preserve">) on more than half the days for each of the four seasons, with very little seasonal variation. It further estimates that the approximately 40 square kilometre Pauatahanui Stream catchment, and the 572 square kilometres upstream of the gauging sites on the approximately 650 square kilometre Pahaoa River and approximately 15 square kilometre Wharemauku Stream catchments experienced depletion of 5 per cent of natural flow or less (yellow on figure </w:t>
      </w:r>
      <w:r w:rsidR="001B5BBB">
        <w:t>17</w:t>
      </w:r>
      <w:r w:rsidRPr="00FB249F">
        <w:t xml:space="preserve">) for all but a handful of days during the three-year study period. </w:t>
      </w:r>
    </w:p>
    <w:p w14:paraId="268C5679" w14:textId="77777777" w:rsidR="00C77D4B" w:rsidRPr="00FB249F" w:rsidRDefault="00C77D4B" w:rsidP="00C77D4B">
      <w:pPr>
        <w:pStyle w:val="BodyText"/>
      </w:pPr>
      <w:r w:rsidRPr="00FB249F">
        <w:t>There were no recorded abstractions in the 30 square kilometres upstream of the gauging site in the approximately 35 square kilometre Horokiri Stream catchment, so the analysis estimates that no depletion occurred in this portion of the catchment.</w:t>
      </w:r>
    </w:p>
    <w:p w14:paraId="70DE202B" w14:textId="047BACDF" w:rsidR="00C77D4B" w:rsidRPr="00FB249F" w:rsidRDefault="00C77D4B" w:rsidP="00C77D4B">
      <w:pPr>
        <w:pStyle w:val="BodyText"/>
      </w:pPr>
      <w:r w:rsidRPr="00FB249F">
        <w:t>The assessment for the approximately 5,875 square kilometre Manawatū River catchment in</w:t>
      </w:r>
      <w:r w:rsidR="00C138C2" w:rsidRPr="00FB249F">
        <w:t> </w:t>
      </w:r>
      <w:r w:rsidRPr="00FB249F">
        <w:t xml:space="preserve">the Manawatū-Whanganui region estimates that only the 610 square kilometres upstream of the Pohangina River and Mangapapa Stream gauging sites experienced streamflow depletion greater than 25 per cent of natural streamflow (dark green on figure </w:t>
      </w:r>
      <w:r w:rsidR="001B5BBB">
        <w:t>18</w:t>
      </w:r>
      <w:r w:rsidRPr="00FB249F">
        <w:t xml:space="preserve">), and only on a handful of summer days. It further estimates that the 125 square kilometres upstream of the Mangapapa Stream gauging site experienced depletion between 5 and 25 per cent of natural flow (light green on figure </w:t>
      </w:r>
      <w:r w:rsidR="001B5BBB">
        <w:t>18</w:t>
      </w:r>
      <w:r w:rsidRPr="00FB249F">
        <w:t>) on approximately 40 per cent of summer days and approximately 25 per cent of autumn days respectively. The assessment also estimates that the 550 square kilometres upstream of the Oruakeretaki Stream gauging site and one of the gauging sites on the upper Manawatū River</w:t>
      </w:r>
      <w:r w:rsidRPr="00FB249F">
        <w:rPr>
          <w:rStyle w:val="FootnoteReference"/>
        </w:rPr>
        <w:footnoteReference w:id="8"/>
      </w:r>
      <w:r w:rsidRPr="00FB249F">
        <w:t xml:space="preserve"> experienced depletion between 5 and 25 per cent of natural flow on approximately 25 per cent of summer days, and on a handful of autumn days. For the 3,060 square kilometres upstream of the remaining assessed gauging sites in the Manawatū River catchment, the assessment estimates that most did not experience depletion of 5 per cent of natural flow or greater on any days during the three-year study period (yellow in figure </w:t>
      </w:r>
      <w:r w:rsidR="00C31AF4">
        <w:t>18</w:t>
      </w:r>
      <w:r w:rsidRPr="00FB249F">
        <w:t>), and those that did only experienced depletion between 5 and 25 per cent of natural flow for a handful of summer and autumn days.</w:t>
      </w:r>
    </w:p>
    <w:p w14:paraId="14850503" w14:textId="3541F6E9" w:rsidR="00C77D4B" w:rsidRPr="00FB249F" w:rsidRDefault="00C77D4B" w:rsidP="00C77D4B">
      <w:pPr>
        <w:pStyle w:val="BodyText"/>
        <w:rPr>
          <w:sz w:val="18"/>
        </w:rPr>
      </w:pPr>
      <w:r w:rsidRPr="00FB249F">
        <w:t xml:space="preserve">The assessment for the other large river catchments in the Manawatū-Whanganui region estimates that the 6,620 square kilometres upstream of the gauging sites in the approximately 7,135 square kilometre Whanganui River catchment did not experience streamflow depletion of 5 per cent of natural streamflow or greater on any days during the three-year study period (yellow on figure </w:t>
      </w:r>
      <w:r w:rsidR="00C31AF4">
        <w:t>18</w:t>
      </w:r>
      <w:r w:rsidRPr="00FB249F">
        <w:t>). For the approximately 1,990 square kilometre Whangaehu and approximately 3,930 square kilometre Rangitīkei River catchments, it estimates that only the</w:t>
      </w:r>
      <w:r w:rsidR="00C138C2" w:rsidRPr="00FB249F">
        <w:t> </w:t>
      </w:r>
      <w:r w:rsidRPr="00FB249F">
        <w:t>55</w:t>
      </w:r>
      <w:r w:rsidR="00C138C2" w:rsidRPr="00FB249F">
        <w:t> </w:t>
      </w:r>
      <w:r w:rsidRPr="00FB249F">
        <w:t xml:space="preserve">square kilometres upstream of the Makotuku River gauging site and the 275 square </w:t>
      </w:r>
      <w:r w:rsidRPr="00FB249F">
        <w:lastRenderedPageBreak/>
        <w:t>kilometres upstream of the Hautapu River gauging site experienced depletion between 5 and 25</w:t>
      </w:r>
      <w:r w:rsidR="00C138C2" w:rsidRPr="00FB249F">
        <w:t> </w:t>
      </w:r>
      <w:r w:rsidRPr="00FB249F">
        <w:t xml:space="preserve">per cent of natural flow (light green on figure </w:t>
      </w:r>
      <w:r w:rsidR="00C31AF4">
        <w:t>18</w:t>
      </w:r>
      <w:r w:rsidRPr="00FB249F">
        <w:t>) for more than a handful of days, and only</w:t>
      </w:r>
      <w:r w:rsidR="00C138C2" w:rsidRPr="00FB249F">
        <w:t> </w:t>
      </w:r>
      <w:r w:rsidRPr="00FB249F">
        <w:t>in summer or autumn. The assessment for the smaller catchments estimates that the 30</w:t>
      </w:r>
      <w:r w:rsidR="00C138C2" w:rsidRPr="00FB249F">
        <w:t> </w:t>
      </w:r>
      <w:r w:rsidRPr="00FB249F">
        <w:t>square kilometres upstream of the gauging site in the 80 square kilometre Waikawa Stream catchment did not experience depletion greater than 5 per cent of natural flow on any days during the three-year study period. However, it estimates that the approximately 190 square kilometre Kai Iwi Stream catchment, and the 105 square kilometres upstream of the gauging site in the approximately 185 square kilometre Ohau River catchment, experienced depletion between 5 and 25 per cent of natural flow on approximately half of summer days and approximately a quarter of autumn days.</w:t>
      </w:r>
    </w:p>
    <w:p w14:paraId="7A1B2A3E" w14:textId="77777777" w:rsidR="0080656A" w:rsidRDefault="0080656A" w:rsidP="0080656A">
      <w:pPr>
        <w:pStyle w:val="BodyText"/>
      </w:pPr>
      <w:bookmarkStart w:id="89" w:name="_Toc88208531"/>
    </w:p>
    <w:p w14:paraId="1E0C3464" w14:textId="5542AE07" w:rsidR="0080656A" w:rsidRPr="0080656A" w:rsidRDefault="0080656A" w:rsidP="0080656A">
      <w:pPr>
        <w:pStyle w:val="BodyText"/>
      </w:pPr>
      <w:r w:rsidRPr="0080656A">
        <w:br w:type="page"/>
      </w:r>
    </w:p>
    <w:p w14:paraId="4EF92D15" w14:textId="54CB8077" w:rsidR="00E921B6" w:rsidRPr="00FB249F" w:rsidRDefault="00E921B6" w:rsidP="00E921B6">
      <w:pPr>
        <w:pStyle w:val="Heading1"/>
      </w:pPr>
      <w:bookmarkStart w:id="90" w:name="_Toc90312376"/>
      <w:r w:rsidRPr="00FB249F">
        <w:lastRenderedPageBreak/>
        <w:t>Conclusion</w:t>
      </w:r>
      <w:bookmarkEnd w:id="89"/>
      <w:bookmarkEnd w:id="90"/>
    </w:p>
    <w:p w14:paraId="4843516D" w14:textId="214B8357" w:rsidR="00E921B6" w:rsidRPr="00FB249F" w:rsidRDefault="00E921B6" w:rsidP="00E921B6">
      <w:pPr>
        <w:pStyle w:val="BodyText"/>
      </w:pPr>
      <w:r w:rsidRPr="00FB249F">
        <w:t xml:space="preserve">This study demonstrated that, by updating and building on methods previously employed by the National Institute of </w:t>
      </w:r>
      <w:r w:rsidR="000700B3">
        <w:t>Water</w:t>
      </w:r>
      <w:r w:rsidR="000700B3" w:rsidRPr="00FB249F">
        <w:t xml:space="preserve"> </w:t>
      </w:r>
      <w:r w:rsidRPr="00FB249F">
        <w:t>and Atmospheric Research (NIWA), Ministry for the Environment and Stats NZ for estimating the streamflow depletion effects of non-hydropower freshwater abstractions, we were able to improve our understanding of these effects in the following ways:</w:t>
      </w:r>
    </w:p>
    <w:p w14:paraId="5997916C" w14:textId="31BBEB55" w:rsidR="00E921B6" w:rsidRPr="00FB249F" w:rsidRDefault="00E921B6" w:rsidP="00E921B6">
      <w:pPr>
        <w:pStyle w:val="Bullet"/>
        <w:tabs>
          <w:tab w:val="num" w:pos="397"/>
        </w:tabs>
      </w:pPr>
      <w:r w:rsidRPr="00FB249F">
        <w:t xml:space="preserve">Using measured council water abstraction data and metadata allowed us to estimate actual water use </w:t>
      </w:r>
      <w:r w:rsidR="00D25AB3">
        <w:t>for measured</w:t>
      </w:r>
      <w:r w:rsidR="00D25AB3" w:rsidRPr="00FB249F">
        <w:t xml:space="preserve"> </w:t>
      </w:r>
      <w:r w:rsidRPr="00FB249F">
        <w:t>location</w:t>
      </w:r>
      <w:r w:rsidR="00D25AB3">
        <w:t>s</w:t>
      </w:r>
      <w:r w:rsidRPr="00FB249F">
        <w:t xml:space="preserve"> by primary use, with greater accuracy than relying on consent information (which has only enabled estimates of the maximum amount of water that could be abstracted under consents).</w:t>
      </w:r>
    </w:p>
    <w:p w14:paraId="317E42E3" w14:textId="666AE57F" w:rsidR="00E921B6" w:rsidRPr="00FB249F" w:rsidRDefault="00E921B6" w:rsidP="00E921B6">
      <w:pPr>
        <w:pStyle w:val="Bullet"/>
        <w:tabs>
          <w:tab w:val="num" w:pos="397"/>
        </w:tabs>
      </w:pPr>
      <w:r w:rsidRPr="00FB249F">
        <w:t xml:space="preserve">Using measured abstraction data and metadata instead of consent information allowed us to use streamflow depletion models to generate streamflow depletion predictions based on </w:t>
      </w:r>
      <w:r w:rsidR="00B002BF">
        <w:t>measured</w:t>
      </w:r>
      <w:r w:rsidR="00B002BF" w:rsidRPr="00FB249F">
        <w:t xml:space="preserve"> </w:t>
      </w:r>
      <w:r w:rsidRPr="00FB249F">
        <w:t>water use.</w:t>
      </w:r>
    </w:p>
    <w:p w14:paraId="53D8BBFB" w14:textId="2DF32EDA" w:rsidR="00E921B6" w:rsidRPr="00FB249F" w:rsidRDefault="00E921B6" w:rsidP="00E921B6">
      <w:pPr>
        <w:pStyle w:val="Bullet"/>
        <w:tabs>
          <w:tab w:val="num" w:pos="397"/>
        </w:tabs>
      </w:pPr>
      <w:r w:rsidRPr="00FB249F">
        <w:t xml:space="preserve">Comparing streamflow depletion predictions based on </w:t>
      </w:r>
      <w:r w:rsidR="001351E9">
        <w:t>measured</w:t>
      </w:r>
      <w:r w:rsidR="001351E9" w:rsidRPr="00FB249F">
        <w:t xml:space="preserve"> </w:t>
      </w:r>
      <w:r w:rsidRPr="00FB249F">
        <w:t>water use for the three-year study period to estimated long-term natural median flow allowed us to estimate the gross depletion pressures experienced at the river and stream reach level.</w:t>
      </w:r>
    </w:p>
    <w:p w14:paraId="3CB06AE5" w14:textId="77777777" w:rsidR="00E921B6" w:rsidRPr="00FB249F" w:rsidRDefault="00E921B6" w:rsidP="00E921B6">
      <w:pPr>
        <w:pStyle w:val="Bullet"/>
        <w:tabs>
          <w:tab w:val="num" w:pos="397"/>
        </w:tabs>
      </w:pPr>
      <w:r w:rsidRPr="00FB249F">
        <w:t xml:space="preserve">For the river and stream reaches with consent information, we were able to use the above method for July 2017–June 2018 to compare the estimated depletion pressures from measured water use to the depletion pressures estimated to have been experienced if all upstream sites abstracted their consented maximum allocation. </w:t>
      </w:r>
    </w:p>
    <w:p w14:paraId="57019D72" w14:textId="77777777" w:rsidR="00E921B6" w:rsidRPr="00FB249F" w:rsidRDefault="00E921B6" w:rsidP="00E921B6">
      <w:pPr>
        <w:pStyle w:val="Bullet"/>
        <w:tabs>
          <w:tab w:val="num" w:pos="397"/>
        </w:tabs>
      </w:pPr>
      <w:r w:rsidRPr="00FB249F">
        <w:t>For the river and stream locations with useable measured council time-series streamflow data, we were able to determine the daily streamflow remaining after abstractions had taken place.</w:t>
      </w:r>
    </w:p>
    <w:p w14:paraId="7401F87A" w14:textId="77777777" w:rsidR="00E921B6" w:rsidRPr="00FB249F" w:rsidRDefault="00E921B6" w:rsidP="00E921B6">
      <w:pPr>
        <w:pStyle w:val="Bullet"/>
        <w:tabs>
          <w:tab w:val="num" w:pos="397"/>
        </w:tabs>
      </w:pPr>
      <w:r w:rsidRPr="00FB249F">
        <w:t>Comparing measured council time-series streamflow data to measured abstraction data for the same catchments allowed us to explore temporal and spatial relationships between surface water use, groundwater use, and river and stream flows.</w:t>
      </w:r>
    </w:p>
    <w:p w14:paraId="0AA646E7" w14:textId="3B832962" w:rsidR="00E921B6" w:rsidRPr="00FB249F" w:rsidRDefault="00E921B6" w:rsidP="00E921B6">
      <w:pPr>
        <w:pStyle w:val="Bullet"/>
        <w:tabs>
          <w:tab w:val="num" w:pos="397"/>
        </w:tabs>
      </w:pPr>
      <w:r w:rsidRPr="00FB249F">
        <w:t xml:space="preserve">We were able to derive a rough estimate of natural daily streamflow at the assessed council gauging sites, by adding the estimated streamflow depletion based on </w:t>
      </w:r>
      <w:r w:rsidR="00B6756E">
        <w:t>measured</w:t>
      </w:r>
      <w:r w:rsidR="00B6756E" w:rsidRPr="00FB249F">
        <w:t xml:space="preserve"> </w:t>
      </w:r>
      <w:r w:rsidRPr="00FB249F">
        <w:t>water use upstream of each site to the measured flow remaining.</w:t>
      </w:r>
    </w:p>
    <w:p w14:paraId="27FAB2A8" w14:textId="05546525" w:rsidR="00E921B6" w:rsidRPr="00FB249F" w:rsidRDefault="00E921B6" w:rsidP="00E921B6">
      <w:pPr>
        <w:pStyle w:val="Bullet"/>
        <w:tabs>
          <w:tab w:val="num" w:pos="397"/>
        </w:tabs>
      </w:pPr>
      <w:r w:rsidRPr="00FB249F">
        <w:t xml:space="preserve">Comparing streamflow depletion calculations based on </w:t>
      </w:r>
      <w:r w:rsidR="004018E3">
        <w:t>measured</w:t>
      </w:r>
      <w:r w:rsidR="004018E3" w:rsidRPr="00FB249F">
        <w:t xml:space="preserve"> </w:t>
      </w:r>
      <w:r w:rsidRPr="00FB249F">
        <w:t>water use upstream of assessed council gauging sites with estimated natural daily flow at the same sites allowed us to examine the seasonal and spatial variation of the flow-proportional depletion effects estimated to have been experienced for the river and stream catchments upstream of these gauging sties.</w:t>
      </w:r>
    </w:p>
    <w:p w14:paraId="57A4AD59" w14:textId="5318534C" w:rsidR="00E921B6" w:rsidRPr="00FB249F" w:rsidRDefault="00E921B6" w:rsidP="00E921B6">
      <w:pPr>
        <w:pStyle w:val="BodyText"/>
      </w:pPr>
      <w:r w:rsidRPr="00FB249F">
        <w:t>While we were able to derive many insights into the potential effects of how water is used in the Wellington and Manawatū-Whanganui regions by using the improved datasets and updated methods detailed above, the potential accuracy and spatial representativeness of the analyses are subject to analytical limitations, and are highly sensitive to the quality and completeness of the required data. In our attempts to provide a comprehensive assessment for the two regions, we encountered the following barriers and opportunities for improvement:</w:t>
      </w:r>
    </w:p>
    <w:p w14:paraId="639B12C3" w14:textId="77777777" w:rsidR="00E921B6" w:rsidRPr="00FB249F" w:rsidRDefault="00E921B6" w:rsidP="00E921B6">
      <w:pPr>
        <w:pStyle w:val="Bullet"/>
      </w:pPr>
      <w:r w:rsidRPr="00FB249F">
        <w:t xml:space="preserve">Daily time-series records of water abstraction were available in a useable form from council web servers, but much additional effort was required to resolve data quality issues </w:t>
      </w:r>
      <w:r w:rsidRPr="00FB249F">
        <w:lastRenderedPageBreak/>
        <w:t>and retrieve critical metadata. Quality issues still could not be resolved for some records, and these had to be removed from the analyses.</w:t>
      </w:r>
    </w:p>
    <w:p w14:paraId="4F2B9E1A" w14:textId="77777777" w:rsidR="00E921B6" w:rsidRPr="00FB249F" w:rsidRDefault="00E921B6" w:rsidP="00E921B6">
      <w:pPr>
        <w:pStyle w:val="Bullet"/>
      </w:pPr>
      <w:r w:rsidRPr="00FB249F">
        <w:t>The spatial representativeness of the analyses was limited to the data available, which were not sufficiently comprehensive to generate findings at the regional scale. This could be improved with greater access to data, or using available models to infill data gaps.</w:t>
      </w:r>
    </w:p>
    <w:p w14:paraId="575D2E6D" w14:textId="77777777" w:rsidR="00E921B6" w:rsidRPr="00FB249F" w:rsidRDefault="00E921B6" w:rsidP="00E921B6">
      <w:pPr>
        <w:pStyle w:val="Bullet"/>
      </w:pPr>
      <w:r w:rsidRPr="00FB249F">
        <w:t>We were not able to integrate consumptive hydropower abstractions and augmentations into the analyses, owing to limited data availability. Improved access to hydropower time-series abstraction and augmentation records and metadata would allow future analyses to capture the seasonal and daily effects of non-consumptive hydropower schemes at the river and stream reach level.</w:t>
      </w:r>
    </w:p>
    <w:p w14:paraId="2CCAE36A" w14:textId="21FD2AA6" w:rsidR="00E921B6" w:rsidRPr="00FB249F" w:rsidRDefault="00E921B6" w:rsidP="00E921B6">
      <w:pPr>
        <w:pStyle w:val="Bullet"/>
      </w:pPr>
      <w:r w:rsidRPr="00FB249F">
        <w:t xml:space="preserve">We did not prioritise sourcing and integrating regional council estimates for permitted abstractions that are not legally required to be measured, so the potential streamflow depletion effects from these are not accounted for. These abstractions </w:t>
      </w:r>
      <w:r w:rsidR="00C83AD3">
        <w:t>could</w:t>
      </w:r>
      <w:r w:rsidR="00C83AD3" w:rsidRPr="00FB249F">
        <w:t xml:space="preserve"> </w:t>
      </w:r>
      <w:r w:rsidRPr="00FB249F">
        <w:t xml:space="preserve">collectively exert a significant pressure on flows in some </w:t>
      </w:r>
      <w:r w:rsidR="00531F72">
        <w:t>areas</w:t>
      </w:r>
      <w:r w:rsidRPr="00FB249F">
        <w:t>, and future assessments should consider integrating these estimates into their depletion modelling.</w:t>
      </w:r>
    </w:p>
    <w:p w14:paraId="7E832ED9" w14:textId="2E162CE1" w:rsidR="00E921B6" w:rsidRPr="00FB249F" w:rsidRDefault="00E921B6" w:rsidP="00E921B6">
      <w:pPr>
        <w:pStyle w:val="Bullet"/>
      </w:pPr>
      <w:r w:rsidRPr="00FB249F">
        <w:t>Comparing streamflow depletion to estimated long-term median natural streamflow allowed us to report at a very fine spatial scale region-wide, but only at a very broad (annual or longer) temporal scale. Developing similarly accurate estimates for seasonal natural flows would support more informative comparisons.</w:t>
      </w:r>
    </w:p>
    <w:p w14:paraId="09A936C4" w14:textId="77777777" w:rsidR="00E921B6" w:rsidRPr="00FB249F" w:rsidRDefault="00E921B6" w:rsidP="00E921B6">
      <w:pPr>
        <w:pStyle w:val="Bullet"/>
        <w:tabs>
          <w:tab w:val="num" w:pos="397"/>
        </w:tabs>
      </w:pPr>
      <w:r w:rsidRPr="00FB249F">
        <w:t>The datasets used to compare streamflow depletion to estimate</w:t>
      </w:r>
      <w:r w:rsidRPr="00FB249F" w:rsidDel="00E80EC4">
        <w:t>d</w:t>
      </w:r>
      <w:r w:rsidRPr="00FB249F">
        <w:t xml:space="preserve"> long-term natural median streamflow included digital river network segment IDs, but we did not use these to link segments to available metadata that would have enabled us to identify and report depletion statistics for specific river and stream catchments. This limited us to a high-level cursory visual inspection of the spatial outputs for unnamed river and stream segments.</w:t>
      </w:r>
    </w:p>
    <w:p w14:paraId="3BA6C177" w14:textId="77777777" w:rsidR="00E921B6" w:rsidRPr="00FB249F" w:rsidRDefault="00E921B6" w:rsidP="00E921B6">
      <w:pPr>
        <w:pStyle w:val="Bullet"/>
        <w:tabs>
          <w:tab w:val="num" w:pos="397"/>
        </w:tabs>
      </w:pPr>
      <w:r w:rsidRPr="00FB249F">
        <w:t>The comparison of river- and streamflow gauging point data to upstream depletion values provides an estimate of flow-proportional depletion at a single point along a river or stream. This gives an indication of the depletion pressure faced by the upstream river network as a whole, but gives no indication of how these pressures are distributed within the upstream network. The spatial resolution of this analysis could be improved by using existing hydrological information and measured flow data to derive flow estimates, and flow-proportional depletion ratios, for more points along the river network.</w:t>
      </w:r>
    </w:p>
    <w:p w14:paraId="0758B7EB" w14:textId="77777777" w:rsidR="00E921B6" w:rsidRPr="00FB249F" w:rsidRDefault="00E921B6" w:rsidP="00E921B6">
      <w:pPr>
        <w:pStyle w:val="Bullet"/>
        <w:tabs>
          <w:tab w:val="num" w:pos="397"/>
        </w:tabs>
      </w:pPr>
      <w:r w:rsidRPr="00FB249F">
        <w:t>This analysis considers generic daily streamflow alteration thresholds for ecological protection derived from international research in Richter et al (2011), but has intentionally not applied any specific environmental thresholds. The application of these thresholds is critical to the interpretation of these analyses, but the selection of which are most appropriate to use will need to be thoroughly considered.</w:t>
      </w:r>
    </w:p>
    <w:p w14:paraId="719462FF" w14:textId="77777777" w:rsidR="00E921B6" w:rsidRPr="00FB249F" w:rsidRDefault="00E921B6" w:rsidP="00E921B6">
      <w:pPr>
        <w:pStyle w:val="Bullet"/>
        <w:tabs>
          <w:tab w:val="num" w:pos="397"/>
        </w:tabs>
      </w:pPr>
      <w:r w:rsidRPr="00FB249F">
        <w:t>The results of the depletion analyses could be disaggregated by water use and source type, to investigate the specific temporal and spatial abstraction patterns for each, and how these impact river and stream flows.</w:t>
      </w:r>
    </w:p>
    <w:p w14:paraId="64A6CC6B" w14:textId="77777777" w:rsidR="00E921B6" w:rsidRPr="00FB249F" w:rsidRDefault="00E921B6" w:rsidP="00E921B6">
      <w:pPr>
        <w:pStyle w:val="Bullet"/>
        <w:tabs>
          <w:tab w:val="num" w:pos="397"/>
        </w:tabs>
      </w:pPr>
      <w:r w:rsidRPr="00FB249F">
        <w:t>We were able to make valuable comparisons using the consent data compiled by NIWA for July 2017–June 2018 and the measured abstraction datasets, but this could only be done for the one year, and was challenged by inconsistent and missing metadata. Future analyses would be able to provide much greater insight into the relationship between water allocation and use if comprehensive and standardised datasets for all water use consents and for all measured abstractions can be secured in a format that enables abstractions to be easily linked to their respective consent record.</w:t>
      </w:r>
    </w:p>
    <w:p w14:paraId="6DFD0168" w14:textId="6E0D044C" w:rsidR="00E921B6" w:rsidRPr="00FB249F" w:rsidRDefault="00E921B6" w:rsidP="00E921B6">
      <w:pPr>
        <w:pStyle w:val="Bullet"/>
        <w:tabs>
          <w:tab w:val="num" w:pos="397"/>
        </w:tabs>
      </w:pPr>
      <w:r w:rsidRPr="00FB249F">
        <w:lastRenderedPageBreak/>
        <w:t>Spatial data were readily available to enable a more comprehensive interpretation of the</w:t>
      </w:r>
      <w:r w:rsidR="004D1AE8" w:rsidRPr="00FB249F">
        <w:t> </w:t>
      </w:r>
      <w:r w:rsidRPr="00FB249F">
        <w:t>results, which would account for the highly relevant complexities of the river and stream network and properly qualify the representativeness of the results. This was not prioritised for this case study, as the focus was on exploring the general viability of the new analyses and methods, but it would significantly strengthen future assessments.</w:t>
      </w:r>
    </w:p>
    <w:p w14:paraId="1E2BD923" w14:textId="2973FDE6" w:rsidR="00E921B6" w:rsidRPr="00FB249F" w:rsidRDefault="00E921B6" w:rsidP="00E921B6">
      <w:pPr>
        <w:pStyle w:val="BodyText"/>
      </w:pPr>
      <w:r w:rsidRPr="00FB249F">
        <w:t xml:space="preserve">A summary of the analytical progress demonstrated by this case study, and recommended future works, is provided in table </w:t>
      </w:r>
      <w:r w:rsidR="00FB0C00">
        <w:t>6</w:t>
      </w:r>
      <w:r w:rsidRPr="00FB249F">
        <w:t>.</w:t>
      </w:r>
    </w:p>
    <w:p w14:paraId="31599F04" w14:textId="6485047E" w:rsidR="005529A2" w:rsidRPr="00FB249F" w:rsidRDefault="005529A2" w:rsidP="005529A2">
      <w:pPr>
        <w:pStyle w:val="Tableheading"/>
      </w:pPr>
      <w:bookmarkStart w:id="91" w:name="_Toc88208540"/>
      <w:bookmarkStart w:id="92" w:name="_Toc90312384"/>
      <w:r w:rsidRPr="00FB249F">
        <w:t xml:space="preserve">Table </w:t>
      </w:r>
      <w:r w:rsidR="00FB0C00">
        <w:t>6</w:t>
      </w:r>
      <w:r w:rsidRPr="00FB249F">
        <w:t>:</w:t>
      </w:r>
      <w:r w:rsidRPr="00FB249F">
        <w:tab/>
        <w:t>Summary of progression of analysis and recommended future works</w:t>
      </w:r>
      <w:bookmarkEnd w:id="91"/>
      <w:bookmarkEnd w:id="92"/>
    </w:p>
    <w:tbl>
      <w:tblPr>
        <w:tblStyle w:val="TableGrid"/>
        <w:tblW w:w="8504" w:type="dxa"/>
        <w:tblInd w:w="113" w:type="dxa"/>
        <w:tblBorders>
          <w:top w:val="single" w:sz="4" w:space="0" w:color="1C556C"/>
          <w:left w:val="none" w:sz="0" w:space="0" w:color="auto"/>
          <w:bottom w:val="single" w:sz="4" w:space="0" w:color="1C556C"/>
          <w:right w:val="none" w:sz="0" w:space="0" w:color="auto"/>
          <w:insideH w:val="single" w:sz="4" w:space="0" w:color="1C556C"/>
          <w:insideV w:val="single" w:sz="4" w:space="0" w:color="1C556C"/>
        </w:tblBorders>
        <w:tblLook w:val="04A0" w:firstRow="1" w:lastRow="0" w:firstColumn="1" w:lastColumn="0" w:noHBand="0" w:noVBand="1"/>
      </w:tblPr>
      <w:tblGrid>
        <w:gridCol w:w="592"/>
        <w:gridCol w:w="2310"/>
        <w:gridCol w:w="924"/>
        <w:gridCol w:w="924"/>
        <w:gridCol w:w="924"/>
        <w:gridCol w:w="2830"/>
      </w:tblGrid>
      <w:tr w:rsidR="002D58FD" w:rsidRPr="00FB249F" w14:paraId="491DFA43" w14:textId="77777777" w:rsidTr="002D58FD">
        <w:trPr>
          <w:tblHeader/>
        </w:trPr>
        <w:tc>
          <w:tcPr>
            <w:tcW w:w="582" w:type="dxa"/>
            <w:shd w:val="clear" w:color="auto" w:fill="1B556B"/>
            <w:vAlign w:val="bottom"/>
          </w:tcPr>
          <w:p w14:paraId="56363A43" w14:textId="7877891A" w:rsidR="002D58FD" w:rsidRPr="00FB249F" w:rsidRDefault="002D58FD" w:rsidP="002D58FD">
            <w:pPr>
              <w:pStyle w:val="TableTextbold"/>
              <w:jc w:val="center"/>
              <w:rPr>
                <w:color w:val="FFFFFF" w:themeColor="background1"/>
              </w:rPr>
            </w:pPr>
          </w:p>
        </w:tc>
        <w:tc>
          <w:tcPr>
            <w:tcW w:w="2268" w:type="dxa"/>
            <w:shd w:val="clear" w:color="auto" w:fill="1B556B"/>
            <w:vAlign w:val="bottom"/>
          </w:tcPr>
          <w:p w14:paraId="2739A049" w14:textId="77777777" w:rsidR="002D58FD" w:rsidRPr="00FB249F" w:rsidRDefault="002D58FD" w:rsidP="00F23144">
            <w:pPr>
              <w:pStyle w:val="TableTextbold"/>
              <w:jc w:val="center"/>
              <w:rPr>
                <w:color w:val="FFFFFF" w:themeColor="background1"/>
              </w:rPr>
            </w:pPr>
            <w:r w:rsidRPr="00FB249F">
              <w:rPr>
                <w:color w:val="FFFFFF" w:themeColor="background1"/>
              </w:rPr>
              <w:t>Analysis</w:t>
            </w:r>
          </w:p>
        </w:tc>
        <w:tc>
          <w:tcPr>
            <w:tcW w:w="907" w:type="dxa"/>
            <w:tcBorders>
              <w:bottom w:val="single" w:sz="4" w:space="0" w:color="auto"/>
            </w:tcBorders>
            <w:shd w:val="clear" w:color="auto" w:fill="1B556B"/>
            <w:vAlign w:val="bottom"/>
          </w:tcPr>
          <w:p w14:paraId="7966060F" w14:textId="6F15826E" w:rsidR="002D58FD" w:rsidRPr="00FB249F" w:rsidRDefault="002D58FD" w:rsidP="00F23144">
            <w:pPr>
              <w:pStyle w:val="TableTextbold"/>
              <w:jc w:val="center"/>
              <w:rPr>
                <w:color w:val="FFFFFF" w:themeColor="background1"/>
              </w:rPr>
            </w:pPr>
            <w:r w:rsidRPr="00FB249F">
              <w:rPr>
                <w:color w:val="FFFFFF" w:themeColor="background1"/>
              </w:rPr>
              <w:t>Previous works</w:t>
            </w:r>
          </w:p>
        </w:tc>
        <w:tc>
          <w:tcPr>
            <w:tcW w:w="907" w:type="dxa"/>
            <w:tcBorders>
              <w:bottom w:val="single" w:sz="4" w:space="0" w:color="auto"/>
            </w:tcBorders>
            <w:shd w:val="clear" w:color="auto" w:fill="1B556B"/>
            <w:vAlign w:val="bottom"/>
          </w:tcPr>
          <w:p w14:paraId="5A0378F7" w14:textId="77777777" w:rsidR="002D58FD" w:rsidRPr="00FB249F" w:rsidRDefault="002D58FD" w:rsidP="00F23144">
            <w:pPr>
              <w:pStyle w:val="TableTextbold"/>
              <w:jc w:val="center"/>
              <w:rPr>
                <w:color w:val="FFFFFF" w:themeColor="background1"/>
              </w:rPr>
            </w:pPr>
            <w:r w:rsidRPr="00FB249F">
              <w:rPr>
                <w:color w:val="FFFFFF" w:themeColor="background1"/>
              </w:rPr>
              <w:t>This case study</w:t>
            </w:r>
          </w:p>
        </w:tc>
        <w:tc>
          <w:tcPr>
            <w:tcW w:w="907" w:type="dxa"/>
            <w:tcBorders>
              <w:bottom w:val="single" w:sz="4" w:space="0" w:color="auto"/>
            </w:tcBorders>
            <w:shd w:val="clear" w:color="auto" w:fill="1B556B"/>
            <w:vAlign w:val="bottom"/>
          </w:tcPr>
          <w:p w14:paraId="52447DF6" w14:textId="77777777" w:rsidR="002D58FD" w:rsidRPr="00FB249F" w:rsidRDefault="002D58FD" w:rsidP="00F23144">
            <w:pPr>
              <w:pStyle w:val="TableTextbold"/>
              <w:jc w:val="center"/>
              <w:rPr>
                <w:color w:val="FFFFFF" w:themeColor="background1"/>
              </w:rPr>
            </w:pPr>
            <w:r w:rsidRPr="00FB249F">
              <w:rPr>
                <w:color w:val="FFFFFF" w:themeColor="background1"/>
              </w:rPr>
              <w:t>Future works</w:t>
            </w:r>
          </w:p>
        </w:tc>
        <w:tc>
          <w:tcPr>
            <w:tcW w:w="2778" w:type="dxa"/>
            <w:tcBorders>
              <w:bottom w:val="single" w:sz="4" w:space="0" w:color="auto"/>
            </w:tcBorders>
            <w:shd w:val="clear" w:color="auto" w:fill="1B556B"/>
            <w:vAlign w:val="bottom"/>
          </w:tcPr>
          <w:p w14:paraId="28A1253A" w14:textId="77777777" w:rsidR="002D58FD" w:rsidRPr="00FB249F" w:rsidRDefault="002D58FD" w:rsidP="00F23144">
            <w:pPr>
              <w:pStyle w:val="TableTextbold"/>
              <w:jc w:val="center"/>
              <w:rPr>
                <w:color w:val="FFFFFF" w:themeColor="background1"/>
              </w:rPr>
            </w:pPr>
            <w:r w:rsidRPr="00FB249F">
              <w:rPr>
                <w:color w:val="FFFFFF" w:themeColor="background1"/>
              </w:rPr>
              <w:t>Added benefit of novel analysis</w:t>
            </w:r>
          </w:p>
        </w:tc>
      </w:tr>
      <w:tr w:rsidR="005529A2" w:rsidRPr="00FB249F" w14:paraId="5A904C1A" w14:textId="77777777" w:rsidTr="002D58FD">
        <w:trPr>
          <w:trHeight w:val="360"/>
        </w:trPr>
        <w:tc>
          <w:tcPr>
            <w:tcW w:w="582" w:type="dxa"/>
            <w:vMerge w:val="restart"/>
            <w:tcBorders>
              <w:right w:val="single" w:sz="4" w:space="0" w:color="auto"/>
            </w:tcBorders>
            <w:shd w:val="clear" w:color="auto" w:fill="auto"/>
            <w:textDirection w:val="btLr"/>
            <w:vAlign w:val="center"/>
          </w:tcPr>
          <w:p w14:paraId="1E16AE2A" w14:textId="77777777" w:rsidR="005529A2" w:rsidRPr="00FB249F" w:rsidRDefault="005529A2" w:rsidP="00D95968">
            <w:pPr>
              <w:pStyle w:val="TableText"/>
              <w:spacing w:before="50" w:after="50"/>
              <w:ind w:left="113" w:right="113"/>
              <w:jc w:val="center"/>
            </w:pPr>
            <w:r w:rsidRPr="00FB249F">
              <w:t>Consents</w:t>
            </w:r>
          </w:p>
        </w:tc>
        <w:tc>
          <w:tcPr>
            <w:tcW w:w="2268" w:type="dxa"/>
            <w:tcBorders>
              <w:top w:val="single" w:sz="4" w:space="0" w:color="auto"/>
              <w:left w:val="single" w:sz="4" w:space="0" w:color="auto"/>
              <w:bottom w:val="nil"/>
              <w:right w:val="single" w:sz="4" w:space="0" w:color="auto"/>
            </w:tcBorders>
            <w:shd w:val="clear" w:color="auto" w:fill="auto"/>
            <w:vAlign w:val="center"/>
          </w:tcPr>
          <w:p w14:paraId="67244238" w14:textId="77777777" w:rsidR="005529A2" w:rsidRPr="00FB249F" w:rsidRDefault="005529A2" w:rsidP="00D95968">
            <w:pPr>
              <w:pStyle w:val="TableText"/>
              <w:spacing w:before="50" w:after="50"/>
              <w:jc w:val="center"/>
            </w:pPr>
            <w:r w:rsidRPr="00FB249F">
              <w:t>Maximum annual abstraction rate</w:t>
            </w:r>
          </w:p>
        </w:tc>
        <w:tc>
          <w:tcPr>
            <w:tcW w:w="907" w:type="dxa"/>
            <w:tcBorders>
              <w:top w:val="single" w:sz="4" w:space="0" w:color="auto"/>
              <w:left w:val="single" w:sz="4" w:space="0" w:color="auto"/>
              <w:bottom w:val="nil"/>
              <w:right w:val="single" w:sz="4" w:space="0" w:color="auto"/>
            </w:tcBorders>
            <w:vAlign w:val="center"/>
          </w:tcPr>
          <w:p w14:paraId="750D4AB0" w14:textId="77777777" w:rsidR="005529A2" w:rsidRPr="00FB249F" w:rsidRDefault="005529A2" w:rsidP="00D95968">
            <w:pPr>
              <w:pStyle w:val="TableText"/>
              <w:spacing w:before="50" w:after="50"/>
              <w:jc w:val="center"/>
              <w:rPr>
                <w:b/>
                <w:bCs/>
              </w:rPr>
            </w:pPr>
            <w:r w:rsidRPr="00FB249F">
              <w:rPr>
                <w:rFonts w:ascii="Segoe UI Symbol" w:hAnsi="Segoe UI Symbol" w:cs="Segoe UI Symbol"/>
                <w:b/>
                <w:bCs/>
              </w:rPr>
              <w:t>🗸</w:t>
            </w:r>
          </w:p>
        </w:tc>
        <w:tc>
          <w:tcPr>
            <w:tcW w:w="907" w:type="dxa"/>
            <w:tcBorders>
              <w:top w:val="single" w:sz="4" w:space="0" w:color="auto"/>
              <w:left w:val="single" w:sz="4" w:space="0" w:color="auto"/>
              <w:bottom w:val="nil"/>
            </w:tcBorders>
          </w:tcPr>
          <w:p w14:paraId="19F734CE" w14:textId="77777777" w:rsidR="005529A2" w:rsidRPr="00FB249F" w:rsidRDefault="005529A2" w:rsidP="00D95968">
            <w:pPr>
              <w:pStyle w:val="TableText"/>
              <w:spacing w:before="50" w:after="50"/>
              <w:jc w:val="center"/>
              <w:rPr>
                <w:b/>
                <w:bCs/>
              </w:rPr>
            </w:pPr>
            <w:r w:rsidRPr="00FB249F">
              <w:rPr>
                <w:rFonts w:ascii="Segoe UI Symbol" w:hAnsi="Segoe UI Symbol" w:cs="Segoe UI Symbol"/>
                <w:b/>
                <w:bCs/>
              </w:rPr>
              <w:t>🗸</w:t>
            </w:r>
          </w:p>
        </w:tc>
        <w:tc>
          <w:tcPr>
            <w:tcW w:w="907" w:type="dxa"/>
            <w:tcBorders>
              <w:top w:val="single" w:sz="4" w:space="0" w:color="auto"/>
              <w:left w:val="single" w:sz="4" w:space="0" w:color="auto"/>
              <w:bottom w:val="nil"/>
            </w:tcBorders>
          </w:tcPr>
          <w:p w14:paraId="3BB187D8" w14:textId="77777777" w:rsidR="005529A2" w:rsidRPr="00FB249F" w:rsidRDefault="005529A2" w:rsidP="00D95968">
            <w:pPr>
              <w:pStyle w:val="TableText"/>
              <w:spacing w:before="50" w:after="50"/>
              <w:jc w:val="center"/>
              <w:rPr>
                <w:rFonts w:ascii="Segoe UI Symbol" w:hAnsi="Segoe UI Symbol" w:cs="Segoe UI Symbol"/>
                <w:b/>
                <w:bCs/>
              </w:rPr>
            </w:pPr>
            <w:r w:rsidRPr="00FB249F">
              <w:rPr>
                <w:rFonts w:ascii="Segoe UI Symbol" w:hAnsi="Segoe UI Symbol" w:cs="Segoe UI Symbol"/>
                <w:b/>
                <w:bCs/>
              </w:rPr>
              <w:t>🗸</w:t>
            </w:r>
          </w:p>
        </w:tc>
        <w:tc>
          <w:tcPr>
            <w:tcW w:w="2778" w:type="dxa"/>
            <w:tcBorders>
              <w:top w:val="single" w:sz="4" w:space="0" w:color="auto"/>
              <w:left w:val="single" w:sz="4" w:space="0" w:color="auto"/>
              <w:bottom w:val="nil"/>
            </w:tcBorders>
          </w:tcPr>
          <w:p w14:paraId="24B54E79" w14:textId="77777777" w:rsidR="005529A2" w:rsidRPr="00FB249F" w:rsidRDefault="005529A2" w:rsidP="00D95968">
            <w:pPr>
              <w:pStyle w:val="TableText"/>
              <w:spacing w:before="50" w:after="50"/>
              <w:jc w:val="center"/>
              <w:rPr>
                <w:rFonts w:ascii="Segoe UI Symbol" w:hAnsi="Segoe UI Symbol" w:cs="Segoe UI Symbol"/>
                <w:b/>
                <w:bCs/>
              </w:rPr>
            </w:pPr>
          </w:p>
        </w:tc>
      </w:tr>
      <w:tr w:rsidR="005529A2" w:rsidRPr="00FB249F" w14:paraId="20FE585B" w14:textId="77777777" w:rsidTr="002D58FD">
        <w:trPr>
          <w:trHeight w:val="360"/>
        </w:trPr>
        <w:tc>
          <w:tcPr>
            <w:tcW w:w="582" w:type="dxa"/>
            <w:vMerge/>
            <w:tcBorders>
              <w:right w:val="single" w:sz="4" w:space="0" w:color="auto"/>
            </w:tcBorders>
            <w:shd w:val="clear" w:color="auto" w:fill="auto"/>
            <w:vAlign w:val="center"/>
          </w:tcPr>
          <w:p w14:paraId="6CC45A9C" w14:textId="77777777" w:rsidR="005529A2" w:rsidRPr="00FB249F" w:rsidRDefault="005529A2" w:rsidP="00D95968">
            <w:pPr>
              <w:pStyle w:val="TableText"/>
              <w:spacing w:before="50" w:after="50"/>
              <w:jc w:val="center"/>
            </w:pPr>
          </w:p>
        </w:tc>
        <w:tc>
          <w:tcPr>
            <w:tcW w:w="2268" w:type="dxa"/>
            <w:tcBorders>
              <w:top w:val="nil"/>
              <w:left w:val="single" w:sz="4" w:space="0" w:color="auto"/>
              <w:bottom w:val="nil"/>
              <w:right w:val="single" w:sz="4" w:space="0" w:color="auto"/>
            </w:tcBorders>
            <w:shd w:val="clear" w:color="auto" w:fill="auto"/>
            <w:vAlign w:val="center"/>
          </w:tcPr>
          <w:p w14:paraId="43D4F25B" w14:textId="77777777" w:rsidR="005529A2" w:rsidRPr="00FB249F" w:rsidRDefault="005529A2" w:rsidP="00D95968">
            <w:pPr>
              <w:pStyle w:val="TableText"/>
              <w:spacing w:before="50" w:after="50"/>
              <w:jc w:val="center"/>
            </w:pPr>
            <w:r w:rsidRPr="00FB249F">
              <w:t>Abstraction restrictions</w:t>
            </w:r>
          </w:p>
        </w:tc>
        <w:tc>
          <w:tcPr>
            <w:tcW w:w="907" w:type="dxa"/>
            <w:tcBorders>
              <w:top w:val="nil"/>
              <w:left w:val="single" w:sz="4" w:space="0" w:color="auto"/>
              <w:bottom w:val="nil"/>
              <w:right w:val="single" w:sz="4" w:space="0" w:color="auto"/>
            </w:tcBorders>
            <w:vAlign w:val="center"/>
          </w:tcPr>
          <w:p w14:paraId="5B62653F" w14:textId="77777777" w:rsidR="005529A2" w:rsidRPr="00FB249F" w:rsidRDefault="005529A2" w:rsidP="00D95968">
            <w:pPr>
              <w:pStyle w:val="TableText"/>
              <w:spacing w:before="50" w:after="50"/>
              <w:jc w:val="center"/>
              <w:rPr>
                <w:rFonts w:ascii="Segoe UI Symbol" w:hAnsi="Segoe UI Symbol" w:cs="Segoe UI Symbol"/>
                <w:b/>
                <w:bCs/>
              </w:rPr>
            </w:pPr>
            <w:r w:rsidRPr="00FB249F">
              <w:rPr>
                <w:rFonts w:ascii="Segoe UI Symbol" w:hAnsi="Segoe UI Symbol" w:cs="Segoe UI Symbol"/>
                <w:b/>
                <w:bCs/>
              </w:rPr>
              <w:t>🗸</w:t>
            </w:r>
          </w:p>
        </w:tc>
        <w:tc>
          <w:tcPr>
            <w:tcW w:w="907" w:type="dxa"/>
            <w:tcBorders>
              <w:top w:val="nil"/>
              <w:left w:val="single" w:sz="4" w:space="0" w:color="auto"/>
              <w:bottom w:val="nil"/>
            </w:tcBorders>
            <w:vAlign w:val="center"/>
          </w:tcPr>
          <w:p w14:paraId="68D31A12" w14:textId="77777777" w:rsidR="005529A2" w:rsidRPr="00FB249F" w:rsidRDefault="005529A2" w:rsidP="00D95968">
            <w:pPr>
              <w:pStyle w:val="TableText"/>
              <w:spacing w:before="50" w:after="50"/>
              <w:jc w:val="center"/>
              <w:rPr>
                <w:rFonts w:ascii="Segoe UI Symbol" w:hAnsi="Segoe UI Symbol" w:cs="Segoe UI Symbol"/>
                <w:b/>
                <w:bCs/>
              </w:rPr>
            </w:pPr>
          </w:p>
        </w:tc>
        <w:tc>
          <w:tcPr>
            <w:tcW w:w="907" w:type="dxa"/>
            <w:tcBorders>
              <w:top w:val="nil"/>
              <w:left w:val="single" w:sz="4" w:space="0" w:color="auto"/>
              <w:bottom w:val="nil"/>
            </w:tcBorders>
            <w:vAlign w:val="center"/>
          </w:tcPr>
          <w:p w14:paraId="059C0BDE" w14:textId="77777777" w:rsidR="005529A2" w:rsidRPr="00FB249F" w:rsidRDefault="005529A2" w:rsidP="00D95968">
            <w:pPr>
              <w:pStyle w:val="TableText"/>
              <w:spacing w:before="50" w:after="50"/>
              <w:jc w:val="center"/>
              <w:rPr>
                <w:rFonts w:ascii="Segoe UI Symbol" w:hAnsi="Segoe UI Symbol" w:cs="Segoe UI Symbol"/>
              </w:rPr>
            </w:pPr>
            <w:r w:rsidRPr="00FB249F">
              <w:rPr>
                <w:rFonts w:ascii="Segoe UI Symbol" w:hAnsi="Segoe UI Symbol" w:cs="Segoe UI Symbol"/>
                <w:b/>
                <w:bCs/>
              </w:rPr>
              <w:t>🗸</w:t>
            </w:r>
          </w:p>
        </w:tc>
        <w:tc>
          <w:tcPr>
            <w:tcW w:w="2778" w:type="dxa"/>
            <w:tcBorders>
              <w:top w:val="nil"/>
              <w:left w:val="single" w:sz="4" w:space="0" w:color="auto"/>
              <w:bottom w:val="nil"/>
            </w:tcBorders>
            <w:vAlign w:val="center"/>
          </w:tcPr>
          <w:p w14:paraId="4E8009A2" w14:textId="77777777" w:rsidR="005529A2" w:rsidRPr="00FB249F" w:rsidRDefault="005529A2" w:rsidP="00D95968">
            <w:pPr>
              <w:pStyle w:val="TableText"/>
              <w:spacing w:before="50" w:after="50"/>
              <w:jc w:val="center"/>
              <w:rPr>
                <w:rFonts w:ascii="Segoe UI Symbol" w:hAnsi="Segoe UI Symbol" w:cs="Segoe UI Symbol"/>
                <w:b/>
                <w:bCs/>
              </w:rPr>
            </w:pPr>
            <w:r w:rsidRPr="00FB249F">
              <w:rPr>
                <w:rFonts w:asciiTheme="minorHAnsi" w:hAnsiTheme="minorHAnsi" w:cstheme="minorHAnsi"/>
              </w:rPr>
              <w:t>to determine impacts on unmeasured abstractions</w:t>
            </w:r>
          </w:p>
        </w:tc>
      </w:tr>
      <w:tr w:rsidR="005529A2" w:rsidRPr="00FB249F" w14:paraId="10C9E7B1" w14:textId="77777777" w:rsidTr="002D58FD">
        <w:trPr>
          <w:trHeight w:val="360"/>
        </w:trPr>
        <w:tc>
          <w:tcPr>
            <w:tcW w:w="582" w:type="dxa"/>
            <w:vMerge/>
            <w:tcBorders>
              <w:right w:val="single" w:sz="4" w:space="0" w:color="auto"/>
            </w:tcBorders>
            <w:shd w:val="clear" w:color="auto" w:fill="auto"/>
            <w:textDirection w:val="btLr"/>
            <w:vAlign w:val="center"/>
          </w:tcPr>
          <w:p w14:paraId="58905FFE" w14:textId="77777777" w:rsidR="005529A2" w:rsidRPr="00FB249F" w:rsidRDefault="005529A2" w:rsidP="00D95968">
            <w:pPr>
              <w:pStyle w:val="TableText"/>
              <w:spacing w:before="50" w:after="50"/>
              <w:ind w:left="113" w:right="113"/>
              <w:jc w:val="center"/>
            </w:pPr>
          </w:p>
        </w:tc>
        <w:tc>
          <w:tcPr>
            <w:tcW w:w="2268" w:type="dxa"/>
            <w:tcBorders>
              <w:top w:val="nil"/>
              <w:left w:val="single" w:sz="4" w:space="0" w:color="auto"/>
              <w:bottom w:val="nil"/>
              <w:right w:val="single" w:sz="4" w:space="0" w:color="auto"/>
            </w:tcBorders>
            <w:shd w:val="clear" w:color="auto" w:fill="auto"/>
            <w:vAlign w:val="center"/>
          </w:tcPr>
          <w:p w14:paraId="35BF714F" w14:textId="77777777" w:rsidR="005529A2" w:rsidRPr="00FB249F" w:rsidRDefault="005529A2" w:rsidP="00D95968">
            <w:pPr>
              <w:pStyle w:val="TableText"/>
              <w:spacing w:before="50" w:after="50"/>
              <w:jc w:val="center"/>
            </w:pPr>
            <w:r w:rsidRPr="00FB249F">
              <w:t>Water use type &amp; source</w:t>
            </w:r>
          </w:p>
        </w:tc>
        <w:tc>
          <w:tcPr>
            <w:tcW w:w="907" w:type="dxa"/>
            <w:tcBorders>
              <w:top w:val="nil"/>
              <w:left w:val="single" w:sz="4" w:space="0" w:color="auto"/>
              <w:bottom w:val="nil"/>
              <w:right w:val="single" w:sz="4" w:space="0" w:color="auto"/>
            </w:tcBorders>
            <w:vAlign w:val="center"/>
          </w:tcPr>
          <w:p w14:paraId="0C6ABBF8" w14:textId="77777777" w:rsidR="005529A2" w:rsidRPr="00FB249F" w:rsidRDefault="005529A2" w:rsidP="00D95968">
            <w:pPr>
              <w:pStyle w:val="TableText"/>
              <w:spacing w:before="50" w:after="50"/>
              <w:jc w:val="center"/>
              <w:rPr>
                <w:rFonts w:ascii="Segoe UI Symbol" w:hAnsi="Segoe UI Symbol" w:cs="Segoe UI Symbol"/>
                <w:b/>
                <w:bCs/>
              </w:rPr>
            </w:pPr>
            <w:r w:rsidRPr="00FB249F">
              <w:rPr>
                <w:rFonts w:ascii="Segoe UI Symbol" w:hAnsi="Segoe UI Symbol" w:cs="Segoe UI Symbol"/>
                <w:b/>
                <w:bCs/>
              </w:rPr>
              <w:t>🗸</w:t>
            </w:r>
          </w:p>
        </w:tc>
        <w:tc>
          <w:tcPr>
            <w:tcW w:w="907" w:type="dxa"/>
            <w:tcBorders>
              <w:top w:val="nil"/>
              <w:left w:val="single" w:sz="4" w:space="0" w:color="auto"/>
              <w:bottom w:val="nil"/>
            </w:tcBorders>
          </w:tcPr>
          <w:p w14:paraId="75B9CB84" w14:textId="77777777" w:rsidR="005529A2" w:rsidRPr="00FB249F" w:rsidRDefault="005529A2" w:rsidP="00D95968">
            <w:pPr>
              <w:pStyle w:val="TableText"/>
              <w:spacing w:before="50" w:after="50"/>
              <w:jc w:val="center"/>
            </w:pPr>
            <w:r w:rsidRPr="00FB249F">
              <w:rPr>
                <w:rFonts w:ascii="Segoe UI Symbol" w:hAnsi="Segoe UI Symbol" w:cs="Segoe UI Symbol"/>
                <w:b/>
                <w:bCs/>
              </w:rPr>
              <w:t>🗸</w:t>
            </w:r>
          </w:p>
        </w:tc>
        <w:tc>
          <w:tcPr>
            <w:tcW w:w="907" w:type="dxa"/>
            <w:tcBorders>
              <w:top w:val="nil"/>
              <w:left w:val="single" w:sz="4" w:space="0" w:color="auto"/>
              <w:bottom w:val="nil"/>
            </w:tcBorders>
          </w:tcPr>
          <w:p w14:paraId="73C19085" w14:textId="77777777" w:rsidR="005529A2" w:rsidRPr="00FB249F" w:rsidRDefault="005529A2" w:rsidP="00D95968">
            <w:pPr>
              <w:pStyle w:val="TableText"/>
              <w:spacing w:before="50" w:after="50"/>
              <w:jc w:val="center"/>
            </w:pPr>
            <w:r w:rsidRPr="00FB249F">
              <w:rPr>
                <w:rFonts w:ascii="Segoe UI Symbol" w:hAnsi="Segoe UI Symbol" w:cs="Segoe UI Symbol"/>
                <w:b/>
                <w:bCs/>
              </w:rPr>
              <w:t>🗸</w:t>
            </w:r>
          </w:p>
        </w:tc>
        <w:tc>
          <w:tcPr>
            <w:tcW w:w="2778" w:type="dxa"/>
            <w:tcBorders>
              <w:top w:val="nil"/>
              <w:left w:val="single" w:sz="4" w:space="0" w:color="auto"/>
              <w:bottom w:val="nil"/>
            </w:tcBorders>
          </w:tcPr>
          <w:p w14:paraId="63D22B09" w14:textId="77777777" w:rsidR="005529A2" w:rsidRPr="00FB249F" w:rsidRDefault="005529A2" w:rsidP="00D95968">
            <w:pPr>
              <w:pStyle w:val="TableText"/>
              <w:spacing w:before="50" w:after="50"/>
              <w:jc w:val="center"/>
              <w:rPr>
                <w:rFonts w:ascii="Segoe UI Symbol" w:hAnsi="Segoe UI Symbol" w:cs="Segoe UI Symbol"/>
                <w:b/>
                <w:bCs/>
              </w:rPr>
            </w:pPr>
          </w:p>
        </w:tc>
      </w:tr>
      <w:tr w:rsidR="005529A2" w:rsidRPr="00FB249F" w14:paraId="7DFD575F" w14:textId="77777777" w:rsidTr="002D58FD">
        <w:trPr>
          <w:trHeight w:val="360"/>
        </w:trPr>
        <w:tc>
          <w:tcPr>
            <w:tcW w:w="582" w:type="dxa"/>
            <w:vMerge w:val="restart"/>
            <w:tcBorders>
              <w:right w:val="single" w:sz="4" w:space="0" w:color="auto"/>
            </w:tcBorders>
            <w:shd w:val="clear" w:color="auto" w:fill="auto"/>
            <w:textDirection w:val="btLr"/>
            <w:vAlign w:val="center"/>
          </w:tcPr>
          <w:p w14:paraId="2CCA2899" w14:textId="77777777" w:rsidR="005529A2" w:rsidRPr="00FB249F" w:rsidRDefault="005529A2" w:rsidP="00D95968">
            <w:pPr>
              <w:pStyle w:val="TableText"/>
              <w:spacing w:before="50" w:after="50"/>
              <w:ind w:left="113" w:right="113"/>
              <w:jc w:val="center"/>
            </w:pPr>
            <w:r w:rsidRPr="00FB249F">
              <w:t xml:space="preserve">Measured </w:t>
            </w:r>
          </w:p>
        </w:tc>
        <w:tc>
          <w:tcPr>
            <w:tcW w:w="2268" w:type="dxa"/>
            <w:tcBorders>
              <w:top w:val="single" w:sz="4" w:space="0" w:color="auto"/>
              <w:left w:val="single" w:sz="4" w:space="0" w:color="auto"/>
              <w:bottom w:val="nil"/>
              <w:right w:val="single" w:sz="4" w:space="0" w:color="auto"/>
            </w:tcBorders>
            <w:shd w:val="clear" w:color="auto" w:fill="auto"/>
            <w:vAlign w:val="center"/>
          </w:tcPr>
          <w:p w14:paraId="6284515E" w14:textId="77777777" w:rsidR="005529A2" w:rsidRPr="00FB249F" w:rsidRDefault="005529A2" w:rsidP="00D95968">
            <w:pPr>
              <w:pStyle w:val="TableText"/>
              <w:spacing w:before="50" w:after="50"/>
              <w:jc w:val="center"/>
            </w:pPr>
            <w:r w:rsidRPr="00FB249F">
              <w:t>Daily abstraction rate</w:t>
            </w:r>
          </w:p>
        </w:tc>
        <w:tc>
          <w:tcPr>
            <w:tcW w:w="907" w:type="dxa"/>
            <w:tcBorders>
              <w:top w:val="single" w:sz="4" w:space="0" w:color="auto"/>
              <w:left w:val="single" w:sz="4" w:space="0" w:color="auto"/>
              <w:bottom w:val="nil"/>
              <w:right w:val="single" w:sz="4" w:space="0" w:color="auto"/>
            </w:tcBorders>
            <w:vAlign w:val="center"/>
          </w:tcPr>
          <w:p w14:paraId="0932708C" w14:textId="77777777" w:rsidR="005529A2" w:rsidRPr="00FB249F" w:rsidRDefault="005529A2" w:rsidP="00D95968">
            <w:pPr>
              <w:pStyle w:val="TableText"/>
              <w:spacing w:before="50" w:after="50"/>
              <w:jc w:val="center"/>
              <w:rPr>
                <w:rFonts w:ascii="Segoe UI Symbol" w:hAnsi="Segoe UI Symbol" w:cs="Segoe UI Symbol"/>
                <w:b/>
                <w:bCs/>
              </w:rPr>
            </w:pPr>
            <w:r w:rsidRPr="00FB249F">
              <w:rPr>
                <w:rFonts w:ascii="Segoe UI Symbol" w:hAnsi="Segoe UI Symbol" w:cs="Segoe UI Symbol"/>
                <w:b/>
                <w:bCs/>
              </w:rPr>
              <w:t>🗸</w:t>
            </w:r>
          </w:p>
        </w:tc>
        <w:tc>
          <w:tcPr>
            <w:tcW w:w="907" w:type="dxa"/>
            <w:tcBorders>
              <w:top w:val="single" w:sz="4" w:space="0" w:color="auto"/>
              <w:left w:val="single" w:sz="4" w:space="0" w:color="auto"/>
              <w:bottom w:val="nil"/>
            </w:tcBorders>
          </w:tcPr>
          <w:p w14:paraId="6F1465D3" w14:textId="77777777" w:rsidR="005529A2" w:rsidRPr="00FB249F" w:rsidRDefault="005529A2" w:rsidP="00D95968">
            <w:pPr>
              <w:pStyle w:val="TableText"/>
              <w:spacing w:before="50" w:after="50"/>
              <w:jc w:val="center"/>
              <w:rPr>
                <w:b/>
                <w:bCs/>
              </w:rPr>
            </w:pPr>
            <w:r w:rsidRPr="00FB249F">
              <w:rPr>
                <w:rFonts w:ascii="Segoe UI Symbol" w:hAnsi="Segoe UI Symbol" w:cs="Segoe UI Symbol"/>
                <w:b/>
                <w:bCs/>
              </w:rPr>
              <w:t>🗸</w:t>
            </w:r>
          </w:p>
        </w:tc>
        <w:tc>
          <w:tcPr>
            <w:tcW w:w="907" w:type="dxa"/>
            <w:tcBorders>
              <w:top w:val="single" w:sz="4" w:space="0" w:color="auto"/>
              <w:left w:val="single" w:sz="4" w:space="0" w:color="auto"/>
              <w:bottom w:val="nil"/>
            </w:tcBorders>
          </w:tcPr>
          <w:p w14:paraId="7C934DFA" w14:textId="77777777" w:rsidR="005529A2" w:rsidRPr="00FB249F" w:rsidRDefault="005529A2" w:rsidP="00D95968">
            <w:pPr>
              <w:pStyle w:val="TableText"/>
              <w:spacing w:before="50" w:after="50"/>
              <w:jc w:val="center"/>
              <w:rPr>
                <w:rFonts w:ascii="Segoe UI Symbol" w:hAnsi="Segoe UI Symbol" w:cs="Segoe UI Symbol"/>
                <w:b/>
                <w:bCs/>
              </w:rPr>
            </w:pPr>
            <w:r w:rsidRPr="00FB249F">
              <w:rPr>
                <w:rFonts w:ascii="Segoe UI Symbol" w:hAnsi="Segoe UI Symbol" w:cs="Segoe UI Symbol"/>
                <w:b/>
                <w:bCs/>
              </w:rPr>
              <w:t>🗸</w:t>
            </w:r>
          </w:p>
        </w:tc>
        <w:tc>
          <w:tcPr>
            <w:tcW w:w="2778" w:type="dxa"/>
            <w:tcBorders>
              <w:top w:val="single" w:sz="4" w:space="0" w:color="auto"/>
              <w:left w:val="single" w:sz="4" w:space="0" w:color="auto"/>
              <w:bottom w:val="nil"/>
            </w:tcBorders>
          </w:tcPr>
          <w:p w14:paraId="3A23799D" w14:textId="77777777" w:rsidR="005529A2" w:rsidRPr="00FB249F" w:rsidRDefault="005529A2" w:rsidP="00D95968">
            <w:pPr>
              <w:pStyle w:val="TableText"/>
              <w:spacing w:before="50" w:after="50"/>
              <w:jc w:val="center"/>
              <w:rPr>
                <w:rFonts w:ascii="Segoe UI Symbol" w:hAnsi="Segoe UI Symbol" w:cs="Segoe UI Symbol"/>
                <w:b/>
                <w:bCs/>
              </w:rPr>
            </w:pPr>
          </w:p>
        </w:tc>
      </w:tr>
      <w:tr w:rsidR="005529A2" w:rsidRPr="00FB249F" w14:paraId="21E2184C" w14:textId="77777777" w:rsidTr="002D58FD">
        <w:trPr>
          <w:trHeight w:val="360"/>
        </w:trPr>
        <w:tc>
          <w:tcPr>
            <w:tcW w:w="582" w:type="dxa"/>
            <w:vMerge/>
            <w:tcBorders>
              <w:right w:val="single" w:sz="4" w:space="0" w:color="auto"/>
            </w:tcBorders>
            <w:shd w:val="clear" w:color="auto" w:fill="auto"/>
            <w:textDirection w:val="btLr"/>
            <w:vAlign w:val="center"/>
          </w:tcPr>
          <w:p w14:paraId="7B0DC175" w14:textId="77777777" w:rsidR="005529A2" w:rsidRPr="00FB249F" w:rsidRDefault="005529A2" w:rsidP="00D95968">
            <w:pPr>
              <w:pStyle w:val="TableText"/>
              <w:spacing w:before="50" w:after="50"/>
              <w:ind w:left="113" w:right="113"/>
              <w:jc w:val="center"/>
            </w:pPr>
          </w:p>
        </w:tc>
        <w:tc>
          <w:tcPr>
            <w:tcW w:w="2268" w:type="dxa"/>
            <w:tcBorders>
              <w:top w:val="nil"/>
              <w:left w:val="single" w:sz="4" w:space="0" w:color="auto"/>
              <w:bottom w:val="nil"/>
              <w:right w:val="single" w:sz="4" w:space="0" w:color="auto"/>
            </w:tcBorders>
            <w:shd w:val="clear" w:color="auto" w:fill="auto"/>
            <w:vAlign w:val="center"/>
          </w:tcPr>
          <w:p w14:paraId="59C39FB6" w14:textId="77777777" w:rsidR="005529A2" w:rsidRPr="00FB249F" w:rsidRDefault="005529A2" w:rsidP="00D95968">
            <w:pPr>
              <w:pStyle w:val="TableText"/>
              <w:spacing w:before="50" w:after="50"/>
              <w:jc w:val="center"/>
            </w:pPr>
            <w:r w:rsidRPr="00FB249F">
              <w:t>Water use type and source</w:t>
            </w:r>
          </w:p>
        </w:tc>
        <w:tc>
          <w:tcPr>
            <w:tcW w:w="907" w:type="dxa"/>
            <w:tcBorders>
              <w:top w:val="nil"/>
              <w:left w:val="single" w:sz="4" w:space="0" w:color="auto"/>
              <w:bottom w:val="nil"/>
              <w:right w:val="single" w:sz="4" w:space="0" w:color="auto"/>
            </w:tcBorders>
            <w:vAlign w:val="center"/>
          </w:tcPr>
          <w:p w14:paraId="40D2ECD9" w14:textId="77777777" w:rsidR="005529A2" w:rsidRPr="00FB249F" w:rsidRDefault="005529A2" w:rsidP="00D95968">
            <w:pPr>
              <w:pStyle w:val="TableText"/>
              <w:spacing w:before="50" w:after="50"/>
              <w:jc w:val="center"/>
              <w:rPr>
                <w:rFonts w:ascii="Segoe UI Symbol" w:hAnsi="Segoe UI Symbol" w:cs="Segoe UI Symbol"/>
                <w:b/>
                <w:bCs/>
              </w:rPr>
            </w:pPr>
            <w:r w:rsidRPr="00FB249F">
              <w:rPr>
                <w:rFonts w:ascii="Segoe UI Symbol" w:hAnsi="Segoe UI Symbol" w:cs="Segoe UI Symbol"/>
                <w:b/>
                <w:bCs/>
              </w:rPr>
              <w:t>🗸</w:t>
            </w:r>
          </w:p>
        </w:tc>
        <w:tc>
          <w:tcPr>
            <w:tcW w:w="907" w:type="dxa"/>
            <w:tcBorders>
              <w:top w:val="nil"/>
              <w:left w:val="single" w:sz="4" w:space="0" w:color="auto"/>
              <w:bottom w:val="nil"/>
            </w:tcBorders>
          </w:tcPr>
          <w:p w14:paraId="76D5119A" w14:textId="77777777" w:rsidR="005529A2" w:rsidRPr="00FB249F" w:rsidRDefault="005529A2" w:rsidP="00D95968">
            <w:pPr>
              <w:pStyle w:val="TableText"/>
              <w:spacing w:before="50" w:after="50"/>
              <w:jc w:val="center"/>
              <w:rPr>
                <w:b/>
                <w:bCs/>
              </w:rPr>
            </w:pPr>
            <w:r w:rsidRPr="00FB249F">
              <w:rPr>
                <w:rFonts w:ascii="Segoe UI Symbol" w:hAnsi="Segoe UI Symbol" w:cs="Segoe UI Symbol"/>
                <w:b/>
                <w:bCs/>
              </w:rPr>
              <w:t>🗸</w:t>
            </w:r>
          </w:p>
        </w:tc>
        <w:tc>
          <w:tcPr>
            <w:tcW w:w="907" w:type="dxa"/>
            <w:tcBorders>
              <w:top w:val="nil"/>
              <w:left w:val="single" w:sz="4" w:space="0" w:color="auto"/>
              <w:bottom w:val="nil"/>
            </w:tcBorders>
          </w:tcPr>
          <w:p w14:paraId="671139CD" w14:textId="77777777" w:rsidR="005529A2" w:rsidRPr="00FB249F" w:rsidRDefault="005529A2" w:rsidP="00D95968">
            <w:pPr>
              <w:pStyle w:val="TableText"/>
              <w:spacing w:before="50" w:after="50"/>
              <w:jc w:val="center"/>
              <w:rPr>
                <w:rFonts w:ascii="Segoe UI Symbol" w:hAnsi="Segoe UI Symbol" w:cs="Segoe UI Symbol"/>
                <w:b/>
                <w:bCs/>
              </w:rPr>
            </w:pPr>
            <w:r w:rsidRPr="00FB249F">
              <w:rPr>
                <w:rFonts w:ascii="Segoe UI Symbol" w:hAnsi="Segoe UI Symbol" w:cs="Segoe UI Symbol"/>
                <w:b/>
                <w:bCs/>
              </w:rPr>
              <w:t>🗸</w:t>
            </w:r>
          </w:p>
        </w:tc>
        <w:tc>
          <w:tcPr>
            <w:tcW w:w="2778" w:type="dxa"/>
            <w:tcBorders>
              <w:top w:val="nil"/>
              <w:left w:val="single" w:sz="4" w:space="0" w:color="auto"/>
              <w:bottom w:val="nil"/>
            </w:tcBorders>
          </w:tcPr>
          <w:p w14:paraId="1AE36D3A" w14:textId="77777777" w:rsidR="005529A2" w:rsidRPr="00FB249F" w:rsidRDefault="005529A2" w:rsidP="00D95968">
            <w:pPr>
              <w:pStyle w:val="TableText"/>
              <w:spacing w:before="50" w:after="50"/>
              <w:jc w:val="center"/>
              <w:rPr>
                <w:rFonts w:ascii="Segoe UI Symbol" w:hAnsi="Segoe UI Symbol" w:cs="Segoe UI Symbol"/>
                <w:b/>
                <w:bCs/>
              </w:rPr>
            </w:pPr>
          </w:p>
        </w:tc>
      </w:tr>
      <w:tr w:rsidR="005529A2" w:rsidRPr="00FB249F" w14:paraId="4E225261" w14:textId="77777777" w:rsidTr="002D58FD">
        <w:trPr>
          <w:trHeight w:val="360"/>
        </w:trPr>
        <w:tc>
          <w:tcPr>
            <w:tcW w:w="582" w:type="dxa"/>
            <w:vMerge/>
            <w:tcBorders>
              <w:right w:val="single" w:sz="4" w:space="0" w:color="auto"/>
            </w:tcBorders>
            <w:shd w:val="clear" w:color="auto" w:fill="auto"/>
            <w:textDirection w:val="btLr"/>
            <w:vAlign w:val="center"/>
          </w:tcPr>
          <w:p w14:paraId="79CAE75C" w14:textId="77777777" w:rsidR="005529A2" w:rsidRPr="00FB249F" w:rsidRDefault="005529A2" w:rsidP="00D95968">
            <w:pPr>
              <w:pStyle w:val="TableText"/>
              <w:spacing w:before="50" w:after="50"/>
              <w:ind w:left="113" w:right="113"/>
              <w:jc w:val="center"/>
            </w:pPr>
          </w:p>
        </w:tc>
        <w:tc>
          <w:tcPr>
            <w:tcW w:w="2268" w:type="dxa"/>
            <w:tcBorders>
              <w:top w:val="nil"/>
              <w:left w:val="single" w:sz="4" w:space="0" w:color="auto"/>
              <w:bottom w:val="single" w:sz="4" w:space="0" w:color="auto"/>
              <w:right w:val="single" w:sz="4" w:space="0" w:color="auto"/>
            </w:tcBorders>
            <w:shd w:val="clear" w:color="auto" w:fill="auto"/>
            <w:vAlign w:val="center"/>
          </w:tcPr>
          <w:p w14:paraId="781AA6C2" w14:textId="77777777" w:rsidR="005529A2" w:rsidRPr="00FB249F" w:rsidRDefault="005529A2" w:rsidP="00D95968">
            <w:pPr>
              <w:pStyle w:val="TableText"/>
              <w:spacing w:before="50" w:after="50"/>
              <w:jc w:val="center"/>
            </w:pPr>
            <w:r w:rsidRPr="00FB249F">
              <w:t>Daily streamflow</w:t>
            </w:r>
          </w:p>
        </w:tc>
        <w:tc>
          <w:tcPr>
            <w:tcW w:w="907" w:type="dxa"/>
            <w:tcBorders>
              <w:top w:val="nil"/>
              <w:left w:val="single" w:sz="4" w:space="0" w:color="auto"/>
              <w:bottom w:val="single" w:sz="4" w:space="0" w:color="auto"/>
              <w:right w:val="single" w:sz="4" w:space="0" w:color="auto"/>
            </w:tcBorders>
            <w:vAlign w:val="center"/>
          </w:tcPr>
          <w:p w14:paraId="317C67E0" w14:textId="77777777" w:rsidR="005529A2" w:rsidRPr="00FB249F" w:rsidRDefault="005529A2" w:rsidP="00D95968">
            <w:pPr>
              <w:pStyle w:val="TableText"/>
              <w:spacing w:before="50" w:after="50"/>
              <w:jc w:val="center"/>
              <w:rPr>
                <w:rFonts w:ascii="Segoe UI Symbol" w:hAnsi="Segoe UI Symbol" w:cs="Segoe UI Symbol"/>
              </w:rPr>
            </w:pPr>
          </w:p>
        </w:tc>
        <w:tc>
          <w:tcPr>
            <w:tcW w:w="907" w:type="dxa"/>
            <w:tcBorders>
              <w:top w:val="nil"/>
              <w:left w:val="single" w:sz="4" w:space="0" w:color="auto"/>
              <w:bottom w:val="single" w:sz="4" w:space="0" w:color="auto"/>
            </w:tcBorders>
            <w:vAlign w:val="center"/>
          </w:tcPr>
          <w:p w14:paraId="0CA9B88C" w14:textId="77777777" w:rsidR="005529A2" w:rsidRPr="00FB249F" w:rsidRDefault="005529A2" w:rsidP="00D95968">
            <w:pPr>
              <w:pStyle w:val="TableText"/>
              <w:spacing w:before="50" w:after="50"/>
              <w:jc w:val="center"/>
              <w:rPr>
                <w:rFonts w:ascii="Segoe UI Symbol" w:hAnsi="Segoe UI Symbol" w:cs="Segoe UI Symbol"/>
                <w:b/>
                <w:bCs/>
              </w:rPr>
            </w:pPr>
            <w:r w:rsidRPr="00FB249F">
              <w:rPr>
                <w:rFonts w:ascii="Segoe UI Symbol" w:hAnsi="Segoe UI Symbol" w:cs="Segoe UI Symbol"/>
                <w:b/>
                <w:bCs/>
              </w:rPr>
              <w:t>🗸</w:t>
            </w:r>
          </w:p>
        </w:tc>
        <w:tc>
          <w:tcPr>
            <w:tcW w:w="907" w:type="dxa"/>
            <w:tcBorders>
              <w:top w:val="nil"/>
              <w:left w:val="single" w:sz="4" w:space="0" w:color="auto"/>
              <w:bottom w:val="single" w:sz="4" w:space="0" w:color="auto"/>
            </w:tcBorders>
            <w:vAlign w:val="center"/>
          </w:tcPr>
          <w:p w14:paraId="661980DD" w14:textId="77777777" w:rsidR="005529A2" w:rsidRPr="00FB249F" w:rsidRDefault="005529A2" w:rsidP="00D95968">
            <w:pPr>
              <w:pStyle w:val="TableText"/>
              <w:spacing w:before="50" w:after="50"/>
              <w:jc w:val="center"/>
              <w:rPr>
                <w:rFonts w:ascii="Segoe UI Symbol" w:hAnsi="Segoe UI Symbol" w:cs="Segoe UI Symbol"/>
                <w:b/>
                <w:bCs/>
              </w:rPr>
            </w:pPr>
            <w:r w:rsidRPr="00FB249F">
              <w:rPr>
                <w:rFonts w:ascii="Segoe UI Symbol" w:hAnsi="Segoe UI Symbol" w:cs="Segoe UI Symbol"/>
                <w:b/>
                <w:bCs/>
              </w:rPr>
              <w:t>🗸</w:t>
            </w:r>
          </w:p>
        </w:tc>
        <w:tc>
          <w:tcPr>
            <w:tcW w:w="2778" w:type="dxa"/>
            <w:tcBorders>
              <w:top w:val="nil"/>
              <w:left w:val="single" w:sz="4" w:space="0" w:color="auto"/>
              <w:bottom w:val="single" w:sz="4" w:space="0" w:color="auto"/>
            </w:tcBorders>
          </w:tcPr>
          <w:p w14:paraId="7B718C5A" w14:textId="77777777" w:rsidR="005529A2" w:rsidRPr="00FB249F" w:rsidRDefault="005529A2" w:rsidP="00D95968">
            <w:pPr>
              <w:pStyle w:val="TableText"/>
              <w:spacing w:before="50" w:after="50"/>
              <w:jc w:val="center"/>
              <w:rPr>
                <w:rFonts w:ascii="Segoe UI Symbol" w:hAnsi="Segoe UI Symbol" w:cs="Segoe UI Symbol"/>
                <w:b/>
                <w:bCs/>
              </w:rPr>
            </w:pPr>
          </w:p>
        </w:tc>
      </w:tr>
      <w:tr w:rsidR="005529A2" w:rsidRPr="00FB249F" w14:paraId="22DCADF7" w14:textId="77777777" w:rsidTr="002D58FD">
        <w:trPr>
          <w:trHeight w:val="360"/>
        </w:trPr>
        <w:tc>
          <w:tcPr>
            <w:tcW w:w="582" w:type="dxa"/>
            <w:vMerge w:val="restart"/>
            <w:tcBorders>
              <w:right w:val="single" w:sz="4" w:space="0" w:color="auto"/>
            </w:tcBorders>
            <w:shd w:val="clear" w:color="auto" w:fill="auto"/>
            <w:textDirection w:val="btLr"/>
            <w:vAlign w:val="center"/>
          </w:tcPr>
          <w:p w14:paraId="15BF2C7B" w14:textId="77777777" w:rsidR="005529A2" w:rsidRPr="00FB249F" w:rsidRDefault="005529A2" w:rsidP="00D95968">
            <w:pPr>
              <w:pStyle w:val="TableText"/>
              <w:spacing w:before="50" w:after="50"/>
              <w:jc w:val="center"/>
            </w:pPr>
            <w:r w:rsidRPr="00FB249F">
              <w:t>Models</w:t>
            </w:r>
          </w:p>
        </w:tc>
        <w:tc>
          <w:tcPr>
            <w:tcW w:w="2268" w:type="dxa"/>
            <w:tcBorders>
              <w:top w:val="single" w:sz="4" w:space="0" w:color="auto"/>
              <w:left w:val="single" w:sz="4" w:space="0" w:color="auto"/>
              <w:bottom w:val="nil"/>
              <w:right w:val="single" w:sz="4" w:space="0" w:color="auto"/>
            </w:tcBorders>
            <w:shd w:val="clear" w:color="auto" w:fill="auto"/>
            <w:vAlign w:val="center"/>
          </w:tcPr>
          <w:p w14:paraId="621A2AF8" w14:textId="77777777" w:rsidR="005529A2" w:rsidRPr="00FB249F" w:rsidRDefault="005529A2" w:rsidP="00D95968">
            <w:pPr>
              <w:pStyle w:val="TableText"/>
              <w:spacing w:before="50" w:after="50"/>
              <w:jc w:val="center"/>
            </w:pPr>
            <w:r w:rsidRPr="00FB249F">
              <w:t>Abstraction rates for unmeasured abstractions</w:t>
            </w:r>
          </w:p>
        </w:tc>
        <w:tc>
          <w:tcPr>
            <w:tcW w:w="907" w:type="dxa"/>
            <w:tcBorders>
              <w:top w:val="single" w:sz="4" w:space="0" w:color="auto"/>
              <w:left w:val="single" w:sz="4" w:space="0" w:color="auto"/>
              <w:bottom w:val="nil"/>
              <w:right w:val="single" w:sz="4" w:space="0" w:color="auto"/>
            </w:tcBorders>
            <w:vAlign w:val="center"/>
          </w:tcPr>
          <w:p w14:paraId="20EF6674" w14:textId="77777777" w:rsidR="005529A2" w:rsidRPr="00FB249F" w:rsidRDefault="005529A2" w:rsidP="00D95968">
            <w:pPr>
              <w:pStyle w:val="TableText"/>
              <w:spacing w:before="50" w:after="50"/>
              <w:jc w:val="center"/>
              <w:rPr>
                <w:rFonts w:ascii="Segoe UI Symbol" w:hAnsi="Segoe UI Symbol" w:cs="Segoe UI Symbol"/>
                <w:color w:val="202124"/>
                <w:shd w:val="clear" w:color="auto" w:fill="FFFFFF"/>
              </w:rPr>
            </w:pPr>
          </w:p>
        </w:tc>
        <w:tc>
          <w:tcPr>
            <w:tcW w:w="907" w:type="dxa"/>
            <w:tcBorders>
              <w:top w:val="single" w:sz="4" w:space="0" w:color="auto"/>
              <w:left w:val="single" w:sz="4" w:space="0" w:color="auto"/>
              <w:bottom w:val="nil"/>
              <w:right w:val="single" w:sz="4" w:space="0" w:color="auto"/>
            </w:tcBorders>
            <w:vAlign w:val="center"/>
          </w:tcPr>
          <w:p w14:paraId="1B3A3B5F" w14:textId="77777777" w:rsidR="005529A2" w:rsidRPr="00FB249F" w:rsidRDefault="005529A2" w:rsidP="00D95968">
            <w:pPr>
              <w:pStyle w:val="TableText"/>
              <w:spacing w:before="50" w:after="50"/>
              <w:jc w:val="center"/>
              <w:rPr>
                <w:rFonts w:ascii="Segoe UI Symbol" w:hAnsi="Segoe UI Symbol" w:cs="Segoe UI Symbol"/>
                <w:b/>
                <w:bCs/>
              </w:rPr>
            </w:pPr>
          </w:p>
        </w:tc>
        <w:tc>
          <w:tcPr>
            <w:tcW w:w="907" w:type="dxa"/>
            <w:tcBorders>
              <w:top w:val="single" w:sz="4" w:space="0" w:color="auto"/>
              <w:left w:val="single" w:sz="4" w:space="0" w:color="auto"/>
              <w:bottom w:val="nil"/>
            </w:tcBorders>
            <w:vAlign w:val="center"/>
          </w:tcPr>
          <w:p w14:paraId="24046D13" w14:textId="77777777" w:rsidR="005529A2" w:rsidRPr="00FB249F" w:rsidRDefault="005529A2" w:rsidP="00D95968">
            <w:pPr>
              <w:pStyle w:val="TableText"/>
              <w:spacing w:before="50" w:after="50"/>
              <w:jc w:val="center"/>
              <w:rPr>
                <w:rFonts w:asciiTheme="minorHAnsi" w:hAnsiTheme="minorHAnsi" w:cstheme="minorHAnsi"/>
              </w:rPr>
            </w:pPr>
            <w:r w:rsidRPr="00FB249F">
              <w:rPr>
                <w:rFonts w:ascii="Segoe UI Symbol" w:hAnsi="Segoe UI Symbol" w:cs="Segoe UI Symbol"/>
                <w:b/>
                <w:bCs/>
              </w:rPr>
              <w:t>🗸</w:t>
            </w:r>
          </w:p>
        </w:tc>
        <w:tc>
          <w:tcPr>
            <w:tcW w:w="2778" w:type="dxa"/>
            <w:tcBorders>
              <w:top w:val="single" w:sz="4" w:space="0" w:color="auto"/>
              <w:left w:val="single" w:sz="4" w:space="0" w:color="auto"/>
              <w:bottom w:val="nil"/>
            </w:tcBorders>
            <w:vAlign w:val="center"/>
          </w:tcPr>
          <w:p w14:paraId="58D94944" w14:textId="77777777" w:rsidR="005529A2" w:rsidRPr="00FB249F" w:rsidRDefault="005529A2" w:rsidP="00D95968">
            <w:pPr>
              <w:pStyle w:val="TableText"/>
              <w:spacing w:before="50" w:after="50"/>
              <w:jc w:val="center"/>
              <w:rPr>
                <w:rFonts w:ascii="Segoe UI Symbol" w:hAnsi="Segoe UI Symbol" w:cs="Segoe UI Symbol"/>
                <w:b/>
                <w:bCs/>
              </w:rPr>
            </w:pPr>
            <w:r w:rsidRPr="00FB249F">
              <w:rPr>
                <w:rFonts w:asciiTheme="minorHAnsi" w:hAnsiTheme="minorHAnsi" w:cstheme="minorHAnsi"/>
              </w:rPr>
              <w:t>to infill missing data, improve spatial models</w:t>
            </w:r>
          </w:p>
        </w:tc>
      </w:tr>
      <w:tr w:rsidR="005529A2" w:rsidRPr="00FB249F" w14:paraId="59B01796" w14:textId="77777777" w:rsidTr="002D58FD">
        <w:trPr>
          <w:trHeight w:val="360"/>
        </w:trPr>
        <w:tc>
          <w:tcPr>
            <w:tcW w:w="582" w:type="dxa"/>
            <w:vMerge/>
            <w:tcBorders>
              <w:right w:val="single" w:sz="4" w:space="0" w:color="auto"/>
            </w:tcBorders>
            <w:shd w:val="clear" w:color="auto" w:fill="auto"/>
            <w:textDirection w:val="btLr"/>
            <w:vAlign w:val="center"/>
          </w:tcPr>
          <w:p w14:paraId="070AA4AA" w14:textId="77777777" w:rsidR="005529A2" w:rsidRPr="00FB249F" w:rsidRDefault="005529A2" w:rsidP="00F23144">
            <w:pPr>
              <w:pStyle w:val="TableText"/>
              <w:jc w:val="center"/>
            </w:pPr>
          </w:p>
        </w:tc>
        <w:tc>
          <w:tcPr>
            <w:tcW w:w="2268" w:type="dxa"/>
            <w:tcBorders>
              <w:top w:val="nil"/>
              <w:left w:val="single" w:sz="4" w:space="0" w:color="auto"/>
              <w:bottom w:val="nil"/>
              <w:right w:val="single" w:sz="4" w:space="0" w:color="auto"/>
            </w:tcBorders>
            <w:shd w:val="clear" w:color="auto" w:fill="auto"/>
            <w:vAlign w:val="center"/>
          </w:tcPr>
          <w:p w14:paraId="64DC097B" w14:textId="77777777" w:rsidR="00D95968" w:rsidRPr="00FB249F" w:rsidRDefault="005529A2" w:rsidP="00D95968">
            <w:pPr>
              <w:pStyle w:val="TableText"/>
              <w:spacing w:after="0"/>
              <w:jc w:val="center"/>
            </w:pPr>
            <w:r w:rsidRPr="00FB249F">
              <w:t>Streamflow depletion:</w:t>
            </w:r>
          </w:p>
          <w:p w14:paraId="4F5B9DA9" w14:textId="212879A4" w:rsidR="00D95968" w:rsidRPr="00FB249F" w:rsidRDefault="005529A2" w:rsidP="00D95968">
            <w:pPr>
              <w:pStyle w:val="TableDash"/>
              <w:spacing w:after="0"/>
            </w:pPr>
            <w:r w:rsidRPr="00FB249F">
              <w:t>one-layer approach</w:t>
            </w:r>
          </w:p>
          <w:p w14:paraId="3E5BCF9F" w14:textId="3153D5DB" w:rsidR="005529A2" w:rsidRPr="00FB249F" w:rsidRDefault="005529A2" w:rsidP="00D95968">
            <w:pPr>
              <w:pStyle w:val="TableDash"/>
            </w:pPr>
            <w:r w:rsidRPr="00FB249F">
              <w:t>two-layer approach</w:t>
            </w:r>
          </w:p>
        </w:tc>
        <w:tc>
          <w:tcPr>
            <w:tcW w:w="907" w:type="dxa"/>
            <w:tcBorders>
              <w:top w:val="nil"/>
              <w:left w:val="single" w:sz="4" w:space="0" w:color="auto"/>
              <w:bottom w:val="nil"/>
              <w:right w:val="single" w:sz="4" w:space="0" w:color="auto"/>
            </w:tcBorders>
            <w:vAlign w:val="center"/>
          </w:tcPr>
          <w:p w14:paraId="6338D3A3" w14:textId="77777777" w:rsidR="005529A2" w:rsidRPr="00FB249F" w:rsidRDefault="005529A2" w:rsidP="00F23144">
            <w:pPr>
              <w:pStyle w:val="TableText"/>
              <w:jc w:val="center"/>
              <w:rPr>
                <w:rFonts w:ascii="Segoe UI Symbol" w:hAnsi="Segoe UI Symbol" w:cs="Segoe UI Symbol"/>
                <w:color w:val="202124"/>
                <w:shd w:val="clear" w:color="auto" w:fill="FFFFFF"/>
              </w:rPr>
            </w:pPr>
            <w:r w:rsidRPr="00FB249F">
              <w:rPr>
                <w:rFonts w:ascii="Segoe UI Symbol" w:hAnsi="Segoe UI Symbol" w:cs="Segoe UI Symbol"/>
                <w:b/>
                <w:bCs/>
              </w:rPr>
              <w:br/>
              <w:t>🗸</w:t>
            </w:r>
            <w:r w:rsidRPr="00FB249F">
              <w:rPr>
                <w:rFonts w:ascii="Segoe UI Symbol" w:hAnsi="Segoe UI Symbol" w:cs="Segoe UI Symbol"/>
                <w:b/>
                <w:bCs/>
              </w:rPr>
              <w:br/>
            </w:r>
          </w:p>
        </w:tc>
        <w:tc>
          <w:tcPr>
            <w:tcW w:w="907" w:type="dxa"/>
            <w:tcBorders>
              <w:top w:val="nil"/>
              <w:left w:val="single" w:sz="4" w:space="0" w:color="auto"/>
              <w:bottom w:val="nil"/>
              <w:right w:val="single" w:sz="4" w:space="0" w:color="auto"/>
            </w:tcBorders>
          </w:tcPr>
          <w:p w14:paraId="161BFBFE" w14:textId="77777777" w:rsidR="005529A2" w:rsidRPr="00FB249F" w:rsidRDefault="005529A2" w:rsidP="00F23144">
            <w:pPr>
              <w:pStyle w:val="TableText"/>
              <w:jc w:val="center"/>
              <w:rPr>
                <w:rFonts w:ascii="Segoe UI Symbol" w:hAnsi="Segoe UI Symbol" w:cs="Segoe UI Symbol"/>
                <w:b/>
                <w:bCs/>
              </w:rPr>
            </w:pPr>
            <w:r w:rsidRPr="00FB249F">
              <w:rPr>
                <w:rFonts w:ascii="Segoe UI Symbol" w:hAnsi="Segoe UI Symbol" w:cs="Segoe UI Symbol"/>
                <w:b/>
                <w:bCs/>
              </w:rPr>
              <w:br/>
            </w:r>
            <w:r w:rsidRPr="00FB249F">
              <w:rPr>
                <w:rFonts w:ascii="Segoe UI Symbol" w:hAnsi="Segoe UI Symbol" w:cs="Segoe UI Symbol"/>
                <w:b/>
                <w:bCs/>
              </w:rPr>
              <w:br/>
              <w:t>🗸</w:t>
            </w:r>
          </w:p>
        </w:tc>
        <w:tc>
          <w:tcPr>
            <w:tcW w:w="907" w:type="dxa"/>
            <w:tcBorders>
              <w:top w:val="nil"/>
              <w:left w:val="single" w:sz="4" w:space="0" w:color="auto"/>
              <w:bottom w:val="nil"/>
            </w:tcBorders>
          </w:tcPr>
          <w:p w14:paraId="4A9F08B4" w14:textId="77777777" w:rsidR="005529A2" w:rsidRPr="00FB249F" w:rsidRDefault="005529A2" w:rsidP="00F23144">
            <w:pPr>
              <w:pStyle w:val="TableText"/>
              <w:jc w:val="center"/>
              <w:rPr>
                <w:rFonts w:ascii="Segoe UI Symbol" w:hAnsi="Segoe UI Symbol" w:cs="Segoe UI Symbol"/>
                <w:b/>
                <w:bCs/>
              </w:rPr>
            </w:pPr>
            <w:r w:rsidRPr="00FB249F">
              <w:rPr>
                <w:rFonts w:ascii="Segoe UI Symbol" w:hAnsi="Segoe UI Symbol" w:cs="Segoe UI Symbol"/>
                <w:b/>
                <w:bCs/>
              </w:rPr>
              <w:br/>
            </w:r>
            <w:r w:rsidRPr="00FB249F">
              <w:rPr>
                <w:rFonts w:ascii="Segoe UI Symbol" w:hAnsi="Segoe UI Symbol" w:cs="Segoe UI Symbol"/>
                <w:b/>
                <w:bCs/>
              </w:rPr>
              <w:br/>
              <w:t>🗸</w:t>
            </w:r>
          </w:p>
        </w:tc>
        <w:tc>
          <w:tcPr>
            <w:tcW w:w="2778" w:type="dxa"/>
            <w:tcBorders>
              <w:top w:val="nil"/>
              <w:left w:val="single" w:sz="4" w:space="0" w:color="auto"/>
              <w:bottom w:val="nil"/>
            </w:tcBorders>
          </w:tcPr>
          <w:p w14:paraId="521DBB87" w14:textId="77777777" w:rsidR="005529A2" w:rsidRPr="00FB249F" w:rsidRDefault="005529A2" w:rsidP="00F23144">
            <w:pPr>
              <w:pStyle w:val="TableText"/>
              <w:jc w:val="center"/>
              <w:rPr>
                <w:rFonts w:ascii="Segoe UI Symbol" w:hAnsi="Segoe UI Symbol" w:cs="Segoe UI Symbol"/>
                <w:b/>
                <w:bCs/>
              </w:rPr>
            </w:pPr>
          </w:p>
        </w:tc>
      </w:tr>
      <w:tr w:rsidR="005529A2" w:rsidRPr="00FB249F" w14:paraId="46ADE3B9" w14:textId="77777777" w:rsidTr="002D58FD">
        <w:trPr>
          <w:trHeight w:val="360"/>
        </w:trPr>
        <w:tc>
          <w:tcPr>
            <w:tcW w:w="582" w:type="dxa"/>
            <w:vMerge/>
            <w:tcBorders>
              <w:right w:val="single" w:sz="4" w:space="0" w:color="auto"/>
            </w:tcBorders>
            <w:shd w:val="clear" w:color="auto" w:fill="auto"/>
            <w:textDirection w:val="btLr"/>
            <w:vAlign w:val="center"/>
          </w:tcPr>
          <w:p w14:paraId="5385C4C3" w14:textId="77777777" w:rsidR="005529A2" w:rsidRPr="00FB249F" w:rsidRDefault="005529A2" w:rsidP="00F23144">
            <w:pPr>
              <w:pStyle w:val="TableText"/>
              <w:jc w:val="center"/>
            </w:pPr>
          </w:p>
        </w:tc>
        <w:tc>
          <w:tcPr>
            <w:tcW w:w="2268" w:type="dxa"/>
            <w:tcBorders>
              <w:top w:val="nil"/>
              <w:left w:val="single" w:sz="4" w:space="0" w:color="auto"/>
              <w:bottom w:val="nil"/>
              <w:right w:val="single" w:sz="4" w:space="0" w:color="auto"/>
            </w:tcBorders>
            <w:shd w:val="clear" w:color="auto" w:fill="auto"/>
            <w:vAlign w:val="center"/>
          </w:tcPr>
          <w:p w14:paraId="4DDA3C90" w14:textId="77777777" w:rsidR="005529A2" w:rsidRPr="00FB249F" w:rsidRDefault="005529A2" w:rsidP="00D95968">
            <w:pPr>
              <w:pStyle w:val="TableText"/>
              <w:spacing w:before="50" w:after="50"/>
              <w:jc w:val="center"/>
            </w:pPr>
            <w:r w:rsidRPr="00FB249F">
              <w:t>Long-term natural median streamflow</w:t>
            </w:r>
          </w:p>
        </w:tc>
        <w:tc>
          <w:tcPr>
            <w:tcW w:w="907" w:type="dxa"/>
            <w:tcBorders>
              <w:top w:val="nil"/>
              <w:left w:val="single" w:sz="4" w:space="0" w:color="auto"/>
              <w:bottom w:val="nil"/>
              <w:right w:val="single" w:sz="4" w:space="0" w:color="auto"/>
            </w:tcBorders>
            <w:vAlign w:val="center"/>
          </w:tcPr>
          <w:p w14:paraId="48524457" w14:textId="77777777" w:rsidR="005529A2" w:rsidRPr="00FB249F" w:rsidRDefault="005529A2" w:rsidP="00D95968">
            <w:pPr>
              <w:pStyle w:val="TableText"/>
              <w:spacing w:before="50" w:after="50"/>
              <w:jc w:val="center"/>
              <w:rPr>
                <w:rFonts w:ascii="Segoe UI Symbol" w:hAnsi="Segoe UI Symbol" w:cs="Segoe UI Symbol"/>
                <w:color w:val="202124"/>
                <w:shd w:val="clear" w:color="auto" w:fill="FFFFFF"/>
              </w:rPr>
            </w:pPr>
            <w:r w:rsidRPr="00FB249F">
              <w:rPr>
                <w:rFonts w:ascii="Segoe UI Symbol" w:hAnsi="Segoe UI Symbol" w:cs="Segoe UI Symbol"/>
                <w:b/>
                <w:bCs/>
              </w:rPr>
              <w:t>🗸</w:t>
            </w:r>
          </w:p>
        </w:tc>
        <w:tc>
          <w:tcPr>
            <w:tcW w:w="907" w:type="dxa"/>
            <w:tcBorders>
              <w:top w:val="nil"/>
              <w:left w:val="single" w:sz="4" w:space="0" w:color="auto"/>
              <w:bottom w:val="nil"/>
              <w:right w:val="single" w:sz="4" w:space="0" w:color="auto"/>
            </w:tcBorders>
            <w:vAlign w:val="center"/>
          </w:tcPr>
          <w:p w14:paraId="1714AA41" w14:textId="77777777" w:rsidR="005529A2" w:rsidRPr="00FB249F" w:rsidRDefault="005529A2" w:rsidP="00D95968">
            <w:pPr>
              <w:pStyle w:val="TableText"/>
              <w:spacing w:before="50" w:after="50"/>
              <w:jc w:val="center"/>
              <w:rPr>
                <w:rFonts w:ascii="Segoe UI Symbol" w:hAnsi="Segoe UI Symbol" w:cs="Segoe UI Symbol"/>
                <w:b/>
                <w:bCs/>
              </w:rPr>
            </w:pPr>
            <w:r w:rsidRPr="00FB249F">
              <w:rPr>
                <w:rFonts w:ascii="Segoe UI Symbol" w:hAnsi="Segoe UI Symbol" w:cs="Segoe UI Symbol"/>
                <w:b/>
                <w:bCs/>
              </w:rPr>
              <w:t>🗸</w:t>
            </w:r>
          </w:p>
        </w:tc>
        <w:tc>
          <w:tcPr>
            <w:tcW w:w="907" w:type="dxa"/>
            <w:tcBorders>
              <w:top w:val="nil"/>
              <w:left w:val="single" w:sz="4" w:space="0" w:color="auto"/>
              <w:bottom w:val="nil"/>
            </w:tcBorders>
            <w:vAlign w:val="center"/>
          </w:tcPr>
          <w:p w14:paraId="0ED441A1" w14:textId="77777777" w:rsidR="005529A2" w:rsidRPr="00FB249F" w:rsidRDefault="005529A2" w:rsidP="00D95968">
            <w:pPr>
              <w:pStyle w:val="TableText"/>
              <w:spacing w:before="50" w:after="50"/>
              <w:jc w:val="center"/>
              <w:rPr>
                <w:rFonts w:ascii="Segoe UI Symbol" w:hAnsi="Segoe UI Symbol" w:cs="Segoe UI Symbol"/>
                <w:b/>
                <w:bCs/>
              </w:rPr>
            </w:pPr>
          </w:p>
        </w:tc>
        <w:tc>
          <w:tcPr>
            <w:tcW w:w="2778" w:type="dxa"/>
            <w:tcBorders>
              <w:top w:val="nil"/>
              <w:left w:val="single" w:sz="4" w:space="0" w:color="auto"/>
              <w:bottom w:val="nil"/>
            </w:tcBorders>
          </w:tcPr>
          <w:p w14:paraId="7FE671EF" w14:textId="77777777" w:rsidR="005529A2" w:rsidRPr="00FB249F" w:rsidRDefault="005529A2" w:rsidP="00D95968">
            <w:pPr>
              <w:pStyle w:val="TableText"/>
              <w:spacing w:before="50" w:after="50"/>
              <w:jc w:val="center"/>
              <w:rPr>
                <w:rFonts w:ascii="Segoe UI Symbol" w:hAnsi="Segoe UI Symbol" w:cs="Segoe UI Symbol"/>
                <w:b/>
                <w:bCs/>
              </w:rPr>
            </w:pPr>
          </w:p>
        </w:tc>
      </w:tr>
      <w:tr w:rsidR="005529A2" w:rsidRPr="00FB249F" w14:paraId="33F3A34B" w14:textId="77777777" w:rsidTr="002D58FD">
        <w:trPr>
          <w:trHeight w:val="360"/>
        </w:trPr>
        <w:tc>
          <w:tcPr>
            <w:tcW w:w="582" w:type="dxa"/>
            <w:vMerge/>
            <w:tcBorders>
              <w:right w:val="single" w:sz="4" w:space="0" w:color="auto"/>
            </w:tcBorders>
            <w:shd w:val="clear" w:color="auto" w:fill="auto"/>
            <w:textDirection w:val="btLr"/>
            <w:vAlign w:val="center"/>
          </w:tcPr>
          <w:p w14:paraId="1805FA77" w14:textId="77777777" w:rsidR="005529A2" w:rsidRPr="00FB249F" w:rsidRDefault="005529A2" w:rsidP="00F23144">
            <w:pPr>
              <w:pStyle w:val="TableText"/>
              <w:jc w:val="center"/>
            </w:pPr>
          </w:p>
        </w:tc>
        <w:tc>
          <w:tcPr>
            <w:tcW w:w="2268" w:type="dxa"/>
            <w:tcBorders>
              <w:top w:val="nil"/>
              <w:left w:val="single" w:sz="4" w:space="0" w:color="auto"/>
              <w:bottom w:val="single" w:sz="4" w:space="0" w:color="auto"/>
              <w:right w:val="single" w:sz="4" w:space="0" w:color="auto"/>
            </w:tcBorders>
            <w:shd w:val="clear" w:color="auto" w:fill="auto"/>
            <w:vAlign w:val="center"/>
          </w:tcPr>
          <w:p w14:paraId="38665AEF" w14:textId="77777777" w:rsidR="005529A2" w:rsidRPr="00FB249F" w:rsidRDefault="005529A2" w:rsidP="00D95968">
            <w:pPr>
              <w:pStyle w:val="TableText"/>
              <w:spacing w:before="50" w:after="50"/>
              <w:jc w:val="center"/>
            </w:pPr>
            <w:r w:rsidRPr="00FB249F">
              <w:t>Seasonal or daily natural streamflow</w:t>
            </w:r>
          </w:p>
        </w:tc>
        <w:tc>
          <w:tcPr>
            <w:tcW w:w="907" w:type="dxa"/>
            <w:tcBorders>
              <w:top w:val="nil"/>
              <w:left w:val="single" w:sz="4" w:space="0" w:color="auto"/>
              <w:bottom w:val="single" w:sz="4" w:space="0" w:color="auto"/>
              <w:right w:val="single" w:sz="4" w:space="0" w:color="auto"/>
            </w:tcBorders>
            <w:vAlign w:val="center"/>
          </w:tcPr>
          <w:p w14:paraId="49BB430A" w14:textId="77777777" w:rsidR="005529A2" w:rsidRPr="00FB249F" w:rsidRDefault="005529A2" w:rsidP="00D95968">
            <w:pPr>
              <w:pStyle w:val="TableText"/>
              <w:spacing w:before="50" w:after="50"/>
              <w:jc w:val="center"/>
              <w:rPr>
                <w:rFonts w:ascii="Segoe UI Symbol" w:hAnsi="Segoe UI Symbol" w:cs="Segoe UI Symbol"/>
                <w:color w:val="202124"/>
                <w:shd w:val="clear" w:color="auto" w:fill="FFFFFF"/>
              </w:rPr>
            </w:pPr>
          </w:p>
        </w:tc>
        <w:tc>
          <w:tcPr>
            <w:tcW w:w="907" w:type="dxa"/>
            <w:tcBorders>
              <w:top w:val="nil"/>
              <w:left w:val="single" w:sz="4" w:space="0" w:color="auto"/>
              <w:bottom w:val="single" w:sz="4" w:space="0" w:color="auto"/>
              <w:right w:val="single" w:sz="4" w:space="0" w:color="auto"/>
            </w:tcBorders>
            <w:vAlign w:val="center"/>
          </w:tcPr>
          <w:p w14:paraId="3007A3A9" w14:textId="77777777" w:rsidR="005529A2" w:rsidRPr="00FB249F" w:rsidRDefault="005529A2" w:rsidP="00D95968">
            <w:pPr>
              <w:pStyle w:val="TableText"/>
              <w:spacing w:before="50" w:after="50"/>
              <w:jc w:val="center"/>
              <w:rPr>
                <w:rFonts w:ascii="Segoe UI Symbol" w:hAnsi="Segoe UI Symbol" w:cs="Segoe UI Symbol"/>
                <w:b/>
                <w:bCs/>
              </w:rPr>
            </w:pPr>
          </w:p>
        </w:tc>
        <w:tc>
          <w:tcPr>
            <w:tcW w:w="907" w:type="dxa"/>
            <w:tcBorders>
              <w:top w:val="nil"/>
              <w:left w:val="single" w:sz="4" w:space="0" w:color="auto"/>
              <w:bottom w:val="single" w:sz="4" w:space="0" w:color="auto"/>
            </w:tcBorders>
            <w:vAlign w:val="center"/>
          </w:tcPr>
          <w:p w14:paraId="301E59BF" w14:textId="77777777" w:rsidR="005529A2" w:rsidRPr="00FB249F" w:rsidRDefault="005529A2" w:rsidP="00D95968">
            <w:pPr>
              <w:pStyle w:val="TableText"/>
              <w:spacing w:before="50" w:after="50"/>
              <w:jc w:val="center"/>
              <w:rPr>
                <w:rFonts w:ascii="Segoe UI Symbol" w:hAnsi="Segoe UI Symbol" w:cs="Segoe UI Symbol"/>
                <w:b/>
                <w:bCs/>
              </w:rPr>
            </w:pPr>
            <w:r w:rsidRPr="00FB249F">
              <w:rPr>
                <w:rFonts w:ascii="Segoe UI Symbol" w:hAnsi="Segoe UI Symbol" w:cs="Segoe UI Symbol"/>
                <w:b/>
                <w:bCs/>
              </w:rPr>
              <w:t>🗸</w:t>
            </w:r>
          </w:p>
        </w:tc>
        <w:tc>
          <w:tcPr>
            <w:tcW w:w="2778" w:type="dxa"/>
            <w:tcBorders>
              <w:top w:val="nil"/>
              <w:left w:val="single" w:sz="4" w:space="0" w:color="auto"/>
              <w:bottom w:val="single" w:sz="4" w:space="0" w:color="auto"/>
            </w:tcBorders>
            <w:vAlign w:val="center"/>
          </w:tcPr>
          <w:p w14:paraId="1765B594" w14:textId="77777777" w:rsidR="005529A2" w:rsidRPr="00FB249F" w:rsidRDefault="005529A2" w:rsidP="00D95968">
            <w:pPr>
              <w:pStyle w:val="TableText"/>
              <w:spacing w:before="50" w:after="50"/>
              <w:jc w:val="center"/>
              <w:rPr>
                <w:rFonts w:ascii="Segoe UI Symbol" w:hAnsi="Segoe UI Symbol" w:cs="Segoe UI Symbol"/>
                <w:b/>
                <w:bCs/>
              </w:rPr>
            </w:pPr>
            <w:r w:rsidRPr="00FB249F">
              <w:rPr>
                <w:rFonts w:asciiTheme="minorHAnsi" w:hAnsiTheme="minorHAnsi" w:cstheme="minorHAnsi"/>
                <w:bCs/>
              </w:rPr>
              <w:t>to infill missing data, improve temporal resolution of flow-proportional depletion estimates</w:t>
            </w:r>
          </w:p>
        </w:tc>
      </w:tr>
    </w:tbl>
    <w:p w14:paraId="24CC3463" w14:textId="6A821FD6" w:rsidR="005529A2" w:rsidRPr="00FB249F" w:rsidRDefault="005529A2" w:rsidP="005529A2">
      <w:pPr>
        <w:pStyle w:val="BodyText"/>
        <w:spacing w:before="240"/>
      </w:pPr>
      <w:r w:rsidRPr="00FB249F">
        <w:t xml:space="preserve">In summary, this case study has demonstrated that estimating streamflow depletion effects from recorded abstractions is technically feasible, but the spatial representativeness and accuracy of these estimates is reliant on data availability. </w:t>
      </w:r>
    </w:p>
    <w:p w14:paraId="49028006" w14:textId="552D68FB" w:rsidR="005529A2" w:rsidRPr="00FB249F" w:rsidRDefault="005529A2" w:rsidP="005529A2">
      <w:pPr>
        <w:pStyle w:val="BodyText"/>
      </w:pPr>
      <w:r w:rsidRPr="00FB249F">
        <w:t>The development of analyses for this study was significantly encumbered by the availability, quality and consistency of council-supplied abstraction datasets, and these issues limited the</w:t>
      </w:r>
      <w:r w:rsidR="00D95968" w:rsidRPr="00FB249F">
        <w:t> </w:t>
      </w:r>
      <w:r w:rsidRPr="00FB249F">
        <w:t>insights that could be derived. These challenges highlight that establishing nationally consistent water use measurement, reporting, and analytical methods is required before we</w:t>
      </w:r>
      <w:r w:rsidR="00D95968" w:rsidRPr="00FB249F">
        <w:t> </w:t>
      </w:r>
      <w:r w:rsidRPr="00FB249F">
        <w:t>can reliably assess the impacts of our water use on river and stream flows, and on the</w:t>
      </w:r>
      <w:r w:rsidR="00D95968" w:rsidRPr="00FB249F">
        <w:t> </w:t>
      </w:r>
      <w:r w:rsidRPr="00FB249F">
        <w:t xml:space="preserve">environment. </w:t>
      </w:r>
    </w:p>
    <w:p w14:paraId="0A40B420" w14:textId="7CB18A5A" w:rsidR="001F16F3" w:rsidRPr="00FB249F" w:rsidRDefault="005529A2" w:rsidP="005529A2">
      <w:pPr>
        <w:pStyle w:val="BodyText"/>
      </w:pPr>
      <w:r w:rsidRPr="00FB249F">
        <w:t>It is expected that the implementation of the National Policy Statement for Freshwater Management 2020 (NPS-FM) and the Resource Management (Measurement and Reporting of</w:t>
      </w:r>
      <w:r w:rsidR="00D95968" w:rsidRPr="00FB249F">
        <w:t> </w:t>
      </w:r>
      <w:r w:rsidRPr="00FB249F">
        <w:t xml:space="preserve">Water Takes) Regulations 2020 (2020 regulations) will result in useable datasets becoming available from more regional councils across Aotearoa New Zealand, and that improved access to data will enable more accurate infilling of missing data using models. These developments should eventually allow Ministry for the Environment and Stats NZ to expand the analyses implemented in this case study to form a national state of the environment indicator (building on the </w:t>
      </w:r>
      <w:hyperlink r:id="rId46" w:history="1">
        <w:r w:rsidRPr="00FB249F">
          <w:rPr>
            <w:rStyle w:val="Hyperlink"/>
          </w:rPr>
          <w:t>Consented freshwater takes indicator</w:t>
        </w:r>
      </w:hyperlink>
      <w:r w:rsidRPr="00FB249F">
        <w:t xml:space="preserve"> published for </w:t>
      </w:r>
      <w:hyperlink r:id="rId47" w:history="1">
        <w:r w:rsidRPr="00FB249F">
          <w:rPr>
            <w:rStyle w:val="Hyperlink"/>
            <w:i/>
            <w:iCs/>
          </w:rPr>
          <w:t>Our freshwater 2020</w:t>
        </w:r>
      </w:hyperlink>
      <w:r w:rsidRPr="00FB249F">
        <w:t>).</w:t>
      </w:r>
    </w:p>
    <w:p w14:paraId="3103CE9F" w14:textId="77777777" w:rsidR="008B0B04" w:rsidRPr="00FB249F" w:rsidRDefault="008B0B04" w:rsidP="008B0B04">
      <w:pPr>
        <w:pStyle w:val="Heading1"/>
      </w:pPr>
      <w:bookmarkStart w:id="93" w:name="_Appendix_A:_Technical"/>
      <w:bookmarkStart w:id="94" w:name="_Toc88208532"/>
      <w:bookmarkStart w:id="95" w:name="_Toc90312377"/>
      <w:bookmarkEnd w:id="0"/>
      <w:bookmarkEnd w:id="93"/>
      <w:r w:rsidRPr="00FB249F">
        <w:lastRenderedPageBreak/>
        <w:t>Appendix A: Technical summary of updated streamflow depletion calculations</w:t>
      </w:r>
      <w:bookmarkEnd w:id="94"/>
      <w:bookmarkEnd w:id="95"/>
    </w:p>
    <w:p w14:paraId="68E7170E" w14:textId="77777777" w:rsidR="00177387" w:rsidRPr="00FB249F" w:rsidRDefault="00177387" w:rsidP="00177387">
      <w:pPr>
        <w:pStyle w:val="BodyText"/>
        <w:jc w:val="right"/>
        <w:rPr>
          <w:rFonts w:ascii="Calibri Light" w:eastAsia="Times New Roman" w:hAnsi="Calibri Light" w:cs="Times New Roman"/>
          <w:color w:val="365F91"/>
          <w:sz w:val="40"/>
          <w:szCs w:val="40"/>
          <w:lang w:eastAsia="en-US"/>
        </w:rPr>
      </w:pPr>
      <w:r w:rsidRPr="00FB249F">
        <w:rPr>
          <w:noProof/>
        </w:rPr>
        <w:drawing>
          <wp:inline distT="0" distB="0" distL="0" distR="0" wp14:anchorId="3832AA30" wp14:editId="1963503C">
            <wp:extent cx="2494976" cy="91829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48">
                      <a:extLst>
                        <a:ext uri="{28A0092B-C50C-407E-A947-70E740481C1C}">
                          <a14:useLocalDpi xmlns:a14="http://schemas.microsoft.com/office/drawing/2010/main" val="0"/>
                        </a:ext>
                      </a:extLst>
                    </a:blip>
                    <a:stretch>
                      <a:fillRect/>
                    </a:stretch>
                  </pic:blipFill>
                  <pic:spPr>
                    <a:xfrm>
                      <a:off x="0" y="0"/>
                      <a:ext cx="2496128" cy="918714"/>
                    </a:xfrm>
                    <a:prstGeom prst="rect">
                      <a:avLst/>
                    </a:prstGeom>
                  </pic:spPr>
                </pic:pic>
              </a:graphicData>
            </a:graphic>
          </wp:inline>
        </w:drawing>
      </w:r>
    </w:p>
    <w:p w14:paraId="046C75F1" w14:textId="77777777" w:rsidR="00177387" w:rsidRPr="00FB249F" w:rsidRDefault="00177387" w:rsidP="00177387">
      <w:pPr>
        <w:keepNext/>
        <w:keepLines/>
        <w:spacing w:before="0" w:line="276" w:lineRule="auto"/>
        <w:jc w:val="left"/>
        <w:outlineLvl w:val="0"/>
        <w:rPr>
          <w:rFonts w:ascii="Calibri Light" w:eastAsia="Times New Roman" w:hAnsi="Calibri Light" w:cs="Times New Roman"/>
          <w:b/>
          <w:color w:val="365F91"/>
          <w:sz w:val="40"/>
          <w:szCs w:val="40"/>
          <w:lang w:eastAsia="en-US"/>
        </w:rPr>
      </w:pPr>
      <w:r w:rsidRPr="00FB249F">
        <w:rPr>
          <w:rFonts w:ascii="Calibri Light" w:eastAsia="Times New Roman" w:hAnsi="Calibri Light" w:cs="Times New Roman"/>
          <w:color w:val="365F91"/>
          <w:sz w:val="40"/>
          <w:szCs w:val="40"/>
          <w:lang w:eastAsia="en-US"/>
        </w:rPr>
        <w:t>Memo</w:t>
      </w:r>
    </w:p>
    <w:tbl>
      <w:tblPr>
        <w:tblStyle w:val="ListTable2-Accent11"/>
        <w:tblW w:w="8755" w:type="dxa"/>
        <w:tblLayout w:type="fixed"/>
        <w:tblLook w:val="06A0" w:firstRow="1" w:lastRow="0" w:firstColumn="1" w:lastColumn="0" w:noHBand="1" w:noVBand="1"/>
      </w:tblPr>
      <w:tblGrid>
        <w:gridCol w:w="1951"/>
        <w:gridCol w:w="6804"/>
      </w:tblGrid>
      <w:tr w:rsidR="00177387" w:rsidRPr="00FB249F" w14:paraId="40B23582" w14:textId="77777777" w:rsidTr="00263C07">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951" w:type="dxa"/>
            <w:tcBorders>
              <w:right w:val="single" w:sz="4" w:space="0" w:color="95B3D7"/>
            </w:tcBorders>
            <w:vAlign w:val="center"/>
          </w:tcPr>
          <w:p w14:paraId="4FF549B5" w14:textId="77777777" w:rsidR="00177387" w:rsidRPr="00FB249F" w:rsidRDefault="00177387" w:rsidP="00F23144">
            <w:pPr>
              <w:spacing w:before="0" w:after="0" w:line="260" w:lineRule="atLeast"/>
              <w:jc w:val="left"/>
              <w:rPr>
                <w:rFonts w:eastAsia="Calibri" w:cs="Times New Roman"/>
                <w:lang w:eastAsia="en-US"/>
              </w:rPr>
            </w:pPr>
            <w:r w:rsidRPr="00FB249F">
              <w:rPr>
                <w:rFonts w:eastAsia="Calibri" w:cs="Times New Roman"/>
                <w:lang w:eastAsia="en-US"/>
              </w:rPr>
              <w:t>From</w:t>
            </w:r>
          </w:p>
        </w:tc>
        <w:tc>
          <w:tcPr>
            <w:tcW w:w="6804" w:type="dxa"/>
            <w:tcBorders>
              <w:left w:val="single" w:sz="4" w:space="0" w:color="95B3D7"/>
            </w:tcBorders>
          </w:tcPr>
          <w:p w14:paraId="10199693" w14:textId="77777777" w:rsidR="00177387" w:rsidRPr="00FB249F" w:rsidRDefault="00177387" w:rsidP="00F23144">
            <w:pPr>
              <w:spacing w:before="40" w:after="40" w:line="240" w:lineRule="atLeast"/>
              <w:jc w:val="left"/>
              <w:cnfStyle w:val="100000000000" w:firstRow="1" w:lastRow="0" w:firstColumn="0" w:lastColumn="0" w:oddVBand="0" w:evenVBand="0" w:oddHBand="0" w:evenHBand="0" w:firstRowFirstColumn="0" w:firstRowLastColumn="0" w:lastRowFirstColumn="0" w:lastRowLastColumn="0"/>
              <w:rPr>
                <w:rFonts w:eastAsia="Calibri" w:cs="Times New Roman"/>
                <w:lang w:eastAsia="en-US"/>
              </w:rPr>
            </w:pPr>
            <w:bookmarkStart w:id="96" w:name="From"/>
            <w:bookmarkEnd w:id="96"/>
            <w:r w:rsidRPr="00FB249F">
              <w:rPr>
                <w:rFonts w:eastAsia="Calibri" w:cs="Times New Roman"/>
                <w:lang w:eastAsia="en-US"/>
              </w:rPr>
              <w:t xml:space="preserve">Doug Booker, NIWA Christchurch. </w:t>
            </w:r>
          </w:p>
        </w:tc>
      </w:tr>
      <w:tr w:rsidR="00177387" w:rsidRPr="00FB249F" w14:paraId="211169C9" w14:textId="77777777" w:rsidTr="00263C07">
        <w:trPr>
          <w:trHeight w:val="425"/>
        </w:trPr>
        <w:tc>
          <w:tcPr>
            <w:cnfStyle w:val="001000000000" w:firstRow="0" w:lastRow="0" w:firstColumn="1" w:lastColumn="0" w:oddVBand="0" w:evenVBand="0" w:oddHBand="0" w:evenHBand="0" w:firstRowFirstColumn="0" w:firstRowLastColumn="0" w:lastRowFirstColumn="0" w:lastRowLastColumn="0"/>
            <w:tcW w:w="1951" w:type="dxa"/>
            <w:tcBorders>
              <w:right w:val="single" w:sz="4" w:space="0" w:color="95B3D7"/>
            </w:tcBorders>
            <w:vAlign w:val="center"/>
          </w:tcPr>
          <w:p w14:paraId="0FBB873C" w14:textId="77777777" w:rsidR="00177387" w:rsidRPr="00FB249F" w:rsidRDefault="00177387" w:rsidP="00F23144">
            <w:pPr>
              <w:spacing w:before="0" w:after="0" w:line="260" w:lineRule="atLeast"/>
              <w:jc w:val="left"/>
              <w:rPr>
                <w:rFonts w:eastAsia="Calibri" w:cs="Times New Roman"/>
                <w:lang w:eastAsia="en-US"/>
              </w:rPr>
            </w:pPr>
            <w:r w:rsidRPr="00FB249F">
              <w:rPr>
                <w:rFonts w:eastAsia="Calibri" w:cs="Times New Roman"/>
                <w:lang w:eastAsia="en-US"/>
              </w:rPr>
              <w:t>To</w:t>
            </w:r>
          </w:p>
        </w:tc>
        <w:tc>
          <w:tcPr>
            <w:tcW w:w="6804" w:type="dxa"/>
            <w:tcBorders>
              <w:left w:val="single" w:sz="4" w:space="0" w:color="95B3D7"/>
            </w:tcBorders>
          </w:tcPr>
          <w:p w14:paraId="283FB575" w14:textId="77777777" w:rsidR="00177387" w:rsidRPr="00FB249F" w:rsidRDefault="00177387" w:rsidP="00F23144">
            <w:pPr>
              <w:spacing w:before="0" w:after="0" w:line="260" w:lineRule="atLeast"/>
              <w:jc w:val="left"/>
              <w:cnfStyle w:val="000000000000" w:firstRow="0" w:lastRow="0" w:firstColumn="0" w:lastColumn="0" w:oddVBand="0" w:evenVBand="0" w:oddHBand="0" w:evenHBand="0" w:firstRowFirstColumn="0" w:firstRowLastColumn="0" w:lastRowFirstColumn="0" w:lastRowLastColumn="0"/>
              <w:rPr>
                <w:rFonts w:eastAsia="Calibri" w:cs="Times New Roman"/>
                <w:lang w:eastAsia="en-US"/>
              </w:rPr>
            </w:pPr>
            <w:bookmarkStart w:id="97" w:name="To"/>
            <w:bookmarkEnd w:id="97"/>
            <w:r w:rsidRPr="00FB249F">
              <w:rPr>
                <w:rFonts w:eastAsia="Calibri" w:cs="Times New Roman"/>
                <w:lang w:eastAsia="en-US"/>
              </w:rPr>
              <w:t>Sean Hudgens and Joe Val Alipin</w:t>
            </w:r>
          </w:p>
          <w:p w14:paraId="2F2106DF" w14:textId="77777777" w:rsidR="00177387" w:rsidRPr="00FB249F" w:rsidRDefault="00177387" w:rsidP="00F23144">
            <w:pPr>
              <w:spacing w:before="0" w:after="0" w:line="260" w:lineRule="atLeast"/>
              <w:jc w:val="left"/>
              <w:cnfStyle w:val="000000000000" w:firstRow="0" w:lastRow="0" w:firstColumn="0" w:lastColumn="0" w:oddVBand="0" w:evenVBand="0" w:oddHBand="0" w:evenHBand="0" w:firstRowFirstColumn="0" w:firstRowLastColumn="0" w:lastRowFirstColumn="0" w:lastRowLastColumn="0"/>
              <w:rPr>
                <w:rFonts w:eastAsia="Calibri" w:cs="Times New Roman"/>
                <w:lang w:eastAsia="en-US"/>
              </w:rPr>
            </w:pPr>
            <w:r w:rsidRPr="00FB249F">
              <w:rPr>
                <w:rFonts w:eastAsia="Calibri" w:cs="Times New Roman"/>
                <w:lang w:eastAsia="en-US"/>
              </w:rPr>
              <w:t>Ministry for the Environment</w:t>
            </w:r>
          </w:p>
        </w:tc>
      </w:tr>
      <w:tr w:rsidR="00177387" w:rsidRPr="00FB249F" w14:paraId="6FDAE152" w14:textId="77777777" w:rsidTr="00263C07">
        <w:trPr>
          <w:trHeight w:val="425"/>
        </w:trPr>
        <w:tc>
          <w:tcPr>
            <w:cnfStyle w:val="001000000000" w:firstRow="0" w:lastRow="0" w:firstColumn="1" w:lastColumn="0" w:oddVBand="0" w:evenVBand="0" w:oddHBand="0" w:evenHBand="0" w:firstRowFirstColumn="0" w:firstRowLastColumn="0" w:lastRowFirstColumn="0" w:lastRowLastColumn="0"/>
            <w:tcW w:w="1951" w:type="dxa"/>
            <w:tcBorders>
              <w:right w:val="single" w:sz="4" w:space="0" w:color="95B3D7"/>
            </w:tcBorders>
            <w:vAlign w:val="center"/>
          </w:tcPr>
          <w:p w14:paraId="34141684" w14:textId="77777777" w:rsidR="00177387" w:rsidRPr="00FB249F" w:rsidRDefault="00177387" w:rsidP="00F23144">
            <w:pPr>
              <w:spacing w:before="0" w:after="0" w:line="260" w:lineRule="atLeast"/>
              <w:jc w:val="left"/>
              <w:rPr>
                <w:rFonts w:eastAsia="Calibri" w:cs="Times New Roman"/>
                <w:lang w:eastAsia="en-US"/>
              </w:rPr>
            </w:pPr>
            <w:r w:rsidRPr="00FB249F">
              <w:rPr>
                <w:rFonts w:eastAsia="Calibri" w:cs="Times New Roman"/>
                <w:lang w:eastAsia="en-US"/>
              </w:rPr>
              <w:t>CC</w:t>
            </w:r>
          </w:p>
        </w:tc>
        <w:tc>
          <w:tcPr>
            <w:tcW w:w="6804" w:type="dxa"/>
            <w:tcBorders>
              <w:left w:val="single" w:sz="4" w:space="0" w:color="95B3D7"/>
            </w:tcBorders>
          </w:tcPr>
          <w:p w14:paraId="01B09F46" w14:textId="77777777" w:rsidR="00177387" w:rsidRPr="00FB249F" w:rsidRDefault="00177387" w:rsidP="00F23144">
            <w:pPr>
              <w:spacing w:before="0" w:after="0" w:line="260" w:lineRule="atLeast"/>
              <w:jc w:val="left"/>
              <w:cnfStyle w:val="000000000000" w:firstRow="0" w:lastRow="0" w:firstColumn="0" w:lastColumn="0" w:oddVBand="0" w:evenVBand="0" w:oddHBand="0" w:evenHBand="0" w:firstRowFirstColumn="0" w:firstRowLastColumn="0" w:lastRowFirstColumn="0" w:lastRowLastColumn="0"/>
              <w:rPr>
                <w:rFonts w:eastAsia="Calibri" w:cs="Times New Roman"/>
                <w:lang w:eastAsia="en-US"/>
              </w:rPr>
            </w:pPr>
            <w:bookmarkStart w:id="98" w:name="CC"/>
            <w:bookmarkEnd w:id="98"/>
          </w:p>
        </w:tc>
      </w:tr>
      <w:tr w:rsidR="00177387" w:rsidRPr="00FB249F" w14:paraId="4DC0E503" w14:textId="77777777" w:rsidTr="00263C07">
        <w:trPr>
          <w:trHeight w:val="425"/>
        </w:trPr>
        <w:tc>
          <w:tcPr>
            <w:cnfStyle w:val="001000000000" w:firstRow="0" w:lastRow="0" w:firstColumn="1" w:lastColumn="0" w:oddVBand="0" w:evenVBand="0" w:oddHBand="0" w:evenHBand="0" w:firstRowFirstColumn="0" w:firstRowLastColumn="0" w:lastRowFirstColumn="0" w:lastRowLastColumn="0"/>
            <w:tcW w:w="1951" w:type="dxa"/>
            <w:tcBorders>
              <w:right w:val="single" w:sz="4" w:space="0" w:color="95B3D7"/>
            </w:tcBorders>
            <w:vAlign w:val="center"/>
          </w:tcPr>
          <w:p w14:paraId="3B02FD07" w14:textId="77777777" w:rsidR="00177387" w:rsidRPr="00FB249F" w:rsidRDefault="00177387" w:rsidP="00F23144">
            <w:pPr>
              <w:spacing w:before="0" w:after="0" w:line="260" w:lineRule="atLeast"/>
              <w:jc w:val="left"/>
              <w:rPr>
                <w:rFonts w:eastAsia="Calibri" w:cs="Times New Roman"/>
                <w:lang w:eastAsia="en-US"/>
              </w:rPr>
            </w:pPr>
            <w:r w:rsidRPr="00FB249F">
              <w:rPr>
                <w:rFonts w:eastAsia="Calibri" w:cs="Times New Roman"/>
                <w:lang w:eastAsia="en-US"/>
              </w:rPr>
              <w:t>Date</w:t>
            </w:r>
          </w:p>
        </w:tc>
        <w:tc>
          <w:tcPr>
            <w:tcW w:w="6804" w:type="dxa"/>
            <w:tcBorders>
              <w:left w:val="single" w:sz="4" w:space="0" w:color="95B3D7"/>
            </w:tcBorders>
          </w:tcPr>
          <w:p w14:paraId="7CB1D838" w14:textId="77777777" w:rsidR="00177387" w:rsidRPr="00FB249F" w:rsidRDefault="00177387" w:rsidP="00F23144">
            <w:pPr>
              <w:spacing w:before="0" w:after="0" w:line="260" w:lineRule="atLeast"/>
              <w:jc w:val="left"/>
              <w:cnfStyle w:val="000000000000" w:firstRow="0" w:lastRow="0" w:firstColumn="0" w:lastColumn="0" w:oddVBand="0" w:evenVBand="0" w:oddHBand="0" w:evenHBand="0" w:firstRowFirstColumn="0" w:firstRowLastColumn="0" w:lastRowFirstColumn="0" w:lastRowLastColumn="0"/>
              <w:rPr>
                <w:rFonts w:eastAsia="Calibri" w:cs="Times New Roman"/>
                <w:lang w:eastAsia="en-US"/>
              </w:rPr>
            </w:pPr>
            <w:bookmarkStart w:id="99" w:name="Date"/>
            <w:bookmarkEnd w:id="99"/>
            <w:r w:rsidRPr="00FB249F">
              <w:rPr>
                <w:rFonts w:eastAsia="Calibri" w:cs="Times New Roman"/>
                <w:lang w:eastAsia="en-US"/>
              </w:rPr>
              <w:t>26 November 2020</w:t>
            </w:r>
          </w:p>
        </w:tc>
      </w:tr>
      <w:tr w:rsidR="00177387" w:rsidRPr="00FB249F" w14:paraId="53525165" w14:textId="77777777" w:rsidTr="00263C07">
        <w:trPr>
          <w:trHeight w:val="425"/>
        </w:trPr>
        <w:tc>
          <w:tcPr>
            <w:cnfStyle w:val="001000000000" w:firstRow="0" w:lastRow="0" w:firstColumn="1" w:lastColumn="0" w:oddVBand="0" w:evenVBand="0" w:oddHBand="0" w:evenHBand="0" w:firstRowFirstColumn="0" w:firstRowLastColumn="0" w:lastRowFirstColumn="0" w:lastRowLastColumn="0"/>
            <w:tcW w:w="1951" w:type="dxa"/>
            <w:tcBorders>
              <w:right w:val="single" w:sz="4" w:space="0" w:color="95B3D7"/>
            </w:tcBorders>
            <w:vAlign w:val="center"/>
          </w:tcPr>
          <w:p w14:paraId="7C1E89EA" w14:textId="77777777" w:rsidR="00177387" w:rsidRPr="00FB249F" w:rsidRDefault="00177387" w:rsidP="00F23144">
            <w:pPr>
              <w:spacing w:before="0" w:after="0" w:line="260" w:lineRule="atLeast"/>
              <w:jc w:val="left"/>
              <w:rPr>
                <w:rFonts w:eastAsia="Calibri" w:cs="Times New Roman"/>
                <w:lang w:eastAsia="en-US"/>
              </w:rPr>
            </w:pPr>
            <w:r w:rsidRPr="00FB249F">
              <w:rPr>
                <w:rFonts w:eastAsia="Calibri" w:cs="Times New Roman"/>
                <w:lang w:eastAsia="en-US"/>
              </w:rPr>
              <w:t>Subject</w:t>
            </w:r>
          </w:p>
        </w:tc>
        <w:tc>
          <w:tcPr>
            <w:tcW w:w="6804" w:type="dxa"/>
            <w:tcBorders>
              <w:left w:val="single" w:sz="4" w:space="0" w:color="95B3D7"/>
            </w:tcBorders>
          </w:tcPr>
          <w:p w14:paraId="3A9DD071" w14:textId="77777777" w:rsidR="00177387" w:rsidRPr="00FB249F" w:rsidRDefault="00177387" w:rsidP="00F23144">
            <w:pPr>
              <w:spacing w:before="0" w:after="0" w:line="260" w:lineRule="atLeast"/>
              <w:jc w:val="left"/>
              <w:cnfStyle w:val="000000000000" w:firstRow="0" w:lastRow="0" w:firstColumn="0" w:lastColumn="0" w:oddVBand="0" w:evenVBand="0" w:oddHBand="0" w:evenHBand="0" w:firstRowFirstColumn="0" w:firstRowLastColumn="0" w:lastRowFirstColumn="0" w:lastRowLastColumn="0"/>
              <w:rPr>
                <w:rFonts w:eastAsia="Calibri" w:cs="Times New Roman"/>
                <w:lang w:eastAsia="en-US"/>
              </w:rPr>
            </w:pPr>
            <w:bookmarkStart w:id="100" w:name="Subject"/>
            <w:bookmarkEnd w:id="100"/>
            <w:r w:rsidRPr="00FB249F">
              <w:rPr>
                <w:rFonts w:eastAsia="Calibri" w:cs="Times New Roman"/>
                <w:lang w:eastAsia="en-US"/>
              </w:rPr>
              <w:t>Technical summary of updated Greater Wellington Regional Council and Horizons Regional Council streamflow depletion calculations</w:t>
            </w:r>
          </w:p>
        </w:tc>
      </w:tr>
      <w:tr w:rsidR="00177387" w:rsidRPr="00FB249F" w14:paraId="7657C3C6" w14:textId="77777777" w:rsidTr="00263C07">
        <w:trPr>
          <w:trHeight w:val="425"/>
        </w:trPr>
        <w:tc>
          <w:tcPr>
            <w:cnfStyle w:val="001000000000" w:firstRow="0" w:lastRow="0" w:firstColumn="1" w:lastColumn="0" w:oddVBand="0" w:evenVBand="0" w:oddHBand="0" w:evenHBand="0" w:firstRowFirstColumn="0" w:firstRowLastColumn="0" w:lastRowFirstColumn="0" w:lastRowLastColumn="0"/>
            <w:tcW w:w="1951" w:type="dxa"/>
            <w:tcBorders>
              <w:right w:val="single" w:sz="4" w:space="0" w:color="95B3D7"/>
            </w:tcBorders>
          </w:tcPr>
          <w:p w14:paraId="1809816F" w14:textId="77777777" w:rsidR="00177387" w:rsidRPr="00FB249F" w:rsidRDefault="00177387" w:rsidP="00F23144">
            <w:pPr>
              <w:spacing w:before="0" w:after="0" w:line="260" w:lineRule="atLeast"/>
              <w:jc w:val="left"/>
              <w:rPr>
                <w:rFonts w:eastAsia="Calibri" w:cs="Times New Roman"/>
                <w:lang w:eastAsia="en-US"/>
              </w:rPr>
            </w:pPr>
            <w:r w:rsidRPr="00FB249F">
              <w:rPr>
                <w:rFonts w:eastAsia="Calibri" w:cs="Times New Roman"/>
                <w:lang w:eastAsia="en-US"/>
              </w:rPr>
              <w:t xml:space="preserve">File path </w:t>
            </w:r>
            <w:r w:rsidRPr="00FB249F">
              <w:rPr>
                <w:rFonts w:eastAsia="Calibri" w:cs="Times New Roman"/>
                <w:lang w:eastAsia="en-US"/>
              </w:rPr>
              <w:br/>
            </w:r>
            <w:r w:rsidRPr="00FB249F">
              <w:rPr>
                <w:rFonts w:eastAsia="Calibri" w:cs="Times New Roman"/>
                <w:i/>
                <w:sz w:val="18"/>
                <w:lang w:eastAsia="en-US"/>
              </w:rPr>
              <w:t>(right click to update)</w:t>
            </w:r>
          </w:p>
        </w:tc>
        <w:tc>
          <w:tcPr>
            <w:tcW w:w="6804" w:type="dxa"/>
            <w:tcBorders>
              <w:left w:val="single" w:sz="4" w:space="0" w:color="95B3D7"/>
            </w:tcBorders>
            <w:vAlign w:val="center"/>
          </w:tcPr>
          <w:p w14:paraId="3FB74ED3" w14:textId="77777777" w:rsidR="00177387" w:rsidRPr="00FB249F" w:rsidRDefault="00177387" w:rsidP="00F23144">
            <w:pPr>
              <w:tabs>
                <w:tab w:val="center" w:pos="4153"/>
                <w:tab w:val="right" w:pos="8306"/>
              </w:tabs>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Calibri" w:cs="Times New Roman"/>
                <w:i/>
                <w:sz w:val="19"/>
                <w:lang w:eastAsia="en-US"/>
              </w:rPr>
            </w:pPr>
            <w:r w:rsidRPr="00FB249F">
              <w:rPr>
                <w:rFonts w:eastAsia="Calibri" w:cs="Times New Roman"/>
                <w:i/>
                <w:sz w:val="19"/>
                <w:lang w:eastAsia="en-US"/>
              </w:rPr>
              <w:fldChar w:fldCharType="begin"/>
            </w:r>
            <w:r w:rsidRPr="00FB249F">
              <w:rPr>
                <w:rFonts w:eastAsia="Calibri" w:cs="Times New Roman"/>
                <w:i/>
                <w:sz w:val="19"/>
                <w:lang w:eastAsia="en-US"/>
              </w:rPr>
              <w:instrText xml:space="preserve"> FILENAME  \p  \* MERGEFORMAT </w:instrText>
            </w:r>
            <w:r w:rsidRPr="00FB249F">
              <w:rPr>
                <w:rFonts w:eastAsia="Calibri" w:cs="Times New Roman"/>
                <w:i/>
                <w:sz w:val="19"/>
                <w:lang w:eastAsia="en-US"/>
              </w:rPr>
              <w:fldChar w:fldCharType="separate"/>
            </w:r>
            <w:r w:rsidRPr="00FB249F">
              <w:rPr>
                <w:rFonts w:eastAsia="Calibri" w:cs="Times New Roman"/>
                <w:i/>
                <w:sz w:val="19"/>
                <w:lang w:eastAsia="en-US"/>
              </w:rPr>
              <w:t>O:\MFE21501\Working\Reporting\Memo_StreamflowDepletionTechnicalSummary_Nov2020_Final.docx</w:t>
            </w:r>
            <w:r w:rsidRPr="00FB249F">
              <w:rPr>
                <w:rFonts w:eastAsia="Calibri" w:cs="Times New Roman"/>
                <w:i/>
                <w:sz w:val="19"/>
                <w:lang w:eastAsia="en-US"/>
              </w:rPr>
              <w:fldChar w:fldCharType="end"/>
            </w:r>
            <w:r w:rsidRPr="00FB249F">
              <w:rPr>
                <w:rFonts w:eastAsia="Calibri" w:cs="Times New Roman"/>
                <w:i/>
                <w:sz w:val="19"/>
                <w:lang w:eastAsia="en-US"/>
              </w:rPr>
              <w:t xml:space="preserve"> </w:t>
            </w:r>
          </w:p>
        </w:tc>
      </w:tr>
    </w:tbl>
    <w:p w14:paraId="1FFE7BF1" w14:textId="77777777" w:rsidR="00177387" w:rsidRPr="00FB249F" w:rsidRDefault="00177387" w:rsidP="00177387">
      <w:pPr>
        <w:spacing w:before="0" w:after="0" w:line="260" w:lineRule="atLeast"/>
        <w:jc w:val="left"/>
        <w:rPr>
          <w:rFonts w:eastAsia="Calibri" w:cs="Times New Roman"/>
          <w:sz w:val="2"/>
          <w:szCs w:val="2"/>
          <w:lang w:eastAsia="en-US"/>
        </w:rPr>
      </w:pPr>
    </w:p>
    <w:p w14:paraId="00E58D85" w14:textId="77777777" w:rsidR="00177387" w:rsidRPr="00FB249F" w:rsidRDefault="00177387" w:rsidP="00177387">
      <w:pPr>
        <w:keepNext/>
        <w:keepLines/>
        <w:spacing w:before="0" w:line="260" w:lineRule="atLeast"/>
        <w:jc w:val="left"/>
        <w:outlineLvl w:val="0"/>
        <w:rPr>
          <w:rFonts w:eastAsia="Times New Roman" w:cs="Times New Roman"/>
          <w:color w:val="365F91"/>
          <w:sz w:val="40"/>
          <w:szCs w:val="32"/>
          <w:lang w:eastAsia="en-US"/>
        </w:rPr>
      </w:pPr>
      <w:bookmarkStart w:id="101" w:name="Text"/>
      <w:bookmarkEnd w:id="101"/>
      <w:r w:rsidRPr="00FB249F">
        <w:rPr>
          <w:rFonts w:eastAsia="Times New Roman" w:cs="Times New Roman"/>
          <w:color w:val="365F91"/>
          <w:sz w:val="40"/>
          <w:szCs w:val="32"/>
          <w:lang w:eastAsia="en-US"/>
        </w:rPr>
        <w:t>Background</w:t>
      </w:r>
    </w:p>
    <w:p w14:paraId="0172C6F1" w14:textId="77777777" w:rsidR="00177387" w:rsidRPr="00FB249F" w:rsidRDefault="00177387" w:rsidP="00177387">
      <w:pPr>
        <w:spacing w:before="0" w:line="260" w:lineRule="atLeast"/>
        <w:jc w:val="left"/>
        <w:rPr>
          <w:rFonts w:eastAsia="Calibri" w:cs="Times New Roman"/>
          <w:lang w:eastAsia="en-US"/>
        </w:rPr>
      </w:pPr>
      <w:r w:rsidRPr="00FB249F">
        <w:rPr>
          <w:rFonts w:eastAsia="Calibri" w:cs="Times New Roman"/>
          <w:lang w:eastAsia="en-US"/>
        </w:rPr>
        <w:t xml:space="preserve">In 2018 NIWA conducted work for the Ministry for the Environment (MfE) to quantify daily time-series of streamflow depletion. In that 2018 study, streamflow depletion was calculated using records of water takes supplied by Horizons Regional Council (Horizons) and Greater Wellington Regional Council (GWRC). Daily time-series of estimated streamflow depletion were mapped across the Greater Wellington and Manawatu-Wanganui regions. The estimates of streamflow depletion covered a three-year period from mid-2015 to mid-2018. The report of Booker et al. (2018) provided details of the purposes, methods and results associated with that 2018 study. The study successfully fulfilled its main purpose to develop and demonstrate methods for automatically obtaining records of water takes and then calculating streamflow depletion on any day at any river segment across the landscape. The study used an automated procedure to remotely download records of water take from each council’s data servers and provided MfE with streamflow depletion estimates that would allow them to report on impacts of water takes for environmental reporting purposes. However, the report of Booker et al. (2018) noted that “visual inspection showed that some records contained suspicious patterns such as large spikes and possible changes in measurement units that may compromise streamflow depletion calculations”. This finding indicated that some water take records used in the 2018 study, and therefore the streamflow depletion estimates that were derived from them, may not be fit for the purposes of environmental reporting due to data quality issues. </w:t>
      </w:r>
    </w:p>
    <w:p w14:paraId="2B46B1B1" w14:textId="77777777" w:rsidR="00177387" w:rsidRPr="00FB249F" w:rsidRDefault="00177387" w:rsidP="00177387">
      <w:pPr>
        <w:spacing w:before="0" w:line="260" w:lineRule="atLeast"/>
        <w:jc w:val="left"/>
        <w:rPr>
          <w:rFonts w:eastAsia="Calibri" w:cs="Times New Roman"/>
          <w:lang w:eastAsia="en-US"/>
        </w:rPr>
      </w:pPr>
      <w:r w:rsidRPr="00FB249F">
        <w:rPr>
          <w:rFonts w:eastAsia="Calibri" w:cs="Times New Roman"/>
          <w:lang w:eastAsia="en-US"/>
        </w:rPr>
        <w:t xml:space="preserve">In September 2020, NIWA were contracted by the Ministry for the Environment (MfE) to obtain updated records of water takes from Horizons and GWRC in order to generate updated estimates of streamflow depletion by applying the methods described by Booker et al. (2018). These updated results would then be used by MfE to support the development of their “actual </w:t>
      </w:r>
      <w:r w:rsidRPr="00FB249F">
        <w:rPr>
          <w:rFonts w:eastAsia="Calibri" w:cs="Times New Roman"/>
          <w:lang w:eastAsia="en-US"/>
        </w:rPr>
        <w:lastRenderedPageBreak/>
        <w:t>water takes technical paper” and also be available to MfE for other purposes. The brief for this work included “identify input data requirements, generate the required modelled outputs, provide a technical summary of the methods and findings, and review the subsequent MfE analysis that will form the draft actual water takes technical paper.”</w:t>
      </w:r>
    </w:p>
    <w:p w14:paraId="521BA3BC" w14:textId="77777777" w:rsidR="00177387" w:rsidRPr="00FB249F" w:rsidRDefault="00177387" w:rsidP="00177387">
      <w:pPr>
        <w:spacing w:before="0" w:line="260" w:lineRule="atLeast"/>
        <w:jc w:val="left"/>
        <w:rPr>
          <w:rFonts w:eastAsia="Calibri" w:cs="Times New Roman"/>
          <w:lang w:eastAsia="en-US"/>
        </w:rPr>
      </w:pPr>
      <w:r w:rsidRPr="00FB249F">
        <w:rPr>
          <w:rFonts w:eastAsia="Calibri" w:cs="Times New Roman"/>
          <w:lang w:eastAsia="en-US"/>
        </w:rPr>
        <w:t>This memo provides a brief technical summary of the work carried out by NIWA for MfE during September-November 2020 to produce updated streamflow depletion estimates for the Manawatu-Wanganui regions using the methods developed in the 2018 study. This memo also provides analysis designed to indicate whether the updated streamflow depletion estimates represent an improved set of estimates in comparison to those from the 2018 study.</w:t>
      </w:r>
    </w:p>
    <w:p w14:paraId="096538FB" w14:textId="77777777" w:rsidR="00177387" w:rsidRPr="00FB249F" w:rsidRDefault="00177387" w:rsidP="00DF64FD">
      <w:pPr>
        <w:keepNext/>
        <w:keepLines/>
        <w:spacing w:after="60" w:line="260" w:lineRule="atLeast"/>
        <w:jc w:val="left"/>
        <w:outlineLvl w:val="0"/>
        <w:rPr>
          <w:rFonts w:eastAsia="Times New Roman" w:cs="Times New Roman"/>
          <w:color w:val="365F91"/>
          <w:sz w:val="40"/>
          <w:szCs w:val="32"/>
          <w:lang w:eastAsia="en-US"/>
        </w:rPr>
      </w:pPr>
      <w:r w:rsidRPr="00FB249F">
        <w:rPr>
          <w:rFonts w:eastAsia="Times New Roman" w:cs="Times New Roman"/>
          <w:color w:val="365F91"/>
          <w:sz w:val="40"/>
          <w:szCs w:val="32"/>
          <w:lang w:eastAsia="en-US"/>
        </w:rPr>
        <w:t xml:space="preserve">Methods </w:t>
      </w:r>
    </w:p>
    <w:p w14:paraId="0B47B088" w14:textId="77777777" w:rsidR="00177387" w:rsidRPr="00FB249F" w:rsidRDefault="00177387" w:rsidP="00177387">
      <w:pPr>
        <w:spacing w:before="0" w:line="260" w:lineRule="atLeast"/>
        <w:jc w:val="left"/>
        <w:rPr>
          <w:rFonts w:eastAsia="Calibri" w:cs="Times New Roman"/>
          <w:lang w:eastAsia="en-US"/>
        </w:rPr>
      </w:pPr>
      <w:r w:rsidRPr="00FB249F">
        <w:rPr>
          <w:rFonts w:eastAsia="Calibri" w:cs="Times New Roman"/>
          <w:lang w:eastAsia="en-US"/>
        </w:rPr>
        <w:t>As part of this work, NIWA carried out the following tasks:</w:t>
      </w:r>
    </w:p>
    <w:p w14:paraId="584BFF7C" w14:textId="77777777" w:rsidR="00177387" w:rsidRPr="00FB249F" w:rsidRDefault="00177387" w:rsidP="00177387">
      <w:pPr>
        <w:numPr>
          <w:ilvl w:val="0"/>
          <w:numId w:val="46"/>
        </w:numPr>
        <w:spacing w:before="0" w:after="0" w:line="260" w:lineRule="atLeast"/>
        <w:jc w:val="left"/>
        <w:rPr>
          <w:rFonts w:eastAsia="Calibri" w:cs="Times New Roman"/>
          <w:lang w:eastAsia="en-US"/>
        </w:rPr>
      </w:pPr>
      <w:r w:rsidRPr="00FB249F">
        <w:rPr>
          <w:rFonts w:eastAsia="Calibri" w:cs="Times New Roman"/>
          <w:lang w:eastAsia="en-US"/>
        </w:rPr>
        <w:t>We supplied Horizons and GWRC with the data files and associated format descriptions used to calculate streamflow depletion for their regions as part of the 2018 study. We requested that each council update the information included in these files. The files included information on:</w:t>
      </w:r>
    </w:p>
    <w:p w14:paraId="76952D15" w14:textId="77777777" w:rsidR="00177387" w:rsidRPr="00FB249F" w:rsidRDefault="00177387" w:rsidP="00177387">
      <w:pPr>
        <w:numPr>
          <w:ilvl w:val="1"/>
          <w:numId w:val="46"/>
        </w:numPr>
        <w:spacing w:before="0" w:after="0" w:line="260" w:lineRule="atLeast"/>
        <w:jc w:val="left"/>
        <w:rPr>
          <w:rFonts w:eastAsia="Calibri" w:cs="Times New Roman"/>
          <w:lang w:eastAsia="en-US"/>
        </w:rPr>
      </w:pPr>
      <w:r w:rsidRPr="00FB249F">
        <w:rPr>
          <w:rFonts w:eastAsia="Calibri" w:cs="Times New Roman"/>
          <w:lang w:eastAsia="en-US"/>
        </w:rPr>
        <w:t xml:space="preserve">Recorded water takes. Each record comprises a time-series of volume of water recorded to have been taken (abstracted from groundwater or surface water) on each day. Within each record entries of “0” (zero) represent days on which the volume of water taken was measured to be zero. Zero entries appear when instrumentation was functioning, a legitimate measurement was made, and a value of zero was recorded indicating no water was taken. Within each record entries of “NA” (aka Not Available or missing) represent days on which the volume of water taken was not measured, no value was recorded, and therefore actual water take is unknown. NA entries within records of water take may appear for several reasons: at the start of a record before instrumentation has been installed or validated; within a record because of instrument failure; at the end of a record after instrument failure or instrument termination; between two periods that used different instrumentation. </w:t>
      </w:r>
    </w:p>
    <w:p w14:paraId="53EF7431" w14:textId="77777777" w:rsidR="00177387" w:rsidRPr="00FB249F" w:rsidRDefault="00177387" w:rsidP="00177387">
      <w:pPr>
        <w:numPr>
          <w:ilvl w:val="1"/>
          <w:numId w:val="46"/>
        </w:numPr>
        <w:spacing w:before="0" w:after="0" w:line="260" w:lineRule="atLeast"/>
        <w:jc w:val="left"/>
        <w:rPr>
          <w:rFonts w:eastAsia="Calibri" w:cs="Times New Roman"/>
          <w:lang w:eastAsia="en-US"/>
        </w:rPr>
      </w:pPr>
      <w:r w:rsidRPr="00FB249F">
        <w:rPr>
          <w:rFonts w:eastAsia="Calibri" w:cs="Times New Roman"/>
          <w:lang w:eastAsia="en-US"/>
        </w:rPr>
        <w:t>Information associated with each record of water take such as location, water source (groundwater or surface water), as well as bore depth storativity and transmissivity for groundwater takes.</w:t>
      </w:r>
    </w:p>
    <w:p w14:paraId="2449557E" w14:textId="77777777" w:rsidR="00177387" w:rsidRPr="00FB249F" w:rsidRDefault="00177387" w:rsidP="00177387">
      <w:pPr>
        <w:numPr>
          <w:ilvl w:val="1"/>
          <w:numId w:val="46"/>
        </w:numPr>
        <w:spacing w:before="0" w:after="0" w:line="260" w:lineRule="atLeast"/>
        <w:jc w:val="left"/>
        <w:rPr>
          <w:rFonts w:eastAsia="Calibri" w:cs="Times New Roman"/>
          <w:lang w:eastAsia="en-US"/>
        </w:rPr>
      </w:pPr>
      <w:r w:rsidRPr="00FB249F">
        <w:rPr>
          <w:rFonts w:eastAsia="Calibri" w:cs="Times New Roman"/>
          <w:lang w:eastAsia="en-US"/>
        </w:rPr>
        <w:t xml:space="preserve">Parameters for calculating streamflow depletion resulting from groundwater takes (bore depth storativity and transmissivity) available from any monitored groundwater bore locations in the region. This information was used to construct statistical models from which any missing values of bore depth, storativity or transmissivity for groundwater takes could be filled. </w:t>
      </w:r>
    </w:p>
    <w:p w14:paraId="2C618683" w14:textId="77777777" w:rsidR="00177387" w:rsidRPr="00FB249F" w:rsidRDefault="00177387" w:rsidP="00177387">
      <w:pPr>
        <w:numPr>
          <w:ilvl w:val="0"/>
          <w:numId w:val="46"/>
        </w:numPr>
        <w:spacing w:before="0" w:after="0" w:line="260" w:lineRule="atLeast"/>
        <w:jc w:val="left"/>
        <w:rPr>
          <w:rFonts w:eastAsia="Calibri" w:cs="Times New Roman"/>
          <w:lang w:eastAsia="en-US"/>
        </w:rPr>
      </w:pPr>
      <w:r w:rsidRPr="00FB249F">
        <w:rPr>
          <w:rFonts w:eastAsia="Calibri" w:cs="Times New Roman"/>
          <w:lang w:eastAsia="en-US"/>
        </w:rPr>
        <w:t xml:space="preserve">We subsequently received updated recorded water take and groundwater bore data from Horizons and GWRC. </w:t>
      </w:r>
    </w:p>
    <w:p w14:paraId="34720ADC" w14:textId="77777777" w:rsidR="00177387" w:rsidRPr="00FB249F" w:rsidRDefault="00177387" w:rsidP="00177387">
      <w:pPr>
        <w:numPr>
          <w:ilvl w:val="1"/>
          <w:numId w:val="46"/>
        </w:numPr>
        <w:spacing w:before="0" w:after="0" w:line="260" w:lineRule="atLeast"/>
        <w:jc w:val="left"/>
        <w:rPr>
          <w:rFonts w:eastAsia="Calibri" w:cs="Times New Roman"/>
          <w:lang w:eastAsia="en-US"/>
        </w:rPr>
      </w:pPr>
      <w:r w:rsidRPr="00FB249F">
        <w:rPr>
          <w:rFonts w:eastAsia="Calibri" w:cs="Times New Roman"/>
          <w:lang w:eastAsia="en-US"/>
        </w:rPr>
        <w:t xml:space="preserve">Horizons returned data using the same file structure and data format as was used in the 2018 study. The period of recorded water take provided by Horizons matched that used in the 2018 study (02/06/15 to 01/07/18). </w:t>
      </w:r>
    </w:p>
    <w:p w14:paraId="16176767" w14:textId="77777777" w:rsidR="00177387" w:rsidRPr="00FB249F" w:rsidRDefault="00177387" w:rsidP="00177387">
      <w:pPr>
        <w:numPr>
          <w:ilvl w:val="1"/>
          <w:numId w:val="46"/>
        </w:numPr>
        <w:spacing w:before="0" w:after="0" w:line="260" w:lineRule="atLeast"/>
        <w:jc w:val="left"/>
        <w:rPr>
          <w:rFonts w:eastAsia="Calibri" w:cs="Times New Roman"/>
          <w:lang w:eastAsia="en-US"/>
        </w:rPr>
      </w:pPr>
      <w:r w:rsidRPr="00FB249F">
        <w:rPr>
          <w:rFonts w:eastAsia="Calibri" w:cs="Times New Roman"/>
          <w:lang w:eastAsia="en-US"/>
        </w:rPr>
        <w:t>GWRC returned all necessary data but used a different file structure and data format. We subsequently post-processed the GWRC data to be consistent with the required format. For many records, the period of recorded water take provided by GWRC extended beyond that used in the 2018 study.</w:t>
      </w:r>
    </w:p>
    <w:p w14:paraId="1AE686DA" w14:textId="77777777" w:rsidR="00177387" w:rsidRPr="00FB249F" w:rsidRDefault="00177387" w:rsidP="00177387">
      <w:pPr>
        <w:numPr>
          <w:ilvl w:val="0"/>
          <w:numId w:val="46"/>
        </w:numPr>
        <w:spacing w:before="0" w:after="0" w:line="260" w:lineRule="atLeast"/>
        <w:jc w:val="left"/>
        <w:rPr>
          <w:rFonts w:eastAsia="Calibri" w:cs="Times New Roman"/>
          <w:lang w:eastAsia="en-US"/>
        </w:rPr>
      </w:pPr>
      <w:r w:rsidRPr="00FB249F">
        <w:rPr>
          <w:rFonts w:eastAsia="Calibri" w:cs="Times New Roman"/>
          <w:lang w:eastAsia="en-US"/>
        </w:rPr>
        <w:t xml:space="preserve">We carried out an initial inspection of the updated data received from Horizons and GWRC. We made some minor alterations to these data after consulting with staff from the two councils. </w:t>
      </w:r>
    </w:p>
    <w:p w14:paraId="18D02806" w14:textId="77777777" w:rsidR="00177387" w:rsidRPr="00FB249F" w:rsidRDefault="00177387" w:rsidP="00177387">
      <w:pPr>
        <w:numPr>
          <w:ilvl w:val="1"/>
          <w:numId w:val="46"/>
        </w:numPr>
        <w:spacing w:before="0" w:after="0" w:line="260" w:lineRule="atLeast"/>
        <w:jc w:val="left"/>
        <w:rPr>
          <w:rFonts w:eastAsia="Calibri" w:cs="Times New Roman"/>
          <w:lang w:eastAsia="en-US"/>
        </w:rPr>
      </w:pPr>
      <w:r w:rsidRPr="00FB249F">
        <w:rPr>
          <w:rFonts w:eastAsia="Calibri" w:cs="Times New Roman"/>
          <w:lang w:eastAsia="en-US"/>
        </w:rPr>
        <w:lastRenderedPageBreak/>
        <w:t>We reset values greater than 1,000,000,000 m</w:t>
      </w:r>
      <w:r w:rsidRPr="00FB249F">
        <w:rPr>
          <w:rFonts w:eastAsia="Calibri" w:cs="Times New Roman"/>
          <w:vertAlign w:val="superscript"/>
          <w:lang w:eastAsia="en-US"/>
        </w:rPr>
        <w:t>3</w:t>
      </w:r>
      <w:r w:rsidRPr="00FB249F">
        <w:rPr>
          <w:rFonts w:eastAsia="Calibri" w:cs="Times New Roman"/>
          <w:lang w:eastAsia="en-US"/>
        </w:rPr>
        <w:t>/day to be “NA” (missing data) in six groundwater records supplied by Horizons. The next largest recorded groundwater take across all records was 561,197 m</w:t>
      </w:r>
      <w:r w:rsidRPr="00FB249F">
        <w:rPr>
          <w:rFonts w:eastAsia="Calibri" w:cs="Times New Roman"/>
          <w:vertAlign w:val="superscript"/>
          <w:lang w:eastAsia="en-US"/>
        </w:rPr>
        <w:t>3</w:t>
      </w:r>
      <w:r w:rsidRPr="00FB249F">
        <w:rPr>
          <w:rFonts w:eastAsia="Calibri" w:cs="Times New Roman"/>
          <w:lang w:eastAsia="en-US"/>
        </w:rPr>
        <w:t xml:space="preserve">/day. </w:t>
      </w:r>
    </w:p>
    <w:p w14:paraId="049C24F5" w14:textId="77777777" w:rsidR="00177387" w:rsidRPr="00FB249F" w:rsidRDefault="00177387" w:rsidP="00177387">
      <w:pPr>
        <w:numPr>
          <w:ilvl w:val="1"/>
          <w:numId w:val="46"/>
        </w:numPr>
        <w:spacing w:before="0" w:after="0" w:line="260" w:lineRule="atLeast"/>
        <w:jc w:val="left"/>
        <w:rPr>
          <w:rFonts w:eastAsia="Calibri" w:cs="Times New Roman"/>
          <w:lang w:eastAsia="en-US"/>
        </w:rPr>
      </w:pPr>
      <w:r w:rsidRPr="00FB249F">
        <w:rPr>
          <w:rFonts w:eastAsia="Calibri" w:cs="Times New Roman"/>
          <w:lang w:eastAsia="en-US"/>
        </w:rPr>
        <w:t xml:space="preserve">Record “X1” for Horizons had one suspicious negative value (-2874 on 6/12/2017). The absolute value of this negative take was similar to the positive values in this record. We changed this value to (+2874). </w:t>
      </w:r>
    </w:p>
    <w:p w14:paraId="75427603" w14:textId="77777777" w:rsidR="00177387" w:rsidRPr="00FB249F" w:rsidRDefault="00177387" w:rsidP="00177387">
      <w:pPr>
        <w:numPr>
          <w:ilvl w:val="1"/>
          <w:numId w:val="46"/>
        </w:numPr>
        <w:spacing w:before="0" w:after="0" w:line="260" w:lineRule="atLeast"/>
        <w:jc w:val="left"/>
        <w:rPr>
          <w:rFonts w:eastAsia="Calibri" w:cs="Times New Roman"/>
          <w:lang w:eastAsia="en-US"/>
        </w:rPr>
      </w:pPr>
      <w:r w:rsidRPr="00FB249F">
        <w:rPr>
          <w:rFonts w:eastAsia="Calibri" w:cs="Times New Roman"/>
          <w:lang w:eastAsia="en-US"/>
        </w:rPr>
        <w:t>Record “X292” for Horizons had three suspicious negative values (on 4/01/2017, 6/01/2017 and 25/01/2017). The absolute values of these negative takes were very small. We changed these values to be zeros.</w:t>
      </w:r>
    </w:p>
    <w:p w14:paraId="11B634F9" w14:textId="77777777" w:rsidR="00177387" w:rsidRPr="00FB249F" w:rsidRDefault="00177387" w:rsidP="00177387">
      <w:pPr>
        <w:numPr>
          <w:ilvl w:val="1"/>
          <w:numId w:val="46"/>
        </w:numPr>
        <w:spacing w:before="0" w:after="0" w:line="260" w:lineRule="atLeast"/>
        <w:jc w:val="left"/>
        <w:rPr>
          <w:rFonts w:eastAsia="Calibri" w:cs="Times New Roman"/>
          <w:lang w:eastAsia="en-US"/>
        </w:rPr>
      </w:pPr>
      <w:r w:rsidRPr="00FB249F">
        <w:rPr>
          <w:rFonts w:eastAsia="Calibri" w:cs="Times New Roman"/>
          <w:lang w:eastAsia="en-US"/>
        </w:rPr>
        <w:t>We obtained co-ordinates for each of two sets of three sites where locations were recorded as “More than one meter on this consent” from GWRC.</w:t>
      </w:r>
    </w:p>
    <w:p w14:paraId="161AECE2" w14:textId="77777777" w:rsidR="00177387" w:rsidRPr="00FB249F" w:rsidRDefault="00177387" w:rsidP="00177387">
      <w:pPr>
        <w:numPr>
          <w:ilvl w:val="1"/>
          <w:numId w:val="46"/>
        </w:numPr>
        <w:spacing w:before="0" w:after="0" w:line="260" w:lineRule="atLeast"/>
        <w:jc w:val="left"/>
        <w:rPr>
          <w:rFonts w:eastAsia="Calibri" w:cs="Times New Roman"/>
          <w:lang w:eastAsia="en-US"/>
        </w:rPr>
      </w:pPr>
      <w:r w:rsidRPr="00FB249F">
        <w:rPr>
          <w:rFonts w:eastAsia="Calibri" w:cs="Times New Roman"/>
          <w:lang w:eastAsia="en-US"/>
        </w:rPr>
        <w:t xml:space="preserve">We made minor corrections to site locations for a further three sites after consultation with GWRC. </w:t>
      </w:r>
    </w:p>
    <w:p w14:paraId="21FE44F6" w14:textId="77777777" w:rsidR="00177387" w:rsidRPr="00FB249F" w:rsidRDefault="00177387" w:rsidP="00177387">
      <w:pPr>
        <w:numPr>
          <w:ilvl w:val="1"/>
          <w:numId w:val="46"/>
        </w:numPr>
        <w:spacing w:before="0" w:after="0" w:line="260" w:lineRule="atLeast"/>
        <w:jc w:val="left"/>
        <w:rPr>
          <w:rFonts w:eastAsia="Calibri" w:cs="Times New Roman"/>
          <w:lang w:eastAsia="en-US"/>
        </w:rPr>
      </w:pPr>
      <w:r w:rsidRPr="00FB249F">
        <w:rPr>
          <w:rFonts w:eastAsia="Calibri" w:cs="Times New Roman"/>
          <w:lang w:eastAsia="en-US"/>
        </w:rPr>
        <w:t xml:space="preserve">We removed 229 (of 743) records supplied by GWRC that contained no recorded values anywhere in their record. We confirmed with GWRC that although these records are likely to correspond to consents with no associated takes, it should not necessarily be assumed that “no recorded value” equates to “no take’”. </w:t>
      </w:r>
    </w:p>
    <w:p w14:paraId="32A86750" w14:textId="77777777" w:rsidR="00177387" w:rsidRPr="00FB249F" w:rsidRDefault="00177387" w:rsidP="00177387">
      <w:pPr>
        <w:numPr>
          <w:ilvl w:val="1"/>
          <w:numId w:val="46"/>
        </w:numPr>
        <w:spacing w:before="0" w:after="0" w:line="260" w:lineRule="atLeast"/>
        <w:jc w:val="left"/>
        <w:rPr>
          <w:rFonts w:eastAsia="Calibri" w:cs="Times New Roman"/>
          <w:lang w:eastAsia="en-US"/>
        </w:rPr>
      </w:pPr>
      <w:r w:rsidRPr="00FB249F">
        <w:rPr>
          <w:rFonts w:eastAsia="Calibri" w:cs="Times New Roman"/>
          <w:lang w:eastAsia="en-US"/>
        </w:rPr>
        <w:t xml:space="preserve">We removed 15 records supplied by GWRC because all non-NA values in these records started after the reporting date (01/07/18). </w:t>
      </w:r>
    </w:p>
    <w:p w14:paraId="019028A8" w14:textId="77777777" w:rsidR="00177387" w:rsidRPr="00FB249F" w:rsidRDefault="00177387" w:rsidP="00177387">
      <w:pPr>
        <w:numPr>
          <w:ilvl w:val="0"/>
          <w:numId w:val="46"/>
        </w:numPr>
        <w:spacing w:before="0" w:after="0" w:line="260" w:lineRule="atLeast"/>
        <w:jc w:val="left"/>
        <w:rPr>
          <w:rFonts w:eastAsia="Calibri" w:cs="Times New Roman"/>
          <w:lang w:eastAsia="en-US"/>
        </w:rPr>
      </w:pPr>
      <w:r w:rsidRPr="00FB249F">
        <w:rPr>
          <w:rFonts w:eastAsia="Calibri" w:cs="Times New Roman"/>
          <w:lang w:eastAsia="en-US"/>
        </w:rPr>
        <w:t xml:space="preserve">We then re-ran the methods described in the report of Booker et al. (2018) to calculate streamflow depletion across the two regions using the updated data. </w:t>
      </w:r>
    </w:p>
    <w:p w14:paraId="1274582D" w14:textId="77777777" w:rsidR="00177387" w:rsidRPr="00FB249F" w:rsidRDefault="00177387" w:rsidP="00177387">
      <w:pPr>
        <w:numPr>
          <w:ilvl w:val="1"/>
          <w:numId w:val="46"/>
        </w:numPr>
        <w:spacing w:before="0" w:after="0" w:line="260" w:lineRule="atLeast"/>
        <w:jc w:val="left"/>
        <w:rPr>
          <w:rFonts w:eastAsia="Calibri" w:cs="Times New Roman"/>
          <w:lang w:eastAsia="en-US"/>
        </w:rPr>
      </w:pPr>
      <w:r w:rsidRPr="00FB249F">
        <w:rPr>
          <w:rFonts w:eastAsia="Calibri" w:cs="Times New Roman"/>
          <w:lang w:eastAsia="en-US"/>
        </w:rPr>
        <w:t xml:space="preserve">We made minor adjustments to the computer code that runs this procedure to account for changes in data structure that had occurred since the 2018 study (e.g. formatting of dates, method used to represent missing data, conventions for naming of records). </w:t>
      </w:r>
    </w:p>
    <w:p w14:paraId="14677118" w14:textId="77777777" w:rsidR="00177387" w:rsidRPr="00FB249F" w:rsidRDefault="00177387" w:rsidP="00177387">
      <w:pPr>
        <w:numPr>
          <w:ilvl w:val="1"/>
          <w:numId w:val="46"/>
        </w:numPr>
        <w:spacing w:before="0" w:after="0" w:line="260" w:lineRule="atLeast"/>
        <w:jc w:val="left"/>
        <w:rPr>
          <w:rFonts w:eastAsia="Calibri" w:cs="Times New Roman"/>
          <w:lang w:eastAsia="en-US"/>
        </w:rPr>
      </w:pPr>
      <w:r w:rsidRPr="00FB249F">
        <w:rPr>
          <w:rFonts w:eastAsia="Calibri" w:cs="Times New Roman"/>
          <w:lang w:eastAsia="en-US"/>
        </w:rPr>
        <w:t xml:space="preserve">We produced streamflow estimates for all river reaches influenced by upstream takes covering the same time period used in the 2018 study. </w:t>
      </w:r>
    </w:p>
    <w:p w14:paraId="5F6A7448" w14:textId="77777777" w:rsidR="00177387" w:rsidRPr="00FB249F" w:rsidRDefault="00177387" w:rsidP="00177387">
      <w:pPr>
        <w:numPr>
          <w:ilvl w:val="1"/>
          <w:numId w:val="46"/>
        </w:numPr>
        <w:spacing w:before="0" w:after="0" w:line="260" w:lineRule="atLeast"/>
        <w:jc w:val="left"/>
        <w:rPr>
          <w:rFonts w:eastAsia="Calibri" w:cs="Times New Roman"/>
          <w:lang w:eastAsia="en-US"/>
        </w:rPr>
      </w:pPr>
      <w:r w:rsidRPr="00FB249F">
        <w:rPr>
          <w:rFonts w:eastAsia="Calibri" w:cs="Times New Roman"/>
          <w:lang w:eastAsia="en-US"/>
        </w:rPr>
        <w:t xml:space="preserve">The method of Booker et al. (2018) was designed to represent the flow augmentation effect of discharges to rivers (as would result from a river flow diversion) by using records of water take consisting of negative values. We confirmed with GWRC and Horizons that no records representing flow diversions or augmentations to river flows were included in either the 2018 or updated data they supplied. However, some records did contain some negative values amongst mainly positive values. All negative values of recorded water take were therefore set to be zero before calculating streamflow depletion in all cases. To provide one indicator of data quality, we recorded the frequency of negative recorded water take values before they were set to zero. </w:t>
      </w:r>
    </w:p>
    <w:p w14:paraId="11FBC616" w14:textId="77777777" w:rsidR="00177387" w:rsidRPr="00FB249F" w:rsidRDefault="00177387" w:rsidP="00177387">
      <w:pPr>
        <w:numPr>
          <w:ilvl w:val="1"/>
          <w:numId w:val="46"/>
        </w:numPr>
        <w:spacing w:before="0" w:after="0" w:line="260" w:lineRule="atLeast"/>
        <w:jc w:val="left"/>
        <w:rPr>
          <w:rFonts w:eastAsia="Calibri" w:cs="Times New Roman"/>
          <w:lang w:eastAsia="en-US"/>
        </w:rPr>
      </w:pPr>
      <w:r w:rsidRPr="00FB249F">
        <w:rPr>
          <w:rFonts w:eastAsia="Calibri" w:cs="Times New Roman"/>
          <w:lang w:eastAsia="en-US"/>
        </w:rPr>
        <w:t>NA entries representing missing data can appear within records of water take for days on which water take is unknown. Information about these NA entries can be useful when assessing data quality and is also useful when interpreting streamflow depletion estimates. We recorded the total number of missing entries as one indicator of changes between the 2018 data and the updated data. It should be noted that the 2018 method was designed to ignore missing entries within the recorded water take data when calculating streamflow depletion.</w:t>
      </w:r>
    </w:p>
    <w:p w14:paraId="02EB0693" w14:textId="77777777" w:rsidR="00177387" w:rsidRPr="00FB249F" w:rsidRDefault="00177387" w:rsidP="00177387">
      <w:pPr>
        <w:numPr>
          <w:ilvl w:val="1"/>
          <w:numId w:val="46"/>
        </w:numPr>
        <w:spacing w:before="0" w:after="0" w:line="260" w:lineRule="atLeast"/>
        <w:jc w:val="left"/>
        <w:rPr>
          <w:rFonts w:eastAsia="Calibri" w:cs="Times New Roman"/>
          <w:lang w:eastAsia="en-US"/>
        </w:rPr>
      </w:pPr>
      <w:r w:rsidRPr="00FB249F">
        <w:rPr>
          <w:rFonts w:eastAsia="Calibri" w:cs="Times New Roman"/>
          <w:lang w:eastAsia="en-US"/>
        </w:rPr>
        <w:t>We plotted the rate (expressed as volume taken per day) of recorded water take using the 2018 data and the updated data.</w:t>
      </w:r>
    </w:p>
    <w:p w14:paraId="0D67DAF2" w14:textId="77777777" w:rsidR="00177387" w:rsidRPr="00FB249F" w:rsidRDefault="00177387" w:rsidP="00177387">
      <w:pPr>
        <w:numPr>
          <w:ilvl w:val="1"/>
          <w:numId w:val="46"/>
        </w:numPr>
        <w:spacing w:before="0" w:after="0" w:line="260" w:lineRule="atLeast"/>
        <w:jc w:val="left"/>
        <w:rPr>
          <w:rFonts w:eastAsia="Calibri" w:cs="Times New Roman"/>
          <w:lang w:eastAsia="en-US"/>
        </w:rPr>
      </w:pPr>
      <w:r w:rsidRPr="00FB249F">
        <w:rPr>
          <w:rFonts w:eastAsia="Calibri" w:cs="Times New Roman"/>
          <w:lang w:eastAsia="en-US"/>
        </w:rPr>
        <w:t xml:space="preserve">We plotted maps of calculated streamflow depletion produced using the 2018 data and the updated data for some arbitrary dates. </w:t>
      </w:r>
    </w:p>
    <w:p w14:paraId="64472977" w14:textId="77777777" w:rsidR="00177387" w:rsidRPr="00FB249F" w:rsidRDefault="00177387" w:rsidP="00177387">
      <w:pPr>
        <w:numPr>
          <w:ilvl w:val="1"/>
          <w:numId w:val="46"/>
        </w:numPr>
        <w:spacing w:before="0" w:after="0" w:line="260" w:lineRule="atLeast"/>
        <w:jc w:val="left"/>
        <w:rPr>
          <w:rFonts w:eastAsia="Calibri" w:cs="Times New Roman"/>
          <w:lang w:eastAsia="en-US"/>
        </w:rPr>
      </w:pPr>
      <w:r w:rsidRPr="00FB249F">
        <w:rPr>
          <w:rFonts w:eastAsia="Calibri" w:cs="Times New Roman"/>
          <w:lang w:eastAsia="en-US"/>
        </w:rPr>
        <w:t xml:space="preserve">Comparisons between the 2018 data and the updated data for individual records of water take were not possible because record names were not necessarily consistent. </w:t>
      </w:r>
    </w:p>
    <w:p w14:paraId="190EA9E0" w14:textId="77777777" w:rsidR="00177387" w:rsidRPr="00FB249F" w:rsidRDefault="00177387" w:rsidP="00177387">
      <w:pPr>
        <w:numPr>
          <w:ilvl w:val="0"/>
          <w:numId w:val="46"/>
        </w:numPr>
        <w:spacing w:before="0" w:after="0" w:line="260" w:lineRule="atLeast"/>
        <w:jc w:val="left"/>
        <w:rPr>
          <w:rFonts w:eastAsia="Calibri" w:cs="Times New Roman"/>
          <w:lang w:eastAsia="en-US"/>
        </w:rPr>
      </w:pPr>
      <w:r w:rsidRPr="00FB249F">
        <w:rPr>
          <w:rFonts w:eastAsia="Calibri" w:cs="Times New Roman"/>
          <w:lang w:eastAsia="en-US"/>
        </w:rPr>
        <w:lastRenderedPageBreak/>
        <w:t xml:space="preserve">We post-processed the updated streamflow depletion calculations so they could be viewed using an interactive app developed as part of the 2018 study and described in the report of Booker et al. (2018). </w:t>
      </w:r>
    </w:p>
    <w:p w14:paraId="6297C293" w14:textId="77777777" w:rsidR="00177387" w:rsidRPr="00FB249F" w:rsidRDefault="00177387" w:rsidP="00177387">
      <w:pPr>
        <w:numPr>
          <w:ilvl w:val="1"/>
          <w:numId w:val="46"/>
        </w:numPr>
        <w:spacing w:before="0" w:after="0" w:line="260" w:lineRule="atLeast"/>
        <w:jc w:val="left"/>
        <w:rPr>
          <w:rFonts w:eastAsia="Calibri" w:cs="Times New Roman"/>
          <w:lang w:eastAsia="en-US"/>
        </w:rPr>
      </w:pPr>
      <w:r w:rsidRPr="00FB249F">
        <w:rPr>
          <w:rFonts w:eastAsia="Calibri" w:cs="Times New Roman"/>
          <w:lang w:eastAsia="en-US"/>
        </w:rPr>
        <w:t xml:space="preserve">We inspected the updated results using this interactive app to assess the credibility of the streamflow depletion estimates. We did this by visually inspecting streamflow depletion time-series and records of water take for spikes (volumes of water that could not be physically taken in a day) and flat lines (suspiciously long periods where the same amount of water was recorded as being taken each day). </w:t>
      </w:r>
    </w:p>
    <w:p w14:paraId="73107730" w14:textId="77777777" w:rsidR="00177387" w:rsidRPr="00FB249F" w:rsidRDefault="00177387" w:rsidP="00177387">
      <w:pPr>
        <w:numPr>
          <w:ilvl w:val="1"/>
          <w:numId w:val="46"/>
        </w:numPr>
        <w:spacing w:before="0" w:after="0" w:line="260" w:lineRule="atLeast"/>
        <w:jc w:val="left"/>
        <w:rPr>
          <w:rFonts w:eastAsia="Calibri" w:cs="Times New Roman"/>
          <w:lang w:eastAsia="en-US"/>
        </w:rPr>
      </w:pPr>
      <w:r w:rsidRPr="00FB249F">
        <w:rPr>
          <w:rFonts w:eastAsia="Calibri" w:cs="Times New Roman"/>
          <w:lang w:eastAsia="en-US"/>
        </w:rPr>
        <w:t>We gave an online demonstration of the app to the staff from Horizons and GWRC who had supplied the updated water take data so that they could view the updated streamflow depletion estimates.</w:t>
      </w:r>
    </w:p>
    <w:p w14:paraId="59B95AF5" w14:textId="77777777" w:rsidR="00177387" w:rsidRPr="00FB249F" w:rsidRDefault="00177387" w:rsidP="00177387">
      <w:pPr>
        <w:numPr>
          <w:ilvl w:val="1"/>
          <w:numId w:val="46"/>
        </w:numPr>
        <w:spacing w:before="0" w:after="0" w:line="260" w:lineRule="atLeast"/>
        <w:jc w:val="left"/>
        <w:rPr>
          <w:rFonts w:eastAsia="Calibri" w:cs="Times New Roman"/>
          <w:lang w:eastAsia="en-US"/>
        </w:rPr>
      </w:pPr>
      <w:r w:rsidRPr="00FB249F">
        <w:rPr>
          <w:rFonts w:eastAsia="Calibri" w:cs="Times New Roman"/>
          <w:lang w:eastAsia="en-US"/>
        </w:rPr>
        <w:t xml:space="preserve">We supplied all computer code and the updated data required to run the app to staff from Horizons and GWRC. </w:t>
      </w:r>
    </w:p>
    <w:p w14:paraId="36E33FD9" w14:textId="77777777" w:rsidR="00177387" w:rsidRPr="00FB249F" w:rsidRDefault="00177387" w:rsidP="00177387">
      <w:pPr>
        <w:numPr>
          <w:ilvl w:val="0"/>
          <w:numId w:val="46"/>
        </w:numPr>
        <w:spacing w:before="0" w:after="0" w:line="260" w:lineRule="atLeast"/>
        <w:jc w:val="left"/>
        <w:rPr>
          <w:rFonts w:eastAsia="Calibri" w:cs="Times New Roman"/>
          <w:lang w:eastAsia="en-US"/>
        </w:rPr>
      </w:pPr>
      <w:r w:rsidRPr="00FB249F">
        <w:rPr>
          <w:rFonts w:eastAsia="Calibri" w:cs="Times New Roman"/>
          <w:lang w:eastAsia="en-US"/>
        </w:rPr>
        <w:t xml:space="preserve">We supplied updated data on observed water takes from groundwater and surface water, and using the updated data, subsequently calculated and provided estimates of streamflow depletion across the two regions to MfE. The data were supplied using the same file structure and data format as that supplied after the 2018 study. </w:t>
      </w:r>
    </w:p>
    <w:p w14:paraId="47152F50" w14:textId="77777777" w:rsidR="00177387" w:rsidRPr="00FB249F" w:rsidRDefault="00177387" w:rsidP="00177387">
      <w:pPr>
        <w:keepNext/>
        <w:keepLines/>
        <w:spacing w:after="0" w:line="260" w:lineRule="atLeast"/>
        <w:jc w:val="left"/>
        <w:outlineLvl w:val="0"/>
        <w:rPr>
          <w:rFonts w:eastAsia="Times New Roman" w:cs="Times New Roman"/>
          <w:color w:val="365F91"/>
          <w:sz w:val="40"/>
          <w:szCs w:val="32"/>
          <w:lang w:eastAsia="en-US"/>
        </w:rPr>
      </w:pPr>
      <w:r w:rsidRPr="00FB249F">
        <w:rPr>
          <w:rFonts w:eastAsia="Times New Roman" w:cs="Times New Roman"/>
          <w:color w:val="365F91"/>
          <w:sz w:val="40"/>
          <w:szCs w:val="32"/>
          <w:lang w:eastAsia="en-US"/>
        </w:rPr>
        <w:t>Summary of data changes</w:t>
      </w:r>
    </w:p>
    <w:p w14:paraId="12C4F4D8" w14:textId="77777777" w:rsidR="00177387" w:rsidRPr="00FB249F" w:rsidRDefault="00177387" w:rsidP="00177387">
      <w:pPr>
        <w:spacing w:before="0" w:line="260" w:lineRule="atLeast"/>
        <w:jc w:val="left"/>
        <w:rPr>
          <w:rFonts w:eastAsia="Calibri" w:cs="Times New Roman"/>
          <w:lang w:eastAsia="en-US"/>
        </w:rPr>
      </w:pPr>
      <w:r w:rsidRPr="00FB249F">
        <w:rPr>
          <w:rFonts w:eastAsia="Calibri" w:cs="Times New Roman"/>
          <w:lang w:eastAsia="en-US"/>
        </w:rPr>
        <w:fldChar w:fldCharType="begin"/>
      </w:r>
      <w:r w:rsidRPr="00FB249F">
        <w:rPr>
          <w:rFonts w:eastAsia="Calibri" w:cs="Times New Roman"/>
          <w:lang w:eastAsia="en-US"/>
        </w:rPr>
        <w:instrText xml:space="preserve"> REF _Ref57499704 \h </w:instrText>
      </w:r>
      <w:r w:rsidRPr="00FB249F">
        <w:rPr>
          <w:rFonts w:eastAsia="Calibri" w:cs="Times New Roman"/>
          <w:lang w:eastAsia="en-US"/>
        </w:rPr>
      </w:r>
      <w:r w:rsidRPr="00FB249F">
        <w:rPr>
          <w:rFonts w:eastAsia="Calibri" w:cs="Times New Roman"/>
          <w:lang w:eastAsia="en-US"/>
        </w:rPr>
        <w:fldChar w:fldCharType="separate"/>
      </w:r>
      <w:r w:rsidRPr="00FB249F" w:rsidDel="00720D7A">
        <w:rPr>
          <w:rFonts w:eastAsia="Calibri" w:cs="Times New Roman"/>
          <w:b/>
          <w:sz w:val="20"/>
          <w:szCs w:val="20"/>
          <w:lang w:eastAsia="en-US"/>
        </w:rPr>
        <w:t>Table 1</w:t>
      </w:r>
      <w:r w:rsidRPr="00FB249F">
        <w:rPr>
          <w:rFonts w:eastAsia="Calibri" w:cs="Times New Roman"/>
          <w:lang w:eastAsia="en-US"/>
        </w:rPr>
        <w:fldChar w:fldCharType="end"/>
      </w:r>
      <w:r w:rsidRPr="00FB249F">
        <w:rPr>
          <w:rFonts w:eastAsia="Calibri" w:cs="Times New Roman"/>
          <w:lang w:eastAsia="en-US"/>
        </w:rPr>
        <w:t xml:space="preserve"> provides a summary of changes between the 2018 data and the updated data. Changes between the two datasets are described below together with some possible explanations for the differences:</w:t>
      </w:r>
    </w:p>
    <w:p w14:paraId="28F1C1B6" w14:textId="77777777" w:rsidR="00177387" w:rsidRPr="00FB249F" w:rsidRDefault="00177387" w:rsidP="00177387">
      <w:pPr>
        <w:numPr>
          <w:ilvl w:val="0"/>
          <w:numId w:val="47"/>
        </w:numPr>
        <w:spacing w:before="0" w:after="0" w:line="260" w:lineRule="atLeast"/>
        <w:jc w:val="left"/>
        <w:rPr>
          <w:rFonts w:eastAsia="Calibri" w:cs="Times New Roman"/>
          <w:lang w:eastAsia="en-US"/>
        </w:rPr>
      </w:pPr>
      <w:r w:rsidRPr="00FB249F">
        <w:rPr>
          <w:rFonts w:eastAsia="Calibri" w:cs="Times New Roman"/>
          <w:lang w:eastAsia="en-US"/>
        </w:rPr>
        <w:t xml:space="preserve">The overall number of records decreased between the 2018 data and the updated data. Changes in the number of records may have occurred because new records were found, faulty records were removed, and/or several short records for the same location were merged to make a single longer record. </w:t>
      </w:r>
    </w:p>
    <w:p w14:paraId="5DA12248" w14:textId="77777777" w:rsidR="00177387" w:rsidRPr="00FB249F" w:rsidRDefault="00177387" w:rsidP="00177387">
      <w:pPr>
        <w:numPr>
          <w:ilvl w:val="0"/>
          <w:numId w:val="47"/>
        </w:numPr>
        <w:spacing w:before="0" w:after="0" w:line="260" w:lineRule="atLeast"/>
        <w:jc w:val="left"/>
        <w:rPr>
          <w:rFonts w:eastAsia="Calibri" w:cs="Times New Roman"/>
          <w:lang w:eastAsia="en-US"/>
        </w:rPr>
      </w:pPr>
      <w:r w:rsidRPr="00FB249F">
        <w:rPr>
          <w:rFonts w:eastAsia="Calibri" w:cs="Times New Roman"/>
          <w:lang w:eastAsia="en-US"/>
        </w:rPr>
        <w:t xml:space="preserve">The number of records assigned to groundwater versus surface water changed between the 2018 data and the updated data. This may have occurred due to changes to the water source (groundwater or surface water) to which records were assigned. </w:t>
      </w:r>
    </w:p>
    <w:p w14:paraId="09AD02B8" w14:textId="77777777" w:rsidR="00177387" w:rsidRPr="00FB249F" w:rsidRDefault="00177387" w:rsidP="00177387">
      <w:pPr>
        <w:numPr>
          <w:ilvl w:val="0"/>
          <w:numId w:val="47"/>
        </w:numPr>
        <w:spacing w:before="0" w:after="0" w:line="260" w:lineRule="atLeast"/>
        <w:jc w:val="left"/>
        <w:rPr>
          <w:rFonts w:eastAsia="Calibri" w:cs="Times New Roman"/>
          <w:lang w:eastAsia="en-US"/>
        </w:rPr>
      </w:pPr>
      <w:r w:rsidRPr="00FB249F">
        <w:rPr>
          <w:rFonts w:eastAsia="Calibri" w:cs="Times New Roman"/>
          <w:lang w:eastAsia="en-US"/>
        </w:rPr>
        <w:t xml:space="preserve">A very small number of negative entries were present in the Horizons data for both the 2018 data and the updated data. </w:t>
      </w:r>
    </w:p>
    <w:p w14:paraId="4D4E0929" w14:textId="77777777" w:rsidR="00177387" w:rsidRPr="00FB249F" w:rsidRDefault="00177387" w:rsidP="00177387">
      <w:pPr>
        <w:numPr>
          <w:ilvl w:val="0"/>
          <w:numId w:val="47"/>
        </w:numPr>
        <w:spacing w:before="0" w:after="0" w:line="260" w:lineRule="atLeast"/>
        <w:jc w:val="left"/>
        <w:rPr>
          <w:rFonts w:eastAsia="Calibri" w:cs="Times New Roman"/>
          <w:lang w:eastAsia="en-US"/>
        </w:rPr>
      </w:pPr>
      <w:r w:rsidRPr="00FB249F">
        <w:rPr>
          <w:rFonts w:eastAsia="Calibri" w:cs="Times New Roman"/>
          <w:lang w:eastAsia="en-US"/>
        </w:rPr>
        <w:t xml:space="preserve">The number of negative entries in the GWRC data was much larger in the 2018 data than the updated data. </w:t>
      </w:r>
    </w:p>
    <w:p w14:paraId="45C24C33" w14:textId="77777777" w:rsidR="00177387" w:rsidRPr="00FB249F" w:rsidRDefault="00177387" w:rsidP="00177387">
      <w:pPr>
        <w:numPr>
          <w:ilvl w:val="0"/>
          <w:numId w:val="47"/>
        </w:numPr>
        <w:spacing w:before="0" w:after="0" w:line="260" w:lineRule="atLeast"/>
        <w:jc w:val="left"/>
        <w:rPr>
          <w:rFonts w:eastAsia="Calibri" w:cs="Times New Roman"/>
          <w:lang w:eastAsia="en-US"/>
        </w:rPr>
      </w:pPr>
      <w:r w:rsidRPr="00FB249F">
        <w:rPr>
          <w:rFonts w:eastAsia="Calibri" w:cs="Times New Roman"/>
          <w:lang w:eastAsia="en-US"/>
        </w:rPr>
        <w:t xml:space="preserve">The number of legitimate (non-NA) entries changed between the 2018 data and the updated data. The number of legitimate entries may have increased for some records because new data were found, whereas the number of legitimate entries may have decreased for other records because erroneous entries due to faulty instrumentation were found, or because false infilling of missing data was found. </w:t>
      </w:r>
    </w:p>
    <w:p w14:paraId="49F2265B" w14:textId="77777777" w:rsidR="00177387" w:rsidRPr="00FB249F" w:rsidRDefault="00177387" w:rsidP="00177387">
      <w:pPr>
        <w:numPr>
          <w:ilvl w:val="0"/>
          <w:numId w:val="47"/>
        </w:numPr>
        <w:spacing w:before="0" w:after="0" w:line="260" w:lineRule="atLeast"/>
        <w:jc w:val="left"/>
        <w:rPr>
          <w:rFonts w:eastAsia="Calibri" w:cs="Times New Roman"/>
          <w:lang w:eastAsia="en-US"/>
        </w:rPr>
      </w:pPr>
      <w:r w:rsidRPr="00FB249F">
        <w:rPr>
          <w:rFonts w:eastAsia="Calibri" w:cs="Times New Roman"/>
          <w:lang w:eastAsia="en-US"/>
        </w:rPr>
        <w:t xml:space="preserve">More than half of the legitimate (non-NA) entries were zero (no take was recorded) for the 2018 data and the updated data regardless of region or water source. </w:t>
      </w:r>
    </w:p>
    <w:p w14:paraId="69B64520" w14:textId="77777777" w:rsidR="00177387" w:rsidRPr="00FB249F" w:rsidRDefault="00177387" w:rsidP="00177387">
      <w:pPr>
        <w:numPr>
          <w:ilvl w:val="0"/>
          <w:numId w:val="47"/>
        </w:numPr>
        <w:spacing w:before="0" w:after="0" w:line="260" w:lineRule="atLeast"/>
        <w:jc w:val="left"/>
        <w:rPr>
          <w:rFonts w:eastAsia="Calibri" w:cs="Times New Roman"/>
          <w:lang w:eastAsia="en-US"/>
        </w:rPr>
      </w:pPr>
      <w:r w:rsidRPr="00FB249F">
        <w:rPr>
          <w:rFonts w:eastAsia="Calibri" w:cs="Times New Roman"/>
          <w:lang w:eastAsia="en-US"/>
        </w:rPr>
        <w:t xml:space="preserve">The third quartile of the legitimate (non-NA) entries showed both increases and decreases between the 2018 data and the updated data. </w:t>
      </w:r>
    </w:p>
    <w:p w14:paraId="1086D530" w14:textId="77777777" w:rsidR="00177387" w:rsidRPr="00FB249F" w:rsidRDefault="00177387" w:rsidP="00177387">
      <w:pPr>
        <w:numPr>
          <w:ilvl w:val="0"/>
          <w:numId w:val="47"/>
        </w:numPr>
        <w:spacing w:before="0" w:after="0" w:line="260" w:lineRule="atLeast"/>
        <w:jc w:val="left"/>
        <w:rPr>
          <w:rFonts w:eastAsia="Calibri" w:cs="Times New Roman"/>
          <w:lang w:eastAsia="en-US"/>
        </w:rPr>
      </w:pPr>
      <w:r w:rsidRPr="00FB249F">
        <w:rPr>
          <w:rFonts w:eastAsia="Calibri" w:cs="Times New Roman"/>
          <w:lang w:eastAsia="en-US"/>
        </w:rPr>
        <w:t xml:space="preserve">The maximum recorded entry and the mean of all recorded entries both reduced greatly between the 2018 data and the updated data. This indicated that large outliers had been removed from the updated data. </w:t>
      </w:r>
    </w:p>
    <w:p w14:paraId="1FAD4FE2" w14:textId="77777777" w:rsidR="00177387" w:rsidRPr="00FB249F" w:rsidRDefault="00177387" w:rsidP="00263C07">
      <w:pPr>
        <w:keepNext/>
        <w:tabs>
          <w:tab w:val="left" w:pos="1134"/>
        </w:tabs>
        <w:spacing w:before="240" w:line="260" w:lineRule="atLeast"/>
        <w:jc w:val="left"/>
        <w:rPr>
          <w:rFonts w:eastAsia="Calibri" w:cs="Times New Roman"/>
          <w:b/>
          <w:bCs/>
          <w:sz w:val="20"/>
          <w:szCs w:val="20"/>
          <w:lang w:eastAsia="en-US"/>
        </w:rPr>
      </w:pPr>
      <w:bookmarkStart w:id="102" w:name="_Ref57499704"/>
      <w:r w:rsidRPr="00FB249F">
        <w:rPr>
          <w:rFonts w:eastAsia="Calibri" w:cs="Times New Roman"/>
          <w:b/>
          <w:bCs/>
          <w:sz w:val="20"/>
          <w:szCs w:val="20"/>
          <w:lang w:eastAsia="en-US"/>
        </w:rPr>
        <w:lastRenderedPageBreak/>
        <w:t xml:space="preserve">Table </w:t>
      </w:r>
      <w:r w:rsidRPr="00FB249F">
        <w:rPr>
          <w:rFonts w:eastAsia="Calibri" w:cs="Times New Roman"/>
          <w:b/>
          <w:bCs/>
          <w:sz w:val="20"/>
          <w:szCs w:val="20"/>
          <w:lang w:eastAsia="en-US"/>
        </w:rPr>
        <w:fldChar w:fldCharType="begin"/>
      </w:r>
      <w:r w:rsidRPr="00FB249F">
        <w:rPr>
          <w:rFonts w:eastAsia="Calibri" w:cs="Times New Roman"/>
          <w:b/>
          <w:bCs/>
          <w:sz w:val="20"/>
          <w:szCs w:val="20"/>
          <w:lang w:eastAsia="en-US"/>
        </w:rPr>
        <w:instrText xml:space="preserve"> SEQ Table \* ARABIC </w:instrText>
      </w:r>
      <w:r w:rsidRPr="00FB249F">
        <w:rPr>
          <w:rFonts w:eastAsia="Calibri" w:cs="Times New Roman"/>
          <w:b/>
          <w:bCs/>
          <w:sz w:val="20"/>
          <w:szCs w:val="20"/>
          <w:lang w:eastAsia="en-US"/>
        </w:rPr>
        <w:fldChar w:fldCharType="separate"/>
      </w:r>
      <w:r w:rsidRPr="00FB249F">
        <w:rPr>
          <w:rFonts w:eastAsia="Calibri" w:cs="Times New Roman"/>
          <w:b/>
          <w:bCs/>
          <w:sz w:val="20"/>
          <w:szCs w:val="20"/>
          <w:lang w:eastAsia="en-US"/>
        </w:rPr>
        <w:t>1</w:t>
      </w:r>
      <w:r w:rsidRPr="00FB249F">
        <w:rPr>
          <w:rFonts w:eastAsia="Calibri" w:cs="Times New Roman"/>
          <w:b/>
          <w:bCs/>
          <w:sz w:val="20"/>
          <w:szCs w:val="20"/>
          <w:lang w:eastAsia="en-US"/>
        </w:rPr>
        <w:fldChar w:fldCharType="end"/>
      </w:r>
      <w:bookmarkEnd w:id="102"/>
      <w:r w:rsidRPr="00FB249F">
        <w:rPr>
          <w:rFonts w:eastAsia="Calibri" w:cs="Times New Roman"/>
          <w:b/>
          <w:bCs/>
          <w:sz w:val="20"/>
          <w:szCs w:val="20"/>
          <w:lang w:eastAsia="en-US"/>
        </w:rPr>
        <w:t xml:space="preserve">. Summary statistics for supplied data (after removal of all GWRC entries for days after the reporting date of 01/07/18). </w:t>
      </w:r>
    </w:p>
    <w:tbl>
      <w:tblPr>
        <w:tblW w:w="8500" w:type="dxa"/>
        <w:tblInd w:w="113" w:type="dxa"/>
        <w:tblLook w:val="04A0" w:firstRow="1" w:lastRow="0" w:firstColumn="1" w:lastColumn="0" w:noHBand="0" w:noVBand="1"/>
      </w:tblPr>
      <w:tblGrid>
        <w:gridCol w:w="3101"/>
        <w:gridCol w:w="1623"/>
        <w:gridCol w:w="1219"/>
        <w:gridCol w:w="1177"/>
        <w:gridCol w:w="1380"/>
      </w:tblGrid>
      <w:tr w:rsidR="00177387" w:rsidRPr="00FB249F" w14:paraId="48E6D0A4" w14:textId="77777777" w:rsidTr="00C510DC">
        <w:tc>
          <w:tcPr>
            <w:tcW w:w="3101" w:type="dxa"/>
            <w:tcBorders>
              <w:top w:val="single" w:sz="4" w:space="0" w:color="auto"/>
              <w:left w:val="nil"/>
              <w:bottom w:val="single" w:sz="4" w:space="0" w:color="auto"/>
              <w:right w:val="nil"/>
            </w:tcBorders>
            <w:shd w:val="clear" w:color="auto" w:fill="auto"/>
            <w:noWrap/>
            <w:vAlign w:val="bottom"/>
            <w:hideMark/>
          </w:tcPr>
          <w:p w14:paraId="56DE427A" w14:textId="77777777" w:rsidR="00177387" w:rsidRPr="00FB249F" w:rsidRDefault="00177387" w:rsidP="00177387">
            <w:pPr>
              <w:keepNext/>
              <w:spacing w:before="40" w:after="0" w:line="240" w:lineRule="auto"/>
              <w:jc w:val="left"/>
              <w:rPr>
                <w:rFonts w:eastAsia="Times New Roman" w:cs="Calibri"/>
                <w:b/>
                <w:bCs/>
                <w:color w:val="000000"/>
                <w:sz w:val="18"/>
                <w:szCs w:val="18"/>
              </w:rPr>
            </w:pPr>
            <w:r w:rsidRPr="00FB249F">
              <w:rPr>
                <w:rFonts w:eastAsia="Times New Roman" w:cs="Calibri"/>
                <w:b/>
                <w:bCs/>
                <w:color w:val="000000"/>
                <w:sz w:val="18"/>
                <w:szCs w:val="18"/>
              </w:rPr>
              <w:t>Statistic</w:t>
            </w:r>
          </w:p>
        </w:tc>
        <w:tc>
          <w:tcPr>
            <w:tcW w:w="1623" w:type="dxa"/>
            <w:tcBorders>
              <w:top w:val="single" w:sz="4" w:space="0" w:color="auto"/>
              <w:left w:val="nil"/>
              <w:bottom w:val="single" w:sz="4" w:space="0" w:color="auto"/>
              <w:right w:val="nil"/>
            </w:tcBorders>
            <w:shd w:val="clear" w:color="auto" w:fill="auto"/>
            <w:noWrap/>
            <w:vAlign w:val="bottom"/>
            <w:hideMark/>
          </w:tcPr>
          <w:p w14:paraId="27A9370F" w14:textId="77777777" w:rsidR="00177387" w:rsidRPr="00FB249F" w:rsidRDefault="00177387" w:rsidP="00177387">
            <w:pPr>
              <w:keepNext/>
              <w:spacing w:before="40" w:after="0" w:line="240" w:lineRule="auto"/>
              <w:jc w:val="left"/>
              <w:rPr>
                <w:rFonts w:eastAsia="Times New Roman" w:cs="Calibri"/>
                <w:b/>
                <w:bCs/>
                <w:color w:val="000000"/>
                <w:sz w:val="18"/>
                <w:szCs w:val="18"/>
              </w:rPr>
            </w:pPr>
            <w:r w:rsidRPr="00FB249F">
              <w:rPr>
                <w:rFonts w:eastAsia="Times New Roman" w:cs="Calibri"/>
                <w:b/>
                <w:bCs/>
                <w:color w:val="000000"/>
                <w:sz w:val="18"/>
                <w:szCs w:val="18"/>
              </w:rPr>
              <w:t>Source</w:t>
            </w:r>
          </w:p>
        </w:tc>
        <w:tc>
          <w:tcPr>
            <w:tcW w:w="1219" w:type="dxa"/>
            <w:tcBorders>
              <w:top w:val="single" w:sz="4" w:space="0" w:color="auto"/>
              <w:left w:val="nil"/>
              <w:bottom w:val="single" w:sz="4" w:space="0" w:color="auto"/>
              <w:right w:val="nil"/>
            </w:tcBorders>
            <w:shd w:val="clear" w:color="auto" w:fill="auto"/>
            <w:noWrap/>
            <w:vAlign w:val="bottom"/>
            <w:hideMark/>
          </w:tcPr>
          <w:p w14:paraId="21B21424" w14:textId="77777777" w:rsidR="00177387" w:rsidRPr="00FB249F" w:rsidRDefault="00177387" w:rsidP="00177387">
            <w:pPr>
              <w:keepNext/>
              <w:spacing w:before="40" w:after="0" w:line="240" w:lineRule="auto"/>
              <w:jc w:val="left"/>
              <w:rPr>
                <w:rFonts w:eastAsia="Times New Roman" w:cs="Calibri"/>
                <w:b/>
                <w:bCs/>
                <w:color w:val="000000"/>
                <w:sz w:val="18"/>
                <w:szCs w:val="18"/>
              </w:rPr>
            </w:pPr>
            <w:r w:rsidRPr="00FB249F">
              <w:rPr>
                <w:rFonts w:eastAsia="Times New Roman" w:cs="Calibri"/>
                <w:b/>
                <w:bCs/>
                <w:color w:val="000000"/>
                <w:sz w:val="18"/>
                <w:szCs w:val="18"/>
              </w:rPr>
              <w:t>Council</w:t>
            </w:r>
          </w:p>
        </w:tc>
        <w:tc>
          <w:tcPr>
            <w:tcW w:w="1177" w:type="dxa"/>
            <w:tcBorders>
              <w:top w:val="single" w:sz="4" w:space="0" w:color="auto"/>
              <w:left w:val="nil"/>
              <w:bottom w:val="single" w:sz="4" w:space="0" w:color="auto"/>
              <w:right w:val="nil"/>
            </w:tcBorders>
            <w:shd w:val="clear" w:color="auto" w:fill="auto"/>
            <w:noWrap/>
            <w:vAlign w:val="bottom"/>
            <w:hideMark/>
          </w:tcPr>
          <w:p w14:paraId="47BB6CD0" w14:textId="77777777" w:rsidR="00177387" w:rsidRPr="00FB249F" w:rsidRDefault="00177387" w:rsidP="00177387">
            <w:pPr>
              <w:keepNext/>
              <w:spacing w:before="40" w:after="0" w:line="240" w:lineRule="auto"/>
              <w:jc w:val="left"/>
              <w:rPr>
                <w:rFonts w:eastAsia="Times New Roman" w:cs="Calibri"/>
                <w:b/>
                <w:bCs/>
                <w:color w:val="000000"/>
                <w:sz w:val="18"/>
                <w:szCs w:val="18"/>
              </w:rPr>
            </w:pPr>
            <w:r w:rsidRPr="00FB249F">
              <w:rPr>
                <w:rFonts w:eastAsia="Times New Roman" w:cs="Calibri"/>
                <w:b/>
                <w:bCs/>
                <w:color w:val="000000"/>
                <w:sz w:val="18"/>
                <w:szCs w:val="18"/>
              </w:rPr>
              <w:t>2018 data</w:t>
            </w:r>
          </w:p>
        </w:tc>
        <w:tc>
          <w:tcPr>
            <w:tcW w:w="1380" w:type="dxa"/>
            <w:tcBorders>
              <w:top w:val="single" w:sz="4" w:space="0" w:color="auto"/>
              <w:left w:val="nil"/>
              <w:bottom w:val="single" w:sz="4" w:space="0" w:color="auto"/>
              <w:right w:val="nil"/>
            </w:tcBorders>
            <w:shd w:val="clear" w:color="auto" w:fill="auto"/>
            <w:noWrap/>
            <w:vAlign w:val="bottom"/>
            <w:hideMark/>
          </w:tcPr>
          <w:p w14:paraId="7C4A4931" w14:textId="77777777" w:rsidR="00177387" w:rsidRPr="00FB249F" w:rsidRDefault="00177387" w:rsidP="00177387">
            <w:pPr>
              <w:keepNext/>
              <w:spacing w:before="40" w:after="0" w:line="240" w:lineRule="auto"/>
              <w:jc w:val="left"/>
              <w:rPr>
                <w:rFonts w:eastAsia="Times New Roman" w:cs="Calibri"/>
                <w:b/>
                <w:bCs/>
                <w:color w:val="000000"/>
                <w:sz w:val="18"/>
                <w:szCs w:val="18"/>
              </w:rPr>
            </w:pPr>
            <w:r w:rsidRPr="00FB249F">
              <w:rPr>
                <w:rFonts w:eastAsia="Times New Roman" w:cs="Calibri"/>
                <w:b/>
                <w:bCs/>
                <w:color w:val="000000"/>
                <w:sz w:val="18"/>
                <w:szCs w:val="18"/>
              </w:rPr>
              <w:t>Updated data</w:t>
            </w:r>
          </w:p>
        </w:tc>
      </w:tr>
      <w:tr w:rsidR="00177387" w:rsidRPr="00FB249F" w14:paraId="37E119AC" w14:textId="77777777" w:rsidTr="00C510DC">
        <w:tc>
          <w:tcPr>
            <w:tcW w:w="3101" w:type="dxa"/>
            <w:tcBorders>
              <w:top w:val="single" w:sz="4" w:space="0" w:color="auto"/>
              <w:left w:val="nil"/>
              <w:bottom w:val="nil"/>
              <w:right w:val="nil"/>
            </w:tcBorders>
            <w:shd w:val="clear" w:color="auto" w:fill="auto"/>
            <w:noWrap/>
            <w:vAlign w:val="bottom"/>
            <w:hideMark/>
          </w:tcPr>
          <w:p w14:paraId="59DEF686" w14:textId="77777777" w:rsidR="00177387" w:rsidRPr="00FB249F" w:rsidRDefault="00177387" w:rsidP="00177387">
            <w:pPr>
              <w:keepNext/>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Number of records</w:t>
            </w:r>
          </w:p>
        </w:tc>
        <w:tc>
          <w:tcPr>
            <w:tcW w:w="1623" w:type="dxa"/>
            <w:tcBorders>
              <w:top w:val="single" w:sz="4" w:space="0" w:color="auto"/>
              <w:left w:val="nil"/>
              <w:bottom w:val="nil"/>
              <w:right w:val="nil"/>
            </w:tcBorders>
            <w:shd w:val="clear" w:color="auto" w:fill="auto"/>
            <w:noWrap/>
            <w:vAlign w:val="bottom"/>
            <w:hideMark/>
          </w:tcPr>
          <w:p w14:paraId="59A44F71" w14:textId="77777777" w:rsidR="00177387" w:rsidRPr="00FB249F" w:rsidRDefault="00177387" w:rsidP="00177387">
            <w:pPr>
              <w:keepNext/>
              <w:spacing w:before="40" w:after="0" w:line="240" w:lineRule="auto"/>
              <w:jc w:val="left"/>
              <w:rPr>
                <w:rFonts w:eastAsia="Times New Roman" w:cs="Calibri"/>
                <w:color w:val="000000"/>
                <w:sz w:val="18"/>
                <w:szCs w:val="18"/>
              </w:rPr>
            </w:pPr>
          </w:p>
        </w:tc>
        <w:tc>
          <w:tcPr>
            <w:tcW w:w="1219" w:type="dxa"/>
            <w:tcBorders>
              <w:top w:val="single" w:sz="4" w:space="0" w:color="auto"/>
              <w:left w:val="nil"/>
              <w:bottom w:val="nil"/>
              <w:right w:val="nil"/>
            </w:tcBorders>
            <w:shd w:val="clear" w:color="auto" w:fill="auto"/>
            <w:noWrap/>
            <w:vAlign w:val="bottom"/>
            <w:hideMark/>
          </w:tcPr>
          <w:p w14:paraId="0F8876F3" w14:textId="77777777" w:rsidR="00177387" w:rsidRPr="00FB249F" w:rsidRDefault="00177387" w:rsidP="00177387">
            <w:pPr>
              <w:keepNext/>
              <w:spacing w:before="40" w:after="0" w:line="240" w:lineRule="auto"/>
              <w:jc w:val="left"/>
              <w:rPr>
                <w:rFonts w:ascii="Times New Roman" w:eastAsia="Times New Roman" w:hAnsi="Times New Roman" w:cs="Times New Roman"/>
                <w:sz w:val="18"/>
                <w:szCs w:val="18"/>
              </w:rPr>
            </w:pPr>
          </w:p>
        </w:tc>
        <w:tc>
          <w:tcPr>
            <w:tcW w:w="1177" w:type="dxa"/>
            <w:tcBorders>
              <w:top w:val="single" w:sz="4" w:space="0" w:color="auto"/>
              <w:left w:val="nil"/>
              <w:bottom w:val="nil"/>
              <w:right w:val="nil"/>
            </w:tcBorders>
            <w:shd w:val="clear" w:color="auto" w:fill="auto"/>
            <w:noWrap/>
            <w:vAlign w:val="bottom"/>
            <w:hideMark/>
          </w:tcPr>
          <w:p w14:paraId="0147F40A" w14:textId="77777777" w:rsidR="00177387" w:rsidRPr="00FB249F" w:rsidRDefault="00177387" w:rsidP="00177387">
            <w:pPr>
              <w:keepNext/>
              <w:spacing w:before="40" w:after="0" w:line="240" w:lineRule="auto"/>
              <w:jc w:val="left"/>
              <w:rPr>
                <w:rFonts w:ascii="Times New Roman" w:eastAsia="Times New Roman" w:hAnsi="Times New Roman" w:cs="Times New Roman"/>
                <w:sz w:val="18"/>
                <w:szCs w:val="18"/>
              </w:rPr>
            </w:pPr>
          </w:p>
        </w:tc>
        <w:tc>
          <w:tcPr>
            <w:tcW w:w="1380" w:type="dxa"/>
            <w:tcBorders>
              <w:top w:val="single" w:sz="4" w:space="0" w:color="auto"/>
              <w:left w:val="nil"/>
              <w:bottom w:val="nil"/>
              <w:right w:val="nil"/>
            </w:tcBorders>
            <w:shd w:val="clear" w:color="auto" w:fill="auto"/>
            <w:noWrap/>
            <w:vAlign w:val="bottom"/>
            <w:hideMark/>
          </w:tcPr>
          <w:p w14:paraId="4069DA1B" w14:textId="77777777" w:rsidR="00177387" w:rsidRPr="00FB249F" w:rsidRDefault="00177387" w:rsidP="00177387">
            <w:pPr>
              <w:keepNext/>
              <w:spacing w:before="40" w:after="0" w:line="240" w:lineRule="auto"/>
              <w:jc w:val="left"/>
              <w:rPr>
                <w:rFonts w:ascii="Times New Roman" w:eastAsia="Times New Roman" w:hAnsi="Times New Roman" w:cs="Times New Roman"/>
                <w:sz w:val="18"/>
                <w:szCs w:val="18"/>
              </w:rPr>
            </w:pPr>
          </w:p>
        </w:tc>
      </w:tr>
      <w:tr w:rsidR="00177387" w:rsidRPr="00FB249F" w14:paraId="55917850" w14:textId="77777777" w:rsidTr="00C510DC">
        <w:tc>
          <w:tcPr>
            <w:tcW w:w="3101" w:type="dxa"/>
            <w:tcBorders>
              <w:top w:val="nil"/>
              <w:left w:val="nil"/>
              <w:bottom w:val="nil"/>
              <w:right w:val="nil"/>
            </w:tcBorders>
            <w:shd w:val="clear" w:color="auto" w:fill="auto"/>
            <w:noWrap/>
            <w:vAlign w:val="bottom"/>
            <w:hideMark/>
          </w:tcPr>
          <w:p w14:paraId="51A2B4F3" w14:textId="77777777" w:rsidR="00177387" w:rsidRPr="00FB249F" w:rsidRDefault="00177387" w:rsidP="00177387">
            <w:pPr>
              <w:keepNext/>
              <w:spacing w:before="40" w:after="0" w:line="240" w:lineRule="auto"/>
              <w:jc w:val="left"/>
              <w:rPr>
                <w:rFonts w:ascii="Times New Roman" w:eastAsia="Times New Roman" w:hAnsi="Times New Roman" w:cs="Times New Roman"/>
                <w:sz w:val="18"/>
                <w:szCs w:val="18"/>
              </w:rPr>
            </w:pPr>
          </w:p>
        </w:tc>
        <w:tc>
          <w:tcPr>
            <w:tcW w:w="1623" w:type="dxa"/>
            <w:tcBorders>
              <w:top w:val="nil"/>
              <w:left w:val="nil"/>
              <w:bottom w:val="nil"/>
              <w:right w:val="nil"/>
            </w:tcBorders>
            <w:shd w:val="clear" w:color="auto" w:fill="auto"/>
            <w:noWrap/>
            <w:vAlign w:val="bottom"/>
            <w:hideMark/>
          </w:tcPr>
          <w:p w14:paraId="6A04A378" w14:textId="77777777" w:rsidR="00177387" w:rsidRPr="00FB249F" w:rsidRDefault="00177387" w:rsidP="00177387">
            <w:pPr>
              <w:keepNext/>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Groundwater</w:t>
            </w:r>
          </w:p>
        </w:tc>
        <w:tc>
          <w:tcPr>
            <w:tcW w:w="1219" w:type="dxa"/>
            <w:tcBorders>
              <w:top w:val="nil"/>
              <w:left w:val="nil"/>
              <w:bottom w:val="nil"/>
              <w:right w:val="nil"/>
            </w:tcBorders>
            <w:shd w:val="clear" w:color="auto" w:fill="auto"/>
            <w:noWrap/>
            <w:vAlign w:val="bottom"/>
            <w:hideMark/>
          </w:tcPr>
          <w:p w14:paraId="4F002096" w14:textId="77777777" w:rsidR="00177387" w:rsidRPr="00FB249F" w:rsidRDefault="00177387" w:rsidP="00177387">
            <w:pPr>
              <w:keepNext/>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GWRC</w:t>
            </w:r>
          </w:p>
        </w:tc>
        <w:tc>
          <w:tcPr>
            <w:tcW w:w="1177" w:type="dxa"/>
            <w:tcBorders>
              <w:top w:val="nil"/>
              <w:left w:val="nil"/>
              <w:bottom w:val="nil"/>
              <w:right w:val="nil"/>
            </w:tcBorders>
            <w:shd w:val="clear" w:color="auto" w:fill="auto"/>
            <w:noWrap/>
            <w:vAlign w:val="bottom"/>
            <w:hideMark/>
          </w:tcPr>
          <w:p w14:paraId="52EF0D35" w14:textId="77777777" w:rsidR="00177387" w:rsidRPr="00FB249F" w:rsidRDefault="00177387" w:rsidP="00177387">
            <w:pPr>
              <w:keepNext/>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402</w:t>
            </w:r>
          </w:p>
        </w:tc>
        <w:tc>
          <w:tcPr>
            <w:tcW w:w="1380" w:type="dxa"/>
            <w:tcBorders>
              <w:top w:val="nil"/>
              <w:left w:val="nil"/>
              <w:bottom w:val="nil"/>
              <w:right w:val="nil"/>
            </w:tcBorders>
            <w:shd w:val="clear" w:color="auto" w:fill="auto"/>
            <w:noWrap/>
            <w:vAlign w:val="bottom"/>
            <w:hideMark/>
          </w:tcPr>
          <w:p w14:paraId="37DA879E" w14:textId="77777777" w:rsidR="00177387" w:rsidRPr="00FB249F" w:rsidRDefault="00177387" w:rsidP="00177387">
            <w:pPr>
              <w:keepNext/>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375</w:t>
            </w:r>
          </w:p>
        </w:tc>
      </w:tr>
      <w:tr w:rsidR="00177387" w:rsidRPr="00FB249F" w14:paraId="09812AC4" w14:textId="77777777" w:rsidTr="00C510DC">
        <w:tc>
          <w:tcPr>
            <w:tcW w:w="3101" w:type="dxa"/>
            <w:tcBorders>
              <w:top w:val="nil"/>
              <w:left w:val="nil"/>
              <w:bottom w:val="nil"/>
              <w:right w:val="nil"/>
            </w:tcBorders>
            <w:shd w:val="clear" w:color="auto" w:fill="auto"/>
            <w:noWrap/>
            <w:vAlign w:val="bottom"/>
            <w:hideMark/>
          </w:tcPr>
          <w:p w14:paraId="48C16C94" w14:textId="77777777" w:rsidR="00177387" w:rsidRPr="00FB249F" w:rsidRDefault="00177387" w:rsidP="00177387">
            <w:pPr>
              <w:keepNext/>
              <w:spacing w:before="40" w:after="0" w:line="240" w:lineRule="auto"/>
              <w:jc w:val="right"/>
              <w:rPr>
                <w:rFonts w:eastAsia="Times New Roman" w:cs="Calibri"/>
                <w:color w:val="000000"/>
                <w:sz w:val="18"/>
                <w:szCs w:val="18"/>
              </w:rPr>
            </w:pPr>
          </w:p>
        </w:tc>
        <w:tc>
          <w:tcPr>
            <w:tcW w:w="1623" w:type="dxa"/>
            <w:tcBorders>
              <w:top w:val="nil"/>
              <w:left w:val="nil"/>
              <w:bottom w:val="nil"/>
              <w:right w:val="nil"/>
            </w:tcBorders>
            <w:shd w:val="clear" w:color="auto" w:fill="auto"/>
            <w:noWrap/>
            <w:vAlign w:val="bottom"/>
            <w:hideMark/>
          </w:tcPr>
          <w:p w14:paraId="3F6F4999" w14:textId="77777777" w:rsidR="00177387" w:rsidRPr="00FB249F" w:rsidRDefault="00177387" w:rsidP="00177387">
            <w:pPr>
              <w:keepNext/>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Groundwater</w:t>
            </w:r>
          </w:p>
        </w:tc>
        <w:tc>
          <w:tcPr>
            <w:tcW w:w="1219" w:type="dxa"/>
            <w:tcBorders>
              <w:top w:val="nil"/>
              <w:left w:val="nil"/>
              <w:bottom w:val="nil"/>
              <w:right w:val="nil"/>
            </w:tcBorders>
            <w:shd w:val="clear" w:color="auto" w:fill="auto"/>
            <w:noWrap/>
            <w:vAlign w:val="bottom"/>
            <w:hideMark/>
          </w:tcPr>
          <w:p w14:paraId="2B6758A3" w14:textId="77777777" w:rsidR="00177387" w:rsidRPr="00FB249F" w:rsidRDefault="00177387" w:rsidP="00177387">
            <w:pPr>
              <w:keepNext/>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Horizons</w:t>
            </w:r>
          </w:p>
        </w:tc>
        <w:tc>
          <w:tcPr>
            <w:tcW w:w="1177" w:type="dxa"/>
            <w:tcBorders>
              <w:top w:val="nil"/>
              <w:left w:val="nil"/>
              <w:bottom w:val="nil"/>
              <w:right w:val="nil"/>
            </w:tcBorders>
            <w:shd w:val="clear" w:color="auto" w:fill="auto"/>
            <w:noWrap/>
            <w:vAlign w:val="bottom"/>
            <w:hideMark/>
          </w:tcPr>
          <w:p w14:paraId="36C027D4" w14:textId="77777777" w:rsidR="00177387" w:rsidRPr="00FB249F" w:rsidRDefault="00177387" w:rsidP="00177387">
            <w:pPr>
              <w:keepNext/>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185</w:t>
            </w:r>
          </w:p>
        </w:tc>
        <w:tc>
          <w:tcPr>
            <w:tcW w:w="1380" w:type="dxa"/>
            <w:tcBorders>
              <w:top w:val="nil"/>
              <w:left w:val="nil"/>
              <w:bottom w:val="nil"/>
              <w:right w:val="nil"/>
            </w:tcBorders>
            <w:shd w:val="clear" w:color="auto" w:fill="auto"/>
            <w:noWrap/>
            <w:vAlign w:val="bottom"/>
            <w:hideMark/>
          </w:tcPr>
          <w:p w14:paraId="04C4B5DA" w14:textId="77777777" w:rsidR="00177387" w:rsidRPr="00FB249F" w:rsidRDefault="00177387" w:rsidP="00177387">
            <w:pPr>
              <w:keepNext/>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206</w:t>
            </w:r>
          </w:p>
        </w:tc>
      </w:tr>
      <w:tr w:rsidR="00177387" w:rsidRPr="00FB249F" w14:paraId="2F88D6C6" w14:textId="77777777" w:rsidTr="00C510DC">
        <w:tc>
          <w:tcPr>
            <w:tcW w:w="3101" w:type="dxa"/>
            <w:tcBorders>
              <w:top w:val="nil"/>
              <w:left w:val="nil"/>
              <w:bottom w:val="nil"/>
              <w:right w:val="nil"/>
            </w:tcBorders>
            <w:shd w:val="clear" w:color="auto" w:fill="auto"/>
            <w:noWrap/>
            <w:vAlign w:val="bottom"/>
            <w:hideMark/>
          </w:tcPr>
          <w:p w14:paraId="3B524804" w14:textId="77777777" w:rsidR="00177387" w:rsidRPr="00FB249F" w:rsidRDefault="00177387" w:rsidP="00F23144">
            <w:pPr>
              <w:spacing w:before="40" w:after="0" w:line="240" w:lineRule="auto"/>
              <w:jc w:val="right"/>
              <w:rPr>
                <w:rFonts w:eastAsia="Times New Roman" w:cs="Calibri"/>
                <w:color w:val="000000"/>
                <w:sz w:val="18"/>
                <w:szCs w:val="18"/>
              </w:rPr>
            </w:pPr>
          </w:p>
        </w:tc>
        <w:tc>
          <w:tcPr>
            <w:tcW w:w="1623" w:type="dxa"/>
            <w:tcBorders>
              <w:top w:val="nil"/>
              <w:left w:val="nil"/>
              <w:bottom w:val="nil"/>
              <w:right w:val="nil"/>
            </w:tcBorders>
            <w:shd w:val="clear" w:color="auto" w:fill="auto"/>
            <w:noWrap/>
            <w:vAlign w:val="bottom"/>
            <w:hideMark/>
          </w:tcPr>
          <w:p w14:paraId="5EA19EBD"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 xml:space="preserve">Surface water </w:t>
            </w:r>
          </w:p>
        </w:tc>
        <w:tc>
          <w:tcPr>
            <w:tcW w:w="1219" w:type="dxa"/>
            <w:tcBorders>
              <w:top w:val="nil"/>
              <w:left w:val="nil"/>
              <w:bottom w:val="nil"/>
              <w:right w:val="nil"/>
            </w:tcBorders>
            <w:shd w:val="clear" w:color="auto" w:fill="auto"/>
            <w:noWrap/>
            <w:vAlign w:val="bottom"/>
            <w:hideMark/>
          </w:tcPr>
          <w:p w14:paraId="795397F7"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GWRC</w:t>
            </w:r>
          </w:p>
        </w:tc>
        <w:tc>
          <w:tcPr>
            <w:tcW w:w="1177" w:type="dxa"/>
            <w:tcBorders>
              <w:top w:val="nil"/>
              <w:left w:val="nil"/>
              <w:bottom w:val="nil"/>
              <w:right w:val="nil"/>
            </w:tcBorders>
            <w:shd w:val="clear" w:color="auto" w:fill="auto"/>
            <w:noWrap/>
            <w:vAlign w:val="bottom"/>
            <w:hideMark/>
          </w:tcPr>
          <w:p w14:paraId="16F9E0BC"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150</w:t>
            </w:r>
          </w:p>
        </w:tc>
        <w:tc>
          <w:tcPr>
            <w:tcW w:w="1380" w:type="dxa"/>
            <w:tcBorders>
              <w:top w:val="nil"/>
              <w:left w:val="nil"/>
              <w:bottom w:val="nil"/>
              <w:right w:val="nil"/>
            </w:tcBorders>
            <w:shd w:val="clear" w:color="auto" w:fill="auto"/>
            <w:noWrap/>
            <w:vAlign w:val="bottom"/>
            <w:hideMark/>
          </w:tcPr>
          <w:p w14:paraId="0B2F4579"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124</w:t>
            </w:r>
          </w:p>
        </w:tc>
      </w:tr>
      <w:tr w:rsidR="00177387" w:rsidRPr="00FB249F" w14:paraId="3B25D8CE" w14:textId="77777777" w:rsidTr="00C510DC">
        <w:tc>
          <w:tcPr>
            <w:tcW w:w="3101" w:type="dxa"/>
            <w:tcBorders>
              <w:top w:val="nil"/>
              <w:left w:val="nil"/>
              <w:bottom w:val="single" w:sz="4" w:space="0" w:color="auto"/>
              <w:right w:val="nil"/>
            </w:tcBorders>
            <w:shd w:val="clear" w:color="auto" w:fill="auto"/>
            <w:noWrap/>
            <w:vAlign w:val="bottom"/>
            <w:hideMark/>
          </w:tcPr>
          <w:p w14:paraId="2FA43D07" w14:textId="77777777" w:rsidR="00177387" w:rsidRPr="00FB249F" w:rsidRDefault="00177387" w:rsidP="00F23144">
            <w:pPr>
              <w:spacing w:before="40" w:after="0" w:line="240" w:lineRule="auto"/>
              <w:jc w:val="right"/>
              <w:rPr>
                <w:rFonts w:eastAsia="Times New Roman" w:cs="Calibri"/>
                <w:color w:val="000000"/>
                <w:sz w:val="18"/>
                <w:szCs w:val="18"/>
              </w:rPr>
            </w:pPr>
          </w:p>
        </w:tc>
        <w:tc>
          <w:tcPr>
            <w:tcW w:w="1623" w:type="dxa"/>
            <w:tcBorders>
              <w:top w:val="nil"/>
              <w:left w:val="nil"/>
              <w:bottom w:val="single" w:sz="4" w:space="0" w:color="auto"/>
              <w:right w:val="nil"/>
            </w:tcBorders>
            <w:shd w:val="clear" w:color="auto" w:fill="auto"/>
            <w:noWrap/>
            <w:vAlign w:val="bottom"/>
            <w:hideMark/>
          </w:tcPr>
          <w:p w14:paraId="4AC5F9E1"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 xml:space="preserve">Surface water </w:t>
            </w:r>
          </w:p>
        </w:tc>
        <w:tc>
          <w:tcPr>
            <w:tcW w:w="1219" w:type="dxa"/>
            <w:tcBorders>
              <w:top w:val="nil"/>
              <w:left w:val="nil"/>
              <w:bottom w:val="single" w:sz="4" w:space="0" w:color="auto"/>
              <w:right w:val="nil"/>
            </w:tcBorders>
            <w:shd w:val="clear" w:color="auto" w:fill="auto"/>
            <w:noWrap/>
            <w:vAlign w:val="bottom"/>
            <w:hideMark/>
          </w:tcPr>
          <w:p w14:paraId="280FF964"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Horizons</w:t>
            </w:r>
          </w:p>
        </w:tc>
        <w:tc>
          <w:tcPr>
            <w:tcW w:w="1177" w:type="dxa"/>
            <w:tcBorders>
              <w:top w:val="nil"/>
              <w:left w:val="nil"/>
              <w:bottom w:val="single" w:sz="4" w:space="0" w:color="auto"/>
              <w:right w:val="nil"/>
            </w:tcBorders>
            <w:shd w:val="clear" w:color="auto" w:fill="auto"/>
            <w:noWrap/>
            <w:vAlign w:val="bottom"/>
            <w:hideMark/>
          </w:tcPr>
          <w:p w14:paraId="07DF4434"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133</w:t>
            </w:r>
          </w:p>
        </w:tc>
        <w:tc>
          <w:tcPr>
            <w:tcW w:w="1380" w:type="dxa"/>
            <w:tcBorders>
              <w:top w:val="nil"/>
              <w:left w:val="nil"/>
              <w:bottom w:val="single" w:sz="4" w:space="0" w:color="auto"/>
              <w:right w:val="nil"/>
            </w:tcBorders>
            <w:shd w:val="clear" w:color="auto" w:fill="auto"/>
            <w:noWrap/>
            <w:vAlign w:val="bottom"/>
            <w:hideMark/>
          </w:tcPr>
          <w:p w14:paraId="1B482E53"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110</w:t>
            </w:r>
          </w:p>
        </w:tc>
      </w:tr>
      <w:tr w:rsidR="00177387" w:rsidRPr="00FB249F" w14:paraId="345F4129" w14:textId="77777777" w:rsidTr="00C510DC">
        <w:tc>
          <w:tcPr>
            <w:tcW w:w="3101" w:type="dxa"/>
            <w:tcBorders>
              <w:top w:val="nil"/>
              <w:left w:val="nil"/>
              <w:right w:val="nil"/>
            </w:tcBorders>
            <w:shd w:val="clear" w:color="auto" w:fill="auto"/>
            <w:noWrap/>
            <w:vAlign w:val="bottom"/>
          </w:tcPr>
          <w:p w14:paraId="35FB2895"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Number of entries (including NA entries)</w:t>
            </w:r>
          </w:p>
        </w:tc>
        <w:tc>
          <w:tcPr>
            <w:tcW w:w="1623" w:type="dxa"/>
            <w:tcBorders>
              <w:top w:val="nil"/>
              <w:left w:val="nil"/>
              <w:right w:val="nil"/>
            </w:tcBorders>
            <w:shd w:val="clear" w:color="auto" w:fill="auto"/>
            <w:noWrap/>
            <w:vAlign w:val="bottom"/>
          </w:tcPr>
          <w:p w14:paraId="7F50BC7C" w14:textId="77777777" w:rsidR="00177387" w:rsidRPr="00FB249F" w:rsidRDefault="00177387" w:rsidP="00F23144">
            <w:pPr>
              <w:spacing w:before="40" w:after="0" w:line="240" w:lineRule="auto"/>
              <w:jc w:val="left"/>
              <w:rPr>
                <w:rFonts w:eastAsia="Times New Roman" w:cs="Calibri"/>
                <w:color w:val="000000"/>
                <w:sz w:val="18"/>
                <w:szCs w:val="18"/>
              </w:rPr>
            </w:pPr>
          </w:p>
        </w:tc>
        <w:tc>
          <w:tcPr>
            <w:tcW w:w="1219" w:type="dxa"/>
            <w:tcBorders>
              <w:top w:val="nil"/>
              <w:left w:val="nil"/>
              <w:right w:val="nil"/>
            </w:tcBorders>
            <w:shd w:val="clear" w:color="auto" w:fill="auto"/>
            <w:noWrap/>
            <w:vAlign w:val="bottom"/>
          </w:tcPr>
          <w:p w14:paraId="575BD183" w14:textId="77777777" w:rsidR="00177387" w:rsidRPr="00FB249F" w:rsidRDefault="00177387" w:rsidP="00F23144">
            <w:pPr>
              <w:spacing w:before="40" w:after="0" w:line="240" w:lineRule="auto"/>
              <w:jc w:val="left"/>
              <w:rPr>
                <w:rFonts w:eastAsia="Times New Roman" w:cs="Calibri"/>
                <w:color w:val="000000"/>
                <w:sz w:val="18"/>
                <w:szCs w:val="18"/>
              </w:rPr>
            </w:pPr>
          </w:p>
        </w:tc>
        <w:tc>
          <w:tcPr>
            <w:tcW w:w="1177" w:type="dxa"/>
            <w:tcBorders>
              <w:top w:val="nil"/>
              <w:left w:val="nil"/>
              <w:right w:val="nil"/>
            </w:tcBorders>
            <w:shd w:val="clear" w:color="auto" w:fill="auto"/>
            <w:noWrap/>
            <w:vAlign w:val="bottom"/>
          </w:tcPr>
          <w:p w14:paraId="78818127" w14:textId="77777777" w:rsidR="00177387" w:rsidRPr="00FB249F" w:rsidRDefault="00177387" w:rsidP="00F23144">
            <w:pPr>
              <w:spacing w:before="40" w:after="0" w:line="240" w:lineRule="auto"/>
              <w:jc w:val="right"/>
              <w:rPr>
                <w:rFonts w:eastAsia="Times New Roman" w:cs="Calibri"/>
                <w:color w:val="000000"/>
                <w:sz w:val="18"/>
                <w:szCs w:val="18"/>
              </w:rPr>
            </w:pPr>
          </w:p>
        </w:tc>
        <w:tc>
          <w:tcPr>
            <w:tcW w:w="1380" w:type="dxa"/>
            <w:tcBorders>
              <w:top w:val="nil"/>
              <w:left w:val="nil"/>
              <w:right w:val="nil"/>
            </w:tcBorders>
            <w:shd w:val="clear" w:color="auto" w:fill="auto"/>
            <w:noWrap/>
            <w:vAlign w:val="bottom"/>
          </w:tcPr>
          <w:p w14:paraId="1B44AAF5" w14:textId="77777777" w:rsidR="00177387" w:rsidRPr="00FB249F" w:rsidRDefault="00177387" w:rsidP="00F23144">
            <w:pPr>
              <w:spacing w:before="40" w:after="0" w:line="240" w:lineRule="auto"/>
              <w:jc w:val="right"/>
              <w:rPr>
                <w:rFonts w:eastAsia="Times New Roman" w:cs="Calibri"/>
                <w:color w:val="000000"/>
                <w:sz w:val="18"/>
                <w:szCs w:val="18"/>
              </w:rPr>
            </w:pPr>
          </w:p>
        </w:tc>
      </w:tr>
      <w:tr w:rsidR="00177387" w:rsidRPr="00FB249F" w14:paraId="6F887AE3" w14:textId="77777777" w:rsidTr="00C510DC">
        <w:tc>
          <w:tcPr>
            <w:tcW w:w="3101" w:type="dxa"/>
            <w:tcBorders>
              <w:top w:val="nil"/>
              <w:left w:val="nil"/>
              <w:right w:val="nil"/>
            </w:tcBorders>
            <w:shd w:val="clear" w:color="auto" w:fill="auto"/>
            <w:noWrap/>
            <w:vAlign w:val="bottom"/>
          </w:tcPr>
          <w:p w14:paraId="455398A9" w14:textId="77777777" w:rsidR="00177387" w:rsidRPr="00FB249F" w:rsidRDefault="00177387" w:rsidP="00F23144">
            <w:pPr>
              <w:spacing w:before="40" w:after="0" w:line="240" w:lineRule="auto"/>
              <w:jc w:val="right"/>
              <w:rPr>
                <w:rFonts w:eastAsia="Times New Roman" w:cs="Calibri"/>
                <w:color w:val="000000"/>
                <w:sz w:val="18"/>
                <w:szCs w:val="18"/>
              </w:rPr>
            </w:pPr>
          </w:p>
        </w:tc>
        <w:tc>
          <w:tcPr>
            <w:tcW w:w="1623" w:type="dxa"/>
            <w:tcBorders>
              <w:top w:val="nil"/>
              <w:left w:val="nil"/>
              <w:right w:val="nil"/>
            </w:tcBorders>
            <w:shd w:val="clear" w:color="auto" w:fill="auto"/>
            <w:noWrap/>
            <w:vAlign w:val="bottom"/>
          </w:tcPr>
          <w:p w14:paraId="33147246"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Groundwater</w:t>
            </w:r>
          </w:p>
        </w:tc>
        <w:tc>
          <w:tcPr>
            <w:tcW w:w="1219" w:type="dxa"/>
            <w:tcBorders>
              <w:top w:val="nil"/>
              <w:left w:val="nil"/>
              <w:right w:val="nil"/>
            </w:tcBorders>
            <w:shd w:val="clear" w:color="auto" w:fill="auto"/>
            <w:noWrap/>
            <w:vAlign w:val="bottom"/>
          </w:tcPr>
          <w:p w14:paraId="3270A9F8"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GWRC</w:t>
            </w:r>
          </w:p>
        </w:tc>
        <w:tc>
          <w:tcPr>
            <w:tcW w:w="1177" w:type="dxa"/>
            <w:tcBorders>
              <w:top w:val="nil"/>
              <w:left w:val="nil"/>
              <w:right w:val="nil"/>
            </w:tcBorders>
            <w:shd w:val="clear" w:color="auto" w:fill="auto"/>
            <w:noWrap/>
            <w:vAlign w:val="bottom"/>
          </w:tcPr>
          <w:p w14:paraId="27354DF6"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453054</w:t>
            </w:r>
          </w:p>
        </w:tc>
        <w:tc>
          <w:tcPr>
            <w:tcW w:w="1380" w:type="dxa"/>
            <w:tcBorders>
              <w:top w:val="nil"/>
              <w:left w:val="nil"/>
              <w:right w:val="nil"/>
            </w:tcBorders>
            <w:shd w:val="clear" w:color="auto" w:fill="auto"/>
            <w:noWrap/>
            <w:vAlign w:val="bottom"/>
          </w:tcPr>
          <w:p w14:paraId="42FC990E"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422250</w:t>
            </w:r>
          </w:p>
        </w:tc>
      </w:tr>
      <w:tr w:rsidR="00177387" w:rsidRPr="00FB249F" w14:paraId="509F4384" w14:textId="77777777" w:rsidTr="00C510DC">
        <w:tc>
          <w:tcPr>
            <w:tcW w:w="3101" w:type="dxa"/>
            <w:tcBorders>
              <w:top w:val="nil"/>
              <w:left w:val="nil"/>
              <w:right w:val="nil"/>
            </w:tcBorders>
            <w:shd w:val="clear" w:color="auto" w:fill="auto"/>
            <w:noWrap/>
            <w:vAlign w:val="bottom"/>
          </w:tcPr>
          <w:p w14:paraId="61DF3745" w14:textId="77777777" w:rsidR="00177387" w:rsidRPr="00FB249F" w:rsidRDefault="00177387" w:rsidP="00F23144">
            <w:pPr>
              <w:spacing w:before="40" w:after="0" w:line="240" w:lineRule="auto"/>
              <w:jc w:val="right"/>
              <w:rPr>
                <w:rFonts w:eastAsia="Times New Roman" w:cs="Calibri"/>
                <w:color w:val="000000"/>
                <w:sz w:val="18"/>
                <w:szCs w:val="18"/>
              </w:rPr>
            </w:pPr>
          </w:p>
        </w:tc>
        <w:tc>
          <w:tcPr>
            <w:tcW w:w="1623" w:type="dxa"/>
            <w:tcBorders>
              <w:top w:val="nil"/>
              <w:left w:val="nil"/>
              <w:right w:val="nil"/>
            </w:tcBorders>
            <w:shd w:val="clear" w:color="auto" w:fill="auto"/>
            <w:noWrap/>
            <w:vAlign w:val="bottom"/>
          </w:tcPr>
          <w:p w14:paraId="4B5845FB"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Groundwater</w:t>
            </w:r>
          </w:p>
        </w:tc>
        <w:tc>
          <w:tcPr>
            <w:tcW w:w="1219" w:type="dxa"/>
            <w:tcBorders>
              <w:top w:val="nil"/>
              <w:left w:val="nil"/>
              <w:right w:val="nil"/>
            </w:tcBorders>
            <w:shd w:val="clear" w:color="auto" w:fill="auto"/>
            <w:noWrap/>
            <w:vAlign w:val="bottom"/>
          </w:tcPr>
          <w:p w14:paraId="148187F3"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Horizons</w:t>
            </w:r>
          </w:p>
        </w:tc>
        <w:tc>
          <w:tcPr>
            <w:tcW w:w="1177" w:type="dxa"/>
            <w:tcBorders>
              <w:top w:val="nil"/>
              <w:left w:val="nil"/>
              <w:right w:val="nil"/>
            </w:tcBorders>
            <w:shd w:val="clear" w:color="auto" w:fill="auto"/>
            <w:noWrap/>
            <w:vAlign w:val="bottom"/>
          </w:tcPr>
          <w:p w14:paraId="48493FFB"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208495</w:t>
            </w:r>
          </w:p>
        </w:tc>
        <w:tc>
          <w:tcPr>
            <w:tcW w:w="1380" w:type="dxa"/>
            <w:tcBorders>
              <w:top w:val="nil"/>
              <w:left w:val="nil"/>
              <w:right w:val="nil"/>
            </w:tcBorders>
            <w:shd w:val="clear" w:color="auto" w:fill="auto"/>
            <w:noWrap/>
            <w:vAlign w:val="bottom"/>
          </w:tcPr>
          <w:p w14:paraId="3D285DB2"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231956</w:t>
            </w:r>
          </w:p>
        </w:tc>
      </w:tr>
      <w:tr w:rsidR="00177387" w:rsidRPr="00FB249F" w14:paraId="29078322" w14:textId="77777777" w:rsidTr="00C510DC">
        <w:tc>
          <w:tcPr>
            <w:tcW w:w="3101" w:type="dxa"/>
            <w:tcBorders>
              <w:top w:val="nil"/>
              <w:left w:val="nil"/>
              <w:right w:val="nil"/>
            </w:tcBorders>
            <w:shd w:val="clear" w:color="auto" w:fill="auto"/>
            <w:noWrap/>
            <w:vAlign w:val="bottom"/>
          </w:tcPr>
          <w:p w14:paraId="08EDEE3B" w14:textId="77777777" w:rsidR="00177387" w:rsidRPr="00FB249F" w:rsidRDefault="00177387" w:rsidP="00F23144">
            <w:pPr>
              <w:spacing w:before="40" w:after="0" w:line="240" w:lineRule="auto"/>
              <w:jc w:val="right"/>
              <w:rPr>
                <w:rFonts w:eastAsia="Times New Roman" w:cs="Calibri"/>
                <w:color w:val="000000"/>
                <w:sz w:val="18"/>
                <w:szCs w:val="18"/>
              </w:rPr>
            </w:pPr>
          </w:p>
        </w:tc>
        <w:tc>
          <w:tcPr>
            <w:tcW w:w="1623" w:type="dxa"/>
            <w:tcBorders>
              <w:top w:val="nil"/>
              <w:left w:val="nil"/>
              <w:right w:val="nil"/>
            </w:tcBorders>
            <w:shd w:val="clear" w:color="auto" w:fill="auto"/>
            <w:noWrap/>
            <w:vAlign w:val="bottom"/>
          </w:tcPr>
          <w:p w14:paraId="2AD907A8"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 xml:space="preserve">Surface water </w:t>
            </w:r>
          </w:p>
        </w:tc>
        <w:tc>
          <w:tcPr>
            <w:tcW w:w="1219" w:type="dxa"/>
            <w:tcBorders>
              <w:top w:val="nil"/>
              <w:left w:val="nil"/>
              <w:right w:val="nil"/>
            </w:tcBorders>
            <w:shd w:val="clear" w:color="auto" w:fill="auto"/>
            <w:noWrap/>
            <w:vAlign w:val="bottom"/>
          </w:tcPr>
          <w:p w14:paraId="630770AD"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GWRC</w:t>
            </w:r>
          </w:p>
        </w:tc>
        <w:tc>
          <w:tcPr>
            <w:tcW w:w="1177" w:type="dxa"/>
            <w:tcBorders>
              <w:top w:val="nil"/>
              <w:left w:val="nil"/>
              <w:right w:val="nil"/>
            </w:tcBorders>
            <w:shd w:val="clear" w:color="auto" w:fill="auto"/>
            <w:noWrap/>
            <w:vAlign w:val="bottom"/>
          </w:tcPr>
          <w:p w14:paraId="2F7A82FA"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169050</w:t>
            </w:r>
          </w:p>
        </w:tc>
        <w:tc>
          <w:tcPr>
            <w:tcW w:w="1380" w:type="dxa"/>
            <w:tcBorders>
              <w:top w:val="nil"/>
              <w:left w:val="nil"/>
              <w:right w:val="nil"/>
            </w:tcBorders>
            <w:shd w:val="clear" w:color="auto" w:fill="auto"/>
            <w:noWrap/>
            <w:vAlign w:val="bottom"/>
          </w:tcPr>
          <w:p w14:paraId="09FF7A67"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139624</w:t>
            </w:r>
          </w:p>
        </w:tc>
      </w:tr>
      <w:tr w:rsidR="00177387" w:rsidRPr="00FB249F" w14:paraId="4CE9FFD3" w14:textId="77777777" w:rsidTr="00C510DC">
        <w:tc>
          <w:tcPr>
            <w:tcW w:w="3101" w:type="dxa"/>
            <w:tcBorders>
              <w:left w:val="nil"/>
              <w:bottom w:val="single" w:sz="4" w:space="0" w:color="auto"/>
              <w:right w:val="nil"/>
            </w:tcBorders>
            <w:shd w:val="clear" w:color="auto" w:fill="auto"/>
            <w:noWrap/>
            <w:vAlign w:val="bottom"/>
          </w:tcPr>
          <w:p w14:paraId="203E6E4B" w14:textId="77777777" w:rsidR="00177387" w:rsidRPr="00FB249F" w:rsidRDefault="00177387" w:rsidP="00F23144">
            <w:pPr>
              <w:spacing w:before="40" w:after="0" w:line="240" w:lineRule="auto"/>
              <w:jc w:val="right"/>
              <w:rPr>
                <w:rFonts w:eastAsia="Times New Roman" w:cs="Calibri"/>
                <w:color w:val="000000"/>
                <w:sz w:val="18"/>
                <w:szCs w:val="18"/>
              </w:rPr>
            </w:pPr>
          </w:p>
        </w:tc>
        <w:tc>
          <w:tcPr>
            <w:tcW w:w="1623" w:type="dxa"/>
            <w:tcBorders>
              <w:left w:val="nil"/>
              <w:bottom w:val="single" w:sz="4" w:space="0" w:color="auto"/>
              <w:right w:val="nil"/>
            </w:tcBorders>
            <w:shd w:val="clear" w:color="auto" w:fill="auto"/>
            <w:noWrap/>
            <w:vAlign w:val="bottom"/>
          </w:tcPr>
          <w:p w14:paraId="1619FCE7"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 xml:space="preserve">Surface water </w:t>
            </w:r>
          </w:p>
        </w:tc>
        <w:tc>
          <w:tcPr>
            <w:tcW w:w="1219" w:type="dxa"/>
            <w:tcBorders>
              <w:left w:val="nil"/>
              <w:bottom w:val="single" w:sz="4" w:space="0" w:color="auto"/>
              <w:right w:val="nil"/>
            </w:tcBorders>
            <w:shd w:val="clear" w:color="auto" w:fill="auto"/>
            <w:noWrap/>
            <w:vAlign w:val="bottom"/>
          </w:tcPr>
          <w:p w14:paraId="7E07F298"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Horizons</w:t>
            </w:r>
          </w:p>
        </w:tc>
        <w:tc>
          <w:tcPr>
            <w:tcW w:w="1177" w:type="dxa"/>
            <w:tcBorders>
              <w:left w:val="nil"/>
              <w:bottom w:val="single" w:sz="4" w:space="0" w:color="auto"/>
              <w:right w:val="nil"/>
            </w:tcBorders>
            <w:shd w:val="clear" w:color="auto" w:fill="auto"/>
            <w:noWrap/>
            <w:vAlign w:val="bottom"/>
          </w:tcPr>
          <w:p w14:paraId="11F2B8C4"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149891</w:t>
            </w:r>
          </w:p>
        </w:tc>
        <w:tc>
          <w:tcPr>
            <w:tcW w:w="1380" w:type="dxa"/>
            <w:tcBorders>
              <w:left w:val="nil"/>
              <w:bottom w:val="single" w:sz="4" w:space="0" w:color="auto"/>
              <w:right w:val="nil"/>
            </w:tcBorders>
            <w:shd w:val="clear" w:color="auto" w:fill="auto"/>
            <w:noWrap/>
            <w:vAlign w:val="bottom"/>
          </w:tcPr>
          <w:p w14:paraId="27A7014F"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123860</w:t>
            </w:r>
          </w:p>
        </w:tc>
      </w:tr>
      <w:tr w:rsidR="00177387" w:rsidRPr="00FB249F" w14:paraId="4CD46838" w14:textId="77777777" w:rsidTr="00C510DC">
        <w:tc>
          <w:tcPr>
            <w:tcW w:w="3101" w:type="dxa"/>
            <w:tcBorders>
              <w:top w:val="single" w:sz="4" w:space="0" w:color="auto"/>
              <w:left w:val="nil"/>
              <w:bottom w:val="nil"/>
              <w:right w:val="nil"/>
            </w:tcBorders>
            <w:shd w:val="clear" w:color="auto" w:fill="auto"/>
            <w:noWrap/>
            <w:vAlign w:val="bottom"/>
          </w:tcPr>
          <w:p w14:paraId="48083079"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Number of negative entries before post-processing</w:t>
            </w:r>
          </w:p>
        </w:tc>
        <w:tc>
          <w:tcPr>
            <w:tcW w:w="1623" w:type="dxa"/>
            <w:tcBorders>
              <w:top w:val="single" w:sz="4" w:space="0" w:color="auto"/>
              <w:left w:val="nil"/>
              <w:bottom w:val="nil"/>
              <w:right w:val="nil"/>
            </w:tcBorders>
            <w:shd w:val="clear" w:color="auto" w:fill="auto"/>
            <w:noWrap/>
            <w:vAlign w:val="bottom"/>
          </w:tcPr>
          <w:p w14:paraId="7D385E3B" w14:textId="77777777" w:rsidR="00177387" w:rsidRPr="00FB249F" w:rsidRDefault="00177387" w:rsidP="00F23144">
            <w:pPr>
              <w:spacing w:before="40" w:after="0" w:line="240" w:lineRule="auto"/>
              <w:jc w:val="left"/>
              <w:rPr>
                <w:rFonts w:eastAsia="Times New Roman" w:cs="Calibri"/>
                <w:color w:val="000000"/>
                <w:sz w:val="18"/>
                <w:szCs w:val="18"/>
              </w:rPr>
            </w:pPr>
          </w:p>
        </w:tc>
        <w:tc>
          <w:tcPr>
            <w:tcW w:w="1219" w:type="dxa"/>
            <w:tcBorders>
              <w:top w:val="single" w:sz="4" w:space="0" w:color="auto"/>
              <w:left w:val="nil"/>
              <w:bottom w:val="nil"/>
              <w:right w:val="nil"/>
            </w:tcBorders>
            <w:shd w:val="clear" w:color="auto" w:fill="auto"/>
            <w:noWrap/>
            <w:vAlign w:val="bottom"/>
          </w:tcPr>
          <w:p w14:paraId="7683FA30" w14:textId="77777777" w:rsidR="00177387" w:rsidRPr="00FB249F" w:rsidRDefault="00177387" w:rsidP="00F23144">
            <w:pPr>
              <w:spacing w:before="40" w:after="0" w:line="240" w:lineRule="auto"/>
              <w:jc w:val="left"/>
              <w:rPr>
                <w:rFonts w:ascii="Times New Roman" w:eastAsia="Times New Roman" w:hAnsi="Times New Roman" w:cs="Times New Roman"/>
                <w:sz w:val="18"/>
                <w:szCs w:val="18"/>
              </w:rPr>
            </w:pPr>
          </w:p>
        </w:tc>
        <w:tc>
          <w:tcPr>
            <w:tcW w:w="1177" w:type="dxa"/>
            <w:tcBorders>
              <w:top w:val="single" w:sz="4" w:space="0" w:color="auto"/>
              <w:left w:val="nil"/>
              <w:bottom w:val="nil"/>
              <w:right w:val="nil"/>
            </w:tcBorders>
            <w:shd w:val="clear" w:color="auto" w:fill="auto"/>
            <w:noWrap/>
            <w:vAlign w:val="bottom"/>
          </w:tcPr>
          <w:p w14:paraId="4021EDE9" w14:textId="77777777" w:rsidR="00177387" w:rsidRPr="00FB249F" w:rsidRDefault="00177387" w:rsidP="00F23144">
            <w:pPr>
              <w:spacing w:before="40" w:after="0" w:line="240" w:lineRule="auto"/>
              <w:jc w:val="left"/>
              <w:rPr>
                <w:rFonts w:ascii="Times New Roman" w:eastAsia="Times New Roman" w:hAnsi="Times New Roman" w:cs="Times New Roman"/>
                <w:sz w:val="18"/>
                <w:szCs w:val="18"/>
              </w:rPr>
            </w:pPr>
          </w:p>
        </w:tc>
        <w:tc>
          <w:tcPr>
            <w:tcW w:w="1380" w:type="dxa"/>
            <w:tcBorders>
              <w:top w:val="single" w:sz="4" w:space="0" w:color="auto"/>
              <w:left w:val="nil"/>
              <w:bottom w:val="nil"/>
              <w:right w:val="nil"/>
            </w:tcBorders>
            <w:shd w:val="clear" w:color="auto" w:fill="auto"/>
            <w:noWrap/>
            <w:vAlign w:val="bottom"/>
          </w:tcPr>
          <w:p w14:paraId="70B0E1D4" w14:textId="77777777" w:rsidR="00177387" w:rsidRPr="00FB249F" w:rsidRDefault="00177387" w:rsidP="00F23144">
            <w:pPr>
              <w:spacing w:before="40" w:after="0" w:line="240" w:lineRule="auto"/>
              <w:jc w:val="left"/>
              <w:rPr>
                <w:rFonts w:ascii="Times New Roman" w:eastAsia="Times New Roman" w:hAnsi="Times New Roman" w:cs="Times New Roman"/>
                <w:sz w:val="18"/>
                <w:szCs w:val="18"/>
              </w:rPr>
            </w:pPr>
          </w:p>
        </w:tc>
      </w:tr>
      <w:tr w:rsidR="00177387" w:rsidRPr="00FB249F" w14:paraId="4858CA1E" w14:textId="77777777" w:rsidTr="00C510DC">
        <w:tc>
          <w:tcPr>
            <w:tcW w:w="3101" w:type="dxa"/>
            <w:tcBorders>
              <w:top w:val="nil"/>
              <w:left w:val="nil"/>
              <w:bottom w:val="nil"/>
              <w:right w:val="nil"/>
            </w:tcBorders>
            <w:shd w:val="clear" w:color="auto" w:fill="auto"/>
            <w:noWrap/>
            <w:vAlign w:val="bottom"/>
          </w:tcPr>
          <w:p w14:paraId="0BAEFCE5" w14:textId="77777777" w:rsidR="00177387" w:rsidRPr="00FB249F" w:rsidRDefault="00177387" w:rsidP="00F23144">
            <w:pPr>
              <w:spacing w:before="40" w:after="0" w:line="240" w:lineRule="auto"/>
              <w:jc w:val="left"/>
              <w:rPr>
                <w:rFonts w:ascii="Times New Roman" w:eastAsia="Times New Roman" w:hAnsi="Times New Roman" w:cs="Times New Roman"/>
                <w:sz w:val="18"/>
                <w:szCs w:val="18"/>
              </w:rPr>
            </w:pPr>
          </w:p>
        </w:tc>
        <w:tc>
          <w:tcPr>
            <w:tcW w:w="1623" w:type="dxa"/>
            <w:tcBorders>
              <w:top w:val="nil"/>
              <w:left w:val="nil"/>
              <w:bottom w:val="nil"/>
              <w:right w:val="nil"/>
            </w:tcBorders>
            <w:shd w:val="clear" w:color="auto" w:fill="auto"/>
            <w:noWrap/>
            <w:vAlign w:val="bottom"/>
          </w:tcPr>
          <w:p w14:paraId="53289AC8"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Groundwater</w:t>
            </w:r>
          </w:p>
        </w:tc>
        <w:tc>
          <w:tcPr>
            <w:tcW w:w="1219" w:type="dxa"/>
            <w:tcBorders>
              <w:top w:val="nil"/>
              <w:left w:val="nil"/>
              <w:bottom w:val="nil"/>
              <w:right w:val="nil"/>
            </w:tcBorders>
            <w:shd w:val="clear" w:color="auto" w:fill="auto"/>
            <w:noWrap/>
            <w:vAlign w:val="bottom"/>
          </w:tcPr>
          <w:p w14:paraId="57C6D055"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GWRC</w:t>
            </w:r>
          </w:p>
        </w:tc>
        <w:tc>
          <w:tcPr>
            <w:tcW w:w="1177" w:type="dxa"/>
            <w:tcBorders>
              <w:top w:val="nil"/>
              <w:left w:val="nil"/>
              <w:bottom w:val="nil"/>
              <w:right w:val="nil"/>
            </w:tcBorders>
            <w:shd w:val="clear" w:color="auto" w:fill="auto"/>
            <w:noWrap/>
            <w:vAlign w:val="bottom"/>
          </w:tcPr>
          <w:p w14:paraId="01333961"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4749</w:t>
            </w:r>
          </w:p>
        </w:tc>
        <w:tc>
          <w:tcPr>
            <w:tcW w:w="1380" w:type="dxa"/>
            <w:tcBorders>
              <w:top w:val="nil"/>
              <w:left w:val="nil"/>
              <w:bottom w:val="nil"/>
              <w:right w:val="nil"/>
            </w:tcBorders>
            <w:shd w:val="clear" w:color="auto" w:fill="auto"/>
            <w:noWrap/>
            <w:vAlign w:val="bottom"/>
          </w:tcPr>
          <w:p w14:paraId="252CF251"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188</w:t>
            </w:r>
          </w:p>
        </w:tc>
      </w:tr>
      <w:tr w:rsidR="00177387" w:rsidRPr="00FB249F" w14:paraId="34D66BA0" w14:textId="77777777" w:rsidTr="00C510DC">
        <w:tc>
          <w:tcPr>
            <w:tcW w:w="3101" w:type="dxa"/>
            <w:tcBorders>
              <w:top w:val="nil"/>
              <w:left w:val="nil"/>
              <w:bottom w:val="nil"/>
              <w:right w:val="nil"/>
            </w:tcBorders>
            <w:shd w:val="clear" w:color="auto" w:fill="auto"/>
            <w:noWrap/>
            <w:vAlign w:val="bottom"/>
          </w:tcPr>
          <w:p w14:paraId="114ECB30" w14:textId="77777777" w:rsidR="00177387" w:rsidRPr="00FB249F" w:rsidRDefault="00177387" w:rsidP="00F23144">
            <w:pPr>
              <w:spacing w:before="40" w:after="0" w:line="240" w:lineRule="auto"/>
              <w:jc w:val="right"/>
              <w:rPr>
                <w:rFonts w:eastAsia="Times New Roman" w:cs="Calibri"/>
                <w:color w:val="000000"/>
                <w:sz w:val="18"/>
                <w:szCs w:val="18"/>
              </w:rPr>
            </w:pPr>
          </w:p>
        </w:tc>
        <w:tc>
          <w:tcPr>
            <w:tcW w:w="1623" w:type="dxa"/>
            <w:tcBorders>
              <w:top w:val="nil"/>
              <w:left w:val="nil"/>
              <w:bottom w:val="nil"/>
              <w:right w:val="nil"/>
            </w:tcBorders>
            <w:shd w:val="clear" w:color="auto" w:fill="auto"/>
            <w:noWrap/>
            <w:vAlign w:val="bottom"/>
          </w:tcPr>
          <w:p w14:paraId="16D5A9FC"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Groundwater</w:t>
            </w:r>
          </w:p>
        </w:tc>
        <w:tc>
          <w:tcPr>
            <w:tcW w:w="1219" w:type="dxa"/>
            <w:tcBorders>
              <w:top w:val="nil"/>
              <w:left w:val="nil"/>
              <w:bottom w:val="nil"/>
              <w:right w:val="nil"/>
            </w:tcBorders>
            <w:shd w:val="clear" w:color="auto" w:fill="auto"/>
            <w:noWrap/>
            <w:vAlign w:val="bottom"/>
          </w:tcPr>
          <w:p w14:paraId="1DE6EF35"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Horizons</w:t>
            </w:r>
          </w:p>
        </w:tc>
        <w:tc>
          <w:tcPr>
            <w:tcW w:w="1177" w:type="dxa"/>
            <w:tcBorders>
              <w:top w:val="nil"/>
              <w:left w:val="nil"/>
              <w:bottom w:val="nil"/>
              <w:right w:val="nil"/>
            </w:tcBorders>
            <w:shd w:val="clear" w:color="auto" w:fill="auto"/>
            <w:noWrap/>
            <w:vAlign w:val="bottom"/>
          </w:tcPr>
          <w:p w14:paraId="3F7382BF"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3</w:t>
            </w:r>
          </w:p>
        </w:tc>
        <w:tc>
          <w:tcPr>
            <w:tcW w:w="1380" w:type="dxa"/>
            <w:tcBorders>
              <w:top w:val="nil"/>
              <w:left w:val="nil"/>
              <w:bottom w:val="nil"/>
              <w:right w:val="nil"/>
            </w:tcBorders>
            <w:shd w:val="clear" w:color="auto" w:fill="auto"/>
            <w:noWrap/>
            <w:vAlign w:val="bottom"/>
          </w:tcPr>
          <w:p w14:paraId="4D6B9F98"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3</w:t>
            </w:r>
          </w:p>
        </w:tc>
      </w:tr>
      <w:tr w:rsidR="00177387" w:rsidRPr="00FB249F" w14:paraId="0509CD51" w14:textId="77777777" w:rsidTr="00C510DC">
        <w:tc>
          <w:tcPr>
            <w:tcW w:w="3101" w:type="dxa"/>
            <w:tcBorders>
              <w:top w:val="nil"/>
              <w:left w:val="nil"/>
              <w:bottom w:val="nil"/>
              <w:right w:val="nil"/>
            </w:tcBorders>
            <w:shd w:val="clear" w:color="auto" w:fill="auto"/>
            <w:noWrap/>
            <w:vAlign w:val="bottom"/>
          </w:tcPr>
          <w:p w14:paraId="20EBB810" w14:textId="77777777" w:rsidR="00177387" w:rsidRPr="00FB249F" w:rsidRDefault="00177387" w:rsidP="00F23144">
            <w:pPr>
              <w:spacing w:before="40" w:after="0" w:line="240" w:lineRule="auto"/>
              <w:jc w:val="right"/>
              <w:rPr>
                <w:rFonts w:eastAsia="Times New Roman" w:cs="Calibri"/>
                <w:color w:val="000000"/>
                <w:sz w:val="18"/>
                <w:szCs w:val="18"/>
              </w:rPr>
            </w:pPr>
          </w:p>
        </w:tc>
        <w:tc>
          <w:tcPr>
            <w:tcW w:w="1623" w:type="dxa"/>
            <w:tcBorders>
              <w:top w:val="nil"/>
              <w:left w:val="nil"/>
              <w:bottom w:val="nil"/>
              <w:right w:val="nil"/>
            </w:tcBorders>
            <w:shd w:val="clear" w:color="auto" w:fill="auto"/>
            <w:noWrap/>
            <w:vAlign w:val="bottom"/>
          </w:tcPr>
          <w:p w14:paraId="0E00F69D"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 xml:space="preserve">Surface water </w:t>
            </w:r>
          </w:p>
        </w:tc>
        <w:tc>
          <w:tcPr>
            <w:tcW w:w="1219" w:type="dxa"/>
            <w:tcBorders>
              <w:top w:val="nil"/>
              <w:left w:val="nil"/>
              <w:bottom w:val="nil"/>
              <w:right w:val="nil"/>
            </w:tcBorders>
            <w:shd w:val="clear" w:color="auto" w:fill="auto"/>
            <w:noWrap/>
            <w:vAlign w:val="bottom"/>
          </w:tcPr>
          <w:p w14:paraId="56018C5F"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GWRC</w:t>
            </w:r>
          </w:p>
        </w:tc>
        <w:tc>
          <w:tcPr>
            <w:tcW w:w="1177" w:type="dxa"/>
            <w:tcBorders>
              <w:top w:val="nil"/>
              <w:left w:val="nil"/>
              <w:bottom w:val="nil"/>
              <w:right w:val="nil"/>
            </w:tcBorders>
            <w:shd w:val="clear" w:color="auto" w:fill="auto"/>
            <w:noWrap/>
            <w:vAlign w:val="bottom"/>
          </w:tcPr>
          <w:p w14:paraId="14730037"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2371</w:t>
            </w:r>
          </w:p>
        </w:tc>
        <w:tc>
          <w:tcPr>
            <w:tcW w:w="1380" w:type="dxa"/>
            <w:tcBorders>
              <w:top w:val="nil"/>
              <w:left w:val="nil"/>
              <w:bottom w:val="nil"/>
              <w:right w:val="nil"/>
            </w:tcBorders>
            <w:shd w:val="clear" w:color="auto" w:fill="auto"/>
            <w:noWrap/>
            <w:vAlign w:val="bottom"/>
          </w:tcPr>
          <w:p w14:paraId="1ADC0072"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35</w:t>
            </w:r>
          </w:p>
        </w:tc>
      </w:tr>
      <w:tr w:rsidR="00177387" w:rsidRPr="00FB249F" w14:paraId="093D2FA1" w14:textId="77777777" w:rsidTr="00C510DC">
        <w:tc>
          <w:tcPr>
            <w:tcW w:w="3101" w:type="dxa"/>
            <w:tcBorders>
              <w:top w:val="nil"/>
              <w:left w:val="nil"/>
              <w:bottom w:val="single" w:sz="4" w:space="0" w:color="auto"/>
              <w:right w:val="nil"/>
            </w:tcBorders>
            <w:shd w:val="clear" w:color="auto" w:fill="auto"/>
            <w:noWrap/>
            <w:vAlign w:val="bottom"/>
          </w:tcPr>
          <w:p w14:paraId="64163CDE" w14:textId="77777777" w:rsidR="00177387" w:rsidRPr="00FB249F" w:rsidRDefault="00177387" w:rsidP="00F23144">
            <w:pPr>
              <w:spacing w:before="40" w:after="0" w:line="240" w:lineRule="auto"/>
              <w:jc w:val="right"/>
              <w:rPr>
                <w:rFonts w:eastAsia="Times New Roman" w:cs="Calibri"/>
                <w:color w:val="000000"/>
                <w:sz w:val="18"/>
                <w:szCs w:val="18"/>
              </w:rPr>
            </w:pPr>
          </w:p>
        </w:tc>
        <w:tc>
          <w:tcPr>
            <w:tcW w:w="1623" w:type="dxa"/>
            <w:tcBorders>
              <w:top w:val="nil"/>
              <w:left w:val="nil"/>
              <w:bottom w:val="single" w:sz="4" w:space="0" w:color="auto"/>
              <w:right w:val="nil"/>
            </w:tcBorders>
            <w:shd w:val="clear" w:color="auto" w:fill="auto"/>
            <w:noWrap/>
            <w:vAlign w:val="bottom"/>
          </w:tcPr>
          <w:p w14:paraId="442A0370"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 xml:space="preserve">Surface water </w:t>
            </w:r>
          </w:p>
        </w:tc>
        <w:tc>
          <w:tcPr>
            <w:tcW w:w="1219" w:type="dxa"/>
            <w:tcBorders>
              <w:top w:val="nil"/>
              <w:left w:val="nil"/>
              <w:bottom w:val="single" w:sz="4" w:space="0" w:color="auto"/>
              <w:right w:val="nil"/>
            </w:tcBorders>
            <w:shd w:val="clear" w:color="auto" w:fill="auto"/>
            <w:noWrap/>
            <w:vAlign w:val="bottom"/>
          </w:tcPr>
          <w:p w14:paraId="1AD2C405"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Horizons</w:t>
            </w:r>
          </w:p>
        </w:tc>
        <w:tc>
          <w:tcPr>
            <w:tcW w:w="1177" w:type="dxa"/>
            <w:tcBorders>
              <w:top w:val="nil"/>
              <w:left w:val="nil"/>
              <w:bottom w:val="single" w:sz="4" w:space="0" w:color="auto"/>
              <w:right w:val="nil"/>
            </w:tcBorders>
            <w:shd w:val="clear" w:color="auto" w:fill="auto"/>
            <w:noWrap/>
            <w:vAlign w:val="bottom"/>
          </w:tcPr>
          <w:p w14:paraId="22B6AF9C"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0</w:t>
            </w:r>
          </w:p>
        </w:tc>
        <w:tc>
          <w:tcPr>
            <w:tcW w:w="1380" w:type="dxa"/>
            <w:tcBorders>
              <w:top w:val="nil"/>
              <w:left w:val="nil"/>
              <w:bottom w:val="single" w:sz="4" w:space="0" w:color="auto"/>
              <w:right w:val="nil"/>
            </w:tcBorders>
            <w:shd w:val="clear" w:color="auto" w:fill="auto"/>
            <w:noWrap/>
            <w:vAlign w:val="bottom"/>
          </w:tcPr>
          <w:p w14:paraId="557BCB90"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1</w:t>
            </w:r>
          </w:p>
        </w:tc>
      </w:tr>
      <w:tr w:rsidR="00177387" w:rsidRPr="00FB249F" w14:paraId="1CB2500B" w14:textId="77777777" w:rsidTr="00C510DC">
        <w:tc>
          <w:tcPr>
            <w:tcW w:w="3101" w:type="dxa"/>
            <w:tcBorders>
              <w:top w:val="single" w:sz="4" w:space="0" w:color="auto"/>
              <w:left w:val="nil"/>
              <w:bottom w:val="nil"/>
              <w:right w:val="nil"/>
            </w:tcBorders>
            <w:shd w:val="clear" w:color="auto" w:fill="auto"/>
            <w:noWrap/>
            <w:vAlign w:val="bottom"/>
          </w:tcPr>
          <w:p w14:paraId="0B58DE93"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Percent legitimate (non-NA) entries after post-processing (%)</w:t>
            </w:r>
          </w:p>
        </w:tc>
        <w:tc>
          <w:tcPr>
            <w:tcW w:w="1623" w:type="dxa"/>
            <w:tcBorders>
              <w:top w:val="single" w:sz="4" w:space="0" w:color="auto"/>
              <w:left w:val="nil"/>
              <w:bottom w:val="nil"/>
              <w:right w:val="nil"/>
            </w:tcBorders>
            <w:shd w:val="clear" w:color="auto" w:fill="auto"/>
            <w:noWrap/>
            <w:vAlign w:val="bottom"/>
          </w:tcPr>
          <w:p w14:paraId="6B5F71E2" w14:textId="77777777" w:rsidR="00177387" w:rsidRPr="00FB249F" w:rsidRDefault="00177387" w:rsidP="00F23144">
            <w:pPr>
              <w:spacing w:before="40" w:after="0" w:line="240" w:lineRule="auto"/>
              <w:jc w:val="left"/>
              <w:rPr>
                <w:rFonts w:eastAsia="Times New Roman" w:cs="Calibri"/>
                <w:color w:val="000000"/>
                <w:sz w:val="18"/>
                <w:szCs w:val="18"/>
              </w:rPr>
            </w:pPr>
          </w:p>
        </w:tc>
        <w:tc>
          <w:tcPr>
            <w:tcW w:w="1219" w:type="dxa"/>
            <w:tcBorders>
              <w:top w:val="single" w:sz="4" w:space="0" w:color="auto"/>
              <w:left w:val="nil"/>
              <w:bottom w:val="nil"/>
              <w:right w:val="nil"/>
            </w:tcBorders>
            <w:shd w:val="clear" w:color="auto" w:fill="auto"/>
            <w:noWrap/>
            <w:vAlign w:val="bottom"/>
          </w:tcPr>
          <w:p w14:paraId="47A0EC0E" w14:textId="77777777" w:rsidR="00177387" w:rsidRPr="00FB249F" w:rsidRDefault="00177387" w:rsidP="00F23144">
            <w:pPr>
              <w:spacing w:before="40" w:after="0" w:line="240" w:lineRule="auto"/>
              <w:jc w:val="left"/>
              <w:rPr>
                <w:rFonts w:ascii="Times New Roman" w:eastAsia="Times New Roman" w:hAnsi="Times New Roman" w:cs="Times New Roman"/>
                <w:sz w:val="18"/>
                <w:szCs w:val="18"/>
              </w:rPr>
            </w:pPr>
          </w:p>
        </w:tc>
        <w:tc>
          <w:tcPr>
            <w:tcW w:w="1177" w:type="dxa"/>
            <w:tcBorders>
              <w:top w:val="single" w:sz="4" w:space="0" w:color="auto"/>
              <w:left w:val="nil"/>
              <w:bottom w:val="nil"/>
              <w:right w:val="nil"/>
            </w:tcBorders>
            <w:shd w:val="clear" w:color="auto" w:fill="auto"/>
            <w:noWrap/>
            <w:vAlign w:val="bottom"/>
          </w:tcPr>
          <w:p w14:paraId="038C9FCB" w14:textId="77777777" w:rsidR="00177387" w:rsidRPr="00FB249F" w:rsidRDefault="00177387" w:rsidP="00F23144">
            <w:pPr>
              <w:spacing w:before="40" w:after="0" w:line="240" w:lineRule="auto"/>
              <w:jc w:val="left"/>
              <w:rPr>
                <w:rFonts w:ascii="Times New Roman" w:eastAsia="Times New Roman" w:hAnsi="Times New Roman" w:cs="Times New Roman"/>
                <w:sz w:val="18"/>
                <w:szCs w:val="18"/>
              </w:rPr>
            </w:pPr>
          </w:p>
        </w:tc>
        <w:tc>
          <w:tcPr>
            <w:tcW w:w="1380" w:type="dxa"/>
            <w:tcBorders>
              <w:top w:val="single" w:sz="4" w:space="0" w:color="auto"/>
              <w:left w:val="nil"/>
              <w:bottom w:val="nil"/>
              <w:right w:val="nil"/>
            </w:tcBorders>
            <w:shd w:val="clear" w:color="auto" w:fill="auto"/>
            <w:noWrap/>
            <w:vAlign w:val="bottom"/>
          </w:tcPr>
          <w:p w14:paraId="44DAE5E5" w14:textId="77777777" w:rsidR="00177387" w:rsidRPr="00FB249F" w:rsidRDefault="00177387" w:rsidP="00F23144">
            <w:pPr>
              <w:spacing w:before="40" w:after="0" w:line="240" w:lineRule="auto"/>
              <w:jc w:val="left"/>
              <w:rPr>
                <w:rFonts w:ascii="Times New Roman" w:eastAsia="Times New Roman" w:hAnsi="Times New Roman" w:cs="Times New Roman"/>
                <w:sz w:val="18"/>
                <w:szCs w:val="18"/>
              </w:rPr>
            </w:pPr>
          </w:p>
        </w:tc>
      </w:tr>
      <w:tr w:rsidR="00177387" w:rsidRPr="00FB249F" w14:paraId="18C72669" w14:textId="77777777" w:rsidTr="00C510DC">
        <w:tc>
          <w:tcPr>
            <w:tcW w:w="3101" w:type="dxa"/>
            <w:tcBorders>
              <w:top w:val="nil"/>
              <w:left w:val="nil"/>
              <w:bottom w:val="nil"/>
              <w:right w:val="nil"/>
            </w:tcBorders>
            <w:shd w:val="clear" w:color="auto" w:fill="auto"/>
            <w:noWrap/>
            <w:vAlign w:val="bottom"/>
          </w:tcPr>
          <w:p w14:paraId="7FB58544" w14:textId="77777777" w:rsidR="00177387" w:rsidRPr="00FB249F" w:rsidRDefault="00177387" w:rsidP="00F23144">
            <w:pPr>
              <w:spacing w:before="40" w:after="0" w:line="240" w:lineRule="auto"/>
              <w:jc w:val="left"/>
              <w:rPr>
                <w:rFonts w:eastAsia="Times New Roman" w:cs="Calibri"/>
                <w:color w:val="000000"/>
                <w:sz w:val="18"/>
                <w:szCs w:val="18"/>
              </w:rPr>
            </w:pPr>
          </w:p>
        </w:tc>
        <w:tc>
          <w:tcPr>
            <w:tcW w:w="1623" w:type="dxa"/>
            <w:tcBorders>
              <w:top w:val="nil"/>
              <w:left w:val="nil"/>
              <w:bottom w:val="nil"/>
              <w:right w:val="nil"/>
            </w:tcBorders>
            <w:shd w:val="clear" w:color="auto" w:fill="auto"/>
            <w:noWrap/>
            <w:vAlign w:val="bottom"/>
          </w:tcPr>
          <w:p w14:paraId="71C688A5"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Groundwater</w:t>
            </w:r>
          </w:p>
        </w:tc>
        <w:tc>
          <w:tcPr>
            <w:tcW w:w="1219" w:type="dxa"/>
            <w:tcBorders>
              <w:top w:val="nil"/>
              <w:left w:val="nil"/>
              <w:bottom w:val="nil"/>
              <w:right w:val="nil"/>
            </w:tcBorders>
            <w:shd w:val="clear" w:color="auto" w:fill="auto"/>
            <w:noWrap/>
            <w:vAlign w:val="bottom"/>
          </w:tcPr>
          <w:p w14:paraId="68752763"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GWRC</w:t>
            </w:r>
          </w:p>
        </w:tc>
        <w:tc>
          <w:tcPr>
            <w:tcW w:w="1177" w:type="dxa"/>
            <w:tcBorders>
              <w:top w:val="nil"/>
              <w:left w:val="nil"/>
              <w:bottom w:val="nil"/>
              <w:right w:val="nil"/>
            </w:tcBorders>
            <w:shd w:val="clear" w:color="auto" w:fill="auto"/>
            <w:noWrap/>
            <w:vAlign w:val="bottom"/>
          </w:tcPr>
          <w:p w14:paraId="7174EE22"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71</w:t>
            </w:r>
          </w:p>
        </w:tc>
        <w:tc>
          <w:tcPr>
            <w:tcW w:w="1380" w:type="dxa"/>
            <w:tcBorders>
              <w:top w:val="nil"/>
              <w:left w:val="nil"/>
              <w:bottom w:val="nil"/>
              <w:right w:val="nil"/>
            </w:tcBorders>
            <w:shd w:val="clear" w:color="auto" w:fill="auto"/>
            <w:noWrap/>
            <w:vAlign w:val="bottom"/>
          </w:tcPr>
          <w:p w14:paraId="2DE08125"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87</w:t>
            </w:r>
          </w:p>
        </w:tc>
      </w:tr>
      <w:tr w:rsidR="00177387" w:rsidRPr="00FB249F" w14:paraId="7263C7D1" w14:textId="77777777" w:rsidTr="00C510DC">
        <w:tc>
          <w:tcPr>
            <w:tcW w:w="3101" w:type="dxa"/>
            <w:tcBorders>
              <w:top w:val="nil"/>
              <w:left w:val="nil"/>
              <w:bottom w:val="nil"/>
              <w:right w:val="nil"/>
            </w:tcBorders>
            <w:shd w:val="clear" w:color="auto" w:fill="auto"/>
            <w:noWrap/>
            <w:vAlign w:val="bottom"/>
          </w:tcPr>
          <w:p w14:paraId="2B1945F0" w14:textId="77777777" w:rsidR="00177387" w:rsidRPr="00FB249F" w:rsidRDefault="00177387" w:rsidP="00F23144">
            <w:pPr>
              <w:spacing w:before="40" w:after="0" w:line="240" w:lineRule="auto"/>
              <w:jc w:val="left"/>
              <w:rPr>
                <w:rFonts w:eastAsia="Times New Roman" w:cs="Calibri"/>
                <w:color w:val="000000"/>
                <w:sz w:val="18"/>
                <w:szCs w:val="18"/>
              </w:rPr>
            </w:pPr>
          </w:p>
        </w:tc>
        <w:tc>
          <w:tcPr>
            <w:tcW w:w="1623" w:type="dxa"/>
            <w:tcBorders>
              <w:top w:val="nil"/>
              <w:left w:val="nil"/>
              <w:bottom w:val="nil"/>
              <w:right w:val="nil"/>
            </w:tcBorders>
            <w:shd w:val="clear" w:color="auto" w:fill="auto"/>
            <w:noWrap/>
            <w:vAlign w:val="bottom"/>
          </w:tcPr>
          <w:p w14:paraId="039CE015"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Groundwater</w:t>
            </w:r>
          </w:p>
        </w:tc>
        <w:tc>
          <w:tcPr>
            <w:tcW w:w="1219" w:type="dxa"/>
            <w:tcBorders>
              <w:top w:val="nil"/>
              <w:left w:val="nil"/>
              <w:bottom w:val="nil"/>
              <w:right w:val="nil"/>
            </w:tcBorders>
            <w:shd w:val="clear" w:color="auto" w:fill="auto"/>
            <w:noWrap/>
            <w:vAlign w:val="bottom"/>
          </w:tcPr>
          <w:p w14:paraId="344D3B94"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Horizons</w:t>
            </w:r>
          </w:p>
        </w:tc>
        <w:tc>
          <w:tcPr>
            <w:tcW w:w="1177" w:type="dxa"/>
            <w:tcBorders>
              <w:top w:val="nil"/>
              <w:left w:val="nil"/>
              <w:bottom w:val="nil"/>
              <w:right w:val="nil"/>
            </w:tcBorders>
            <w:shd w:val="clear" w:color="auto" w:fill="auto"/>
            <w:noWrap/>
            <w:vAlign w:val="bottom"/>
          </w:tcPr>
          <w:p w14:paraId="11F36E37"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93</w:t>
            </w:r>
          </w:p>
        </w:tc>
        <w:tc>
          <w:tcPr>
            <w:tcW w:w="1380" w:type="dxa"/>
            <w:tcBorders>
              <w:top w:val="nil"/>
              <w:left w:val="nil"/>
              <w:bottom w:val="nil"/>
              <w:right w:val="nil"/>
            </w:tcBorders>
            <w:shd w:val="clear" w:color="auto" w:fill="auto"/>
            <w:noWrap/>
            <w:vAlign w:val="bottom"/>
          </w:tcPr>
          <w:p w14:paraId="42D7F877"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85</w:t>
            </w:r>
          </w:p>
        </w:tc>
      </w:tr>
      <w:tr w:rsidR="00177387" w:rsidRPr="00FB249F" w14:paraId="6E0C54A4" w14:textId="77777777" w:rsidTr="00C510DC">
        <w:tc>
          <w:tcPr>
            <w:tcW w:w="3101" w:type="dxa"/>
            <w:tcBorders>
              <w:top w:val="nil"/>
              <w:left w:val="nil"/>
              <w:right w:val="nil"/>
            </w:tcBorders>
            <w:shd w:val="clear" w:color="auto" w:fill="auto"/>
            <w:noWrap/>
            <w:vAlign w:val="bottom"/>
          </w:tcPr>
          <w:p w14:paraId="78F58DEA" w14:textId="77777777" w:rsidR="00177387" w:rsidRPr="00FB249F" w:rsidRDefault="00177387" w:rsidP="00F23144">
            <w:pPr>
              <w:spacing w:before="40" w:after="0" w:line="240" w:lineRule="auto"/>
              <w:jc w:val="left"/>
              <w:rPr>
                <w:rFonts w:eastAsia="Times New Roman" w:cs="Calibri"/>
                <w:color w:val="000000"/>
                <w:sz w:val="18"/>
                <w:szCs w:val="18"/>
              </w:rPr>
            </w:pPr>
          </w:p>
        </w:tc>
        <w:tc>
          <w:tcPr>
            <w:tcW w:w="1623" w:type="dxa"/>
            <w:tcBorders>
              <w:top w:val="nil"/>
              <w:left w:val="nil"/>
              <w:right w:val="nil"/>
            </w:tcBorders>
            <w:shd w:val="clear" w:color="auto" w:fill="auto"/>
            <w:noWrap/>
            <w:vAlign w:val="bottom"/>
          </w:tcPr>
          <w:p w14:paraId="7F5246E9"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 xml:space="preserve">Surface water </w:t>
            </w:r>
          </w:p>
        </w:tc>
        <w:tc>
          <w:tcPr>
            <w:tcW w:w="1219" w:type="dxa"/>
            <w:tcBorders>
              <w:top w:val="nil"/>
              <w:left w:val="nil"/>
              <w:right w:val="nil"/>
            </w:tcBorders>
            <w:shd w:val="clear" w:color="auto" w:fill="auto"/>
            <w:noWrap/>
            <w:vAlign w:val="bottom"/>
          </w:tcPr>
          <w:p w14:paraId="1277510F"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GWRC</w:t>
            </w:r>
          </w:p>
        </w:tc>
        <w:tc>
          <w:tcPr>
            <w:tcW w:w="1177" w:type="dxa"/>
            <w:tcBorders>
              <w:top w:val="nil"/>
              <w:left w:val="nil"/>
              <w:right w:val="nil"/>
            </w:tcBorders>
            <w:shd w:val="clear" w:color="auto" w:fill="auto"/>
            <w:noWrap/>
            <w:vAlign w:val="bottom"/>
          </w:tcPr>
          <w:p w14:paraId="066D5C08"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72</w:t>
            </w:r>
          </w:p>
        </w:tc>
        <w:tc>
          <w:tcPr>
            <w:tcW w:w="1380" w:type="dxa"/>
            <w:tcBorders>
              <w:top w:val="nil"/>
              <w:left w:val="nil"/>
              <w:right w:val="nil"/>
            </w:tcBorders>
            <w:shd w:val="clear" w:color="auto" w:fill="auto"/>
            <w:noWrap/>
            <w:vAlign w:val="bottom"/>
          </w:tcPr>
          <w:p w14:paraId="2C705F7F"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91</w:t>
            </w:r>
          </w:p>
        </w:tc>
      </w:tr>
      <w:tr w:rsidR="00177387" w:rsidRPr="00FB249F" w14:paraId="5B4A62FD" w14:textId="77777777" w:rsidTr="00C510DC">
        <w:tc>
          <w:tcPr>
            <w:tcW w:w="3101" w:type="dxa"/>
            <w:tcBorders>
              <w:top w:val="nil"/>
              <w:left w:val="nil"/>
              <w:bottom w:val="single" w:sz="4" w:space="0" w:color="auto"/>
              <w:right w:val="nil"/>
            </w:tcBorders>
            <w:shd w:val="clear" w:color="auto" w:fill="auto"/>
            <w:noWrap/>
            <w:vAlign w:val="bottom"/>
          </w:tcPr>
          <w:p w14:paraId="6A17F8AF" w14:textId="77777777" w:rsidR="00177387" w:rsidRPr="00FB249F" w:rsidRDefault="00177387" w:rsidP="00F23144">
            <w:pPr>
              <w:spacing w:before="40" w:after="0" w:line="240" w:lineRule="auto"/>
              <w:jc w:val="left"/>
              <w:rPr>
                <w:rFonts w:eastAsia="Times New Roman" w:cs="Calibri"/>
                <w:color w:val="000000"/>
                <w:sz w:val="18"/>
                <w:szCs w:val="18"/>
              </w:rPr>
            </w:pPr>
          </w:p>
        </w:tc>
        <w:tc>
          <w:tcPr>
            <w:tcW w:w="1623" w:type="dxa"/>
            <w:tcBorders>
              <w:top w:val="nil"/>
              <w:left w:val="nil"/>
              <w:bottom w:val="single" w:sz="4" w:space="0" w:color="auto"/>
              <w:right w:val="nil"/>
            </w:tcBorders>
            <w:shd w:val="clear" w:color="auto" w:fill="auto"/>
            <w:noWrap/>
            <w:vAlign w:val="bottom"/>
          </w:tcPr>
          <w:p w14:paraId="34AC3B00"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 xml:space="preserve">Surface water </w:t>
            </w:r>
          </w:p>
        </w:tc>
        <w:tc>
          <w:tcPr>
            <w:tcW w:w="1219" w:type="dxa"/>
            <w:tcBorders>
              <w:top w:val="nil"/>
              <w:left w:val="nil"/>
              <w:bottom w:val="single" w:sz="4" w:space="0" w:color="auto"/>
              <w:right w:val="nil"/>
            </w:tcBorders>
            <w:shd w:val="clear" w:color="auto" w:fill="auto"/>
            <w:noWrap/>
            <w:vAlign w:val="bottom"/>
          </w:tcPr>
          <w:p w14:paraId="4E603848"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Horizons</w:t>
            </w:r>
          </w:p>
        </w:tc>
        <w:tc>
          <w:tcPr>
            <w:tcW w:w="1177" w:type="dxa"/>
            <w:tcBorders>
              <w:top w:val="nil"/>
              <w:left w:val="nil"/>
              <w:bottom w:val="single" w:sz="4" w:space="0" w:color="auto"/>
              <w:right w:val="nil"/>
            </w:tcBorders>
            <w:shd w:val="clear" w:color="auto" w:fill="auto"/>
            <w:noWrap/>
            <w:vAlign w:val="bottom"/>
          </w:tcPr>
          <w:p w14:paraId="5C5BEE5B"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89</w:t>
            </w:r>
          </w:p>
        </w:tc>
        <w:tc>
          <w:tcPr>
            <w:tcW w:w="1380" w:type="dxa"/>
            <w:tcBorders>
              <w:top w:val="nil"/>
              <w:left w:val="nil"/>
              <w:bottom w:val="single" w:sz="4" w:space="0" w:color="auto"/>
              <w:right w:val="nil"/>
            </w:tcBorders>
            <w:shd w:val="clear" w:color="auto" w:fill="auto"/>
            <w:noWrap/>
            <w:vAlign w:val="bottom"/>
          </w:tcPr>
          <w:p w14:paraId="4DD40ED8"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83</w:t>
            </w:r>
          </w:p>
        </w:tc>
      </w:tr>
      <w:tr w:rsidR="00177387" w:rsidRPr="00FB249F" w14:paraId="4B21E876" w14:textId="77777777" w:rsidTr="00C510DC">
        <w:tc>
          <w:tcPr>
            <w:tcW w:w="3101" w:type="dxa"/>
            <w:tcBorders>
              <w:top w:val="single" w:sz="4" w:space="0" w:color="auto"/>
              <w:left w:val="nil"/>
              <w:bottom w:val="nil"/>
              <w:right w:val="nil"/>
            </w:tcBorders>
            <w:shd w:val="clear" w:color="auto" w:fill="auto"/>
            <w:noWrap/>
            <w:vAlign w:val="bottom"/>
          </w:tcPr>
          <w:p w14:paraId="4FC45AAD"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 xml:space="preserve">Median take </w:t>
            </w:r>
            <w:r w:rsidRPr="00FB249F">
              <w:rPr>
                <w:rFonts w:eastAsia="Calibri" w:cs="Times New Roman"/>
                <w:sz w:val="18"/>
                <w:szCs w:val="18"/>
                <w:lang w:eastAsia="en-US"/>
              </w:rPr>
              <w:t>(m</w:t>
            </w:r>
            <w:r w:rsidRPr="00FB249F">
              <w:rPr>
                <w:rFonts w:eastAsia="Calibri" w:cs="Times New Roman"/>
                <w:sz w:val="18"/>
                <w:szCs w:val="18"/>
                <w:vertAlign w:val="superscript"/>
                <w:lang w:eastAsia="en-US"/>
              </w:rPr>
              <w:t>3</w:t>
            </w:r>
            <w:r w:rsidRPr="00FB249F">
              <w:rPr>
                <w:rFonts w:eastAsia="Calibri" w:cs="Times New Roman"/>
                <w:sz w:val="18"/>
                <w:szCs w:val="18"/>
                <w:lang w:eastAsia="en-US"/>
              </w:rPr>
              <w:t xml:space="preserve"> d</w:t>
            </w:r>
            <w:r w:rsidRPr="00FB249F">
              <w:rPr>
                <w:rFonts w:eastAsia="Calibri" w:cs="Times New Roman"/>
                <w:sz w:val="18"/>
                <w:szCs w:val="18"/>
                <w:vertAlign w:val="superscript"/>
                <w:lang w:eastAsia="en-US"/>
              </w:rPr>
              <w:t>-1</w:t>
            </w:r>
            <w:r w:rsidRPr="00FB249F">
              <w:rPr>
                <w:rFonts w:eastAsia="Calibri" w:cs="Times New Roman"/>
                <w:sz w:val="18"/>
                <w:szCs w:val="18"/>
                <w:lang w:eastAsia="en-US"/>
              </w:rPr>
              <w:t>)</w:t>
            </w:r>
          </w:p>
        </w:tc>
        <w:tc>
          <w:tcPr>
            <w:tcW w:w="1623" w:type="dxa"/>
            <w:tcBorders>
              <w:top w:val="single" w:sz="4" w:space="0" w:color="auto"/>
              <w:left w:val="nil"/>
              <w:bottom w:val="nil"/>
              <w:right w:val="nil"/>
            </w:tcBorders>
            <w:shd w:val="clear" w:color="auto" w:fill="auto"/>
            <w:noWrap/>
            <w:vAlign w:val="bottom"/>
          </w:tcPr>
          <w:p w14:paraId="3AD785BA" w14:textId="77777777" w:rsidR="00177387" w:rsidRPr="00FB249F" w:rsidRDefault="00177387" w:rsidP="00F23144">
            <w:pPr>
              <w:spacing w:before="40" w:after="0" w:line="240" w:lineRule="auto"/>
              <w:jc w:val="left"/>
              <w:rPr>
                <w:rFonts w:eastAsia="Times New Roman" w:cs="Calibri"/>
                <w:color w:val="000000"/>
                <w:sz w:val="18"/>
                <w:szCs w:val="18"/>
              </w:rPr>
            </w:pPr>
          </w:p>
        </w:tc>
        <w:tc>
          <w:tcPr>
            <w:tcW w:w="1219" w:type="dxa"/>
            <w:tcBorders>
              <w:top w:val="single" w:sz="4" w:space="0" w:color="auto"/>
              <w:left w:val="nil"/>
              <w:bottom w:val="nil"/>
              <w:right w:val="nil"/>
            </w:tcBorders>
            <w:shd w:val="clear" w:color="auto" w:fill="auto"/>
            <w:noWrap/>
            <w:vAlign w:val="bottom"/>
          </w:tcPr>
          <w:p w14:paraId="7931F31A" w14:textId="77777777" w:rsidR="00177387" w:rsidRPr="00FB249F" w:rsidRDefault="00177387" w:rsidP="00F23144">
            <w:pPr>
              <w:spacing w:before="40" w:after="0" w:line="240" w:lineRule="auto"/>
              <w:jc w:val="left"/>
              <w:rPr>
                <w:rFonts w:eastAsia="Times New Roman" w:cs="Calibri"/>
                <w:color w:val="000000"/>
                <w:sz w:val="18"/>
                <w:szCs w:val="18"/>
              </w:rPr>
            </w:pPr>
          </w:p>
        </w:tc>
        <w:tc>
          <w:tcPr>
            <w:tcW w:w="1177" w:type="dxa"/>
            <w:tcBorders>
              <w:top w:val="single" w:sz="4" w:space="0" w:color="auto"/>
              <w:left w:val="nil"/>
              <w:bottom w:val="nil"/>
              <w:right w:val="nil"/>
            </w:tcBorders>
            <w:shd w:val="clear" w:color="auto" w:fill="auto"/>
            <w:noWrap/>
            <w:vAlign w:val="bottom"/>
          </w:tcPr>
          <w:p w14:paraId="0C48380A" w14:textId="77777777" w:rsidR="00177387" w:rsidRPr="00FB249F" w:rsidRDefault="00177387" w:rsidP="00F23144">
            <w:pPr>
              <w:spacing w:before="40" w:after="0" w:line="240" w:lineRule="auto"/>
              <w:jc w:val="right"/>
              <w:rPr>
                <w:rFonts w:eastAsia="Times New Roman" w:cs="Calibri"/>
                <w:color w:val="000000"/>
                <w:sz w:val="18"/>
                <w:szCs w:val="18"/>
              </w:rPr>
            </w:pPr>
          </w:p>
        </w:tc>
        <w:tc>
          <w:tcPr>
            <w:tcW w:w="1380" w:type="dxa"/>
            <w:tcBorders>
              <w:top w:val="single" w:sz="4" w:space="0" w:color="auto"/>
              <w:left w:val="nil"/>
              <w:bottom w:val="nil"/>
              <w:right w:val="nil"/>
            </w:tcBorders>
            <w:shd w:val="clear" w:color="auto" w:fill="auto"/>
            <w:noWrap/>
            <w:vAlign w:val="bottom"/>
          </w:tcPr>
          <w:p w14:paraId="499A9A65" w14:textId="77777777" w:rsidR="00177387" w:rsidRPr="00FB249F" w:rsidRDefault="00177387" w:rsidP="00F23144">
            <w:pPr>
              <w:spacing w:before="40" w:after="0" w:line="240" w:lineRule="auto"/>
              <w:jc w:val="right"/>
              <w:rPr>
                <w:rFonts w:eastAsia="Times New Roman" w:cs="Calibri"/>
                <w:color w:val="000000"/>
                <w:sz w:val="18"/>
                <w:szCs w:val="18"/>
              </w:rPr>
            </w:pPr>
          </w:p>
        </w:tc>
      </w:tr>
      <w:tr w:rsidR="00177387" w:rsidRPr="00FB249F" w14:paraId="6F090703" w14:textId="77777777" w:rsidTr="00C510DC">
        <w:tc>
          <w:tcPr>
            <w:tcW w:w="3101" w:type="dxa"/>
            <w:tcBorders>
              <w:top w:val="nil"/>
              <w:left w:val="nil"/>
              <w:bottom w:val="nil"/>
              <w:right w:val="nil"/>
            </w:tcBorders>
            <w:shd w:val="clear" w:color="auto" w:fill="auto"/>
            <w:noWrap/>
            <w:vAlign w:val="bottom"/>
          </w:tcPr>
          <w:p w14:paraId="6EDFD38D" w14:textId="77777777" w:rsidR="00177387" w:rsidRPr="00FB249F" w:rsidRDefault="00177387" w:rsidP="00F23144">
            <w:pPr>
              <w:spacing w:before="40" w:after="0" w:line="240" w:lineRule="auto"/>
              <w:jc w:val="left"/>
              <w:rPr>
                <w:rFonts w:eastAsia="Times New Roman" w:cs="Calibri"/>
                <w:color w:val="000000"/>
                <w:sz w:val="18"/>
                <w:szCs w:val="18"/>
              </w:rPr>
            </w:pPr>
          </w:p>
        </w:tc>
        <w:tc>
          <w:tcPr>
            <w:tcW w:w="1623" w:type="dxa"/>
            <w:tcBorders>
              <w:top w:val="nil"/>
              <w:left w:val="nil"/>
              <w:bottom w:val="nil"/>
              <w:right w:val="nil"/>
            </w:tcBorders>
            <w:shd w:val="clear" w:color="auto" w:fill="auto"/>
            <w:noWrap/>
            <w:vAlign w:val="bottom"/>
          </w:tcPr>
          <w:p w14:paraId="1BC3BC84"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Groundwater</w:t>
            </w:r>
          </w:p>
        </w:tc>
        <w:tc>
          <w:tcPr>
            <w:tcW w:w="1219" w:type="dxa"/>
            <w:tcBorders>
              <w:top w:val="nil"/>
              <w:left w:val="nil"/>
              <w:bottom w:val="nil"/>
              <w:right w:val="nil"/>
            </w:tcBorders>
            <w:shd w:val="clear" w:color="auto" w:fill="auto"/>
            <w:noWrap/>
            <w:vAlign w:val="bottom"/>
          </w:tcPr>
          <w:p w14:paraId="3F23C3D5"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GWRC</w:t>
            </w:r>
          </w:p>
        </w:tc>
        <w:tc>
          <w:tcPr>
            <w:tcW w:w="1177" w:type="dxa"/>
            <w:tcBorders>
              <w:top w:val="nil"/>
              <w:left w:val="nil"/>
              <w:bottom w:val="nil"/>
              <w:right w:val="nil"/>
            </w:tcBorders>
            <w:shd w:val="clear" w:color="auto" w:fill="auto"/>
            <w:noWrap/>
            <w:vAlign w:val="bottom"/>
          </w:tcPr>
          <w:p w14:paraId="5A1C9ED7"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0</w:t>
            </w:r>
          </w:p>
        </w:tc>
        <w:tc>
          <w:tcPr>
            <w:tcW w:w="1380" w:type="dxa"/>
            <w:tcBorders>
              <w:top w:val="nil"/>
              <w:left w:val="nil"/>
              <w:bottom w:val="nil"/>
              <w:right w:val="nil"/>
            </w:tcBorders>
            <w:shd w:val="clear" w:color="auto" w:fill="auto"/>
            <w:noWrap/>
            <w:vAlign w:val="bottom"/>
          </w:tcPr>
          <w:p w14:paraId="17067D7E"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0</w:t>
            </w:r>
          </w:p>
        </w:tc>
      </w:tr>
      <w:tr w:rsidR="00177387" w:rsidRPr="00FB249F" w14:paraId="0D3159B9" w14:textId="77777777" w:rsidTr="00C510DC">
        <w:tc>
          <w:tcPr>
            <w:tcW w:w="3101" w:type="dxa"/>
            <w:tcBorders>
              <w:top w:val="nil"/>
              <w:left w:val="nil"/>
              <w:bottom w:val="nil"/>
              <w:right w:val="nil"/>
            </w:tcBorders>
            <w:shd w:val="clear" w:color="auto" w:fill="auto"/>
            <w:noWrap/>
            <w:vAlign w:val="bottom"/>
          </w:tcPr>
          <w:p w14:paraId="485EFFCA" w14:textId="77777777" w:rsidR="00177387" w:rsidRPr="00FB249F" w:rsidRDefault="00177387" w:rsidP="00F23144">
            <w:pPr>
              <w:spacing w:before="40" w:after="0" w:line="240" w:lineRule="auto"/>
              <w:jc w:val="left"/>
              <w:rPr>
                <w:rFonts w:eastAsia="Times New Roman" w:cs="Calibri"/>
                <w:color w:val="000000"/>
                <w:sz w:val="18"/>
                <w:szCs w:val="18"/>
              </w:rPr>
            </w:pPr>
          </w:p>
        </w:tc>
        <w:tc>
          <w:tcPr>
            <w:tcW w:w="1623" w:type="dxa"/>
            <w:tcBorders>
              <w:top w:val="nil"/>
              <w:left w:val="nil"/>
              <w:bottom w:val="nil"/>
              <w:right w:val="nil"/>
            </w:tcBorders>
            <w:shd w:val="clear" w:color="auto" w:fill="auto"/>
            <w:noWrap/>
            <w:vAlign w:val="bottom"/>
          </w:tcPr>
          <w:p w14:paraId="7F87D267"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Groundwater</w:t>
            </w:r>
          </w:p>
        </w:tc>
        <w:tc>
          <w:tcPr>
            <w:tcW w:w="1219" w:type="dxa"/>
            <w:tcBorders>
              <w:top w:val="nil"/>
              <w:left w:val="nil"/>
              <w:bottom w:val="nil"/>
              <w:right w:val="nil"/>
            </w:tcBorders>
            <w:shd w:val="clear" w:color="auto" w:fill="auto"/>
            <w:noWrap/>
            <w:vAlign w:val="bottom"/>
          </w:tcPr>
          <w:p w14:paraId="189FBA72"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Horizons</w:t>
            </w:r>
          </w:p>
        </w:tc>
        <w:tc>
          <w:tcPr>
            <w:tcW w:w="1177" w:type="dxa"/>
            <w:tcBorders>
              <w:top w:val="nil"/>
              <w:left w:val="nil"/>
              <w:bottom w:val="nil"/>
              <w:right w:val="nil"/>
            </w:tcBorders>
            <w:shd w:val="clear" w:color="auto" w:fill="auto"/>
            <w:noWrap/>
            <w:vAlign w:val="bottom"/>
          </w:tcPr>
          <w:p w14:paraId="42C07929"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0</w:t>
            </w:r>
          </w:p>
        </w:tc>
        <w:tc>
          <w:tcPr>
            <w:tcW w:w="1380" w:type="dxa"/>
            <w:tcBorders>
              <w:top w:val="nil"/>
              <w:left w:val="nil"/>
              <w:bottom w:val="nil"/>
              <w:right w:val="nil"/>
            </w:tcBorders>
            <w:shd w:val="clear" w:color="auto" w:fill="auto"/>
            <w:noWrap/>
            <w:vAlign w:val="bottom"/>
          </w:tcPr>
          <w:p w14:paraId="6CF4FA40"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0</w:t>
            </w:r>
          </w:p>
        </w:tc>
      </w:tr>
      <w:tr w:rsidR="00177387" w:rsidRPr="00FB249F" w14:paraId="25F9370C" w14:textId="77777777" w:rsidTr="00C510DC">
        <w:tc>
          <w:tcPr>
            <w:tcW w:w="3101" w:type="dxa"/>
            <w:tcBorders>
              <w:top w:val="nil"/>
              <w:left w:val="nil"/>
              <w:bottom w:val="nil"/>
              <w:right w:val="nil"/>
            </w:tcBorders>
            <w:shd w:val="clear" w:color="auto" w:fill="auto"/>
            <w:noWrap/>
            <w:vAlign w:val="bottom"/>
          </w:tcPr>
          <w:p w14:paraId="394BB40C" w14:textId="77777777" w:rsidR="00177387" w:rsidRPr="00FB249F" w:rsidRDefault="00177387" w:rsidP="00F23144">
            <w:pPr>
              <w:spacing w:before="40" w:after="0" w:line="240" w:lineRule="auto"/>
              <w:jc w:val="left"/>
              <w:rPr>
                <w:rFonts w:eastAsia="Times New Roman" w:cs="Calibri"/>
                <w:color w:val="000000"/>
                <w:sz w:val="18"/>
                <w:szCs w:val="18"/>
              </w:rPr>
            </w:pPr>
          </w:p>
        </w:tc>
        <w:tc>
          <w:tcPr>
            <w:tcW w:w="1623" w:type="dxa"/>
            <w:tcBorders>
              <w:top w:val="nil"/>
              <w:left w:val="nil"/>
              <w:bottom w:val="nil"/>
              <w:right w:val="nil"/>
            </w:tcBorders>
            <w:shd w:val="clear" w:color="auto" w:fill="auto"/>
            <w:noWrap/>
            <w:vAlign w:val="bottom"/>
          </w:tcPr>
          <w:p w14:paraId="2846FFC9"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 xml:space="preserve">Surface water </w:t>
            </w:r>
          </w:p>
        </w:tc>
        <w:tc>
          <w:tcPr>
            <w:tcW w:w="1219" w:type="dxa"/>
            <w:tcBorders>
              <w:top w:val="nil"/>
              <w:left w:val="nil"/>
              <w:bottom w:val="nil"/>
              <w:right w:val="nil"/>
            </w:tcBorders>
            <w:shd w:val="clear" w:color="auto" w:fill="auto"/>
            <w:noWrap/>
            <w:vAlign w:val="bottom"/>
          </w:tcPr>
          <w:p w14:paraId="46CF8A2D"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GWRC</w:t>
            </w:r>
          </w:p>
        </w:tc>
        <w:tc>
          <w:tcPr>
            <w:tcW w:w="1177" w:type="dxa"/>
            <w:tcBorders>
              <w:top w:val="nil"/>
              <w:left w:val="nil"/>
              <w:bottom w:val="nil"/>
              <w:right w:val="nil"/>
            </w:tcBorders>
            <w:shd w:val="clear" w:color="auto" w:fill="auto"/>
            <w:noWrap/>
            <w:vAlign w:val="bottom"/>
          </w:tcPr>
          <w:p w14:paraId="22F4B71E"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0</w:t>
            </w:r>
          </w:p>
        </w:tc>
        <w:tc>
          <w:tcPr>
            <w:tcW w:w="1380" w:type="dxa"/>
            <w:tcBorders>
              <w:top w:val="nil"/>
              <w:left w:val="nil"/>
              <w:bottom w:val="nil"/>
              <w:right w:val="nil"/>
            </w:tcBorders>
            <w:shd w:val="clear" w:color="auto" w:fill="auto"/>
            <w:noWrap/>
            <w:vAlign w:val="bottom"/>
          </w:tcPr>
          <w:p w14:paraId="2121BA6A"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0</w:t>
            </w:r>
          </w:p>
        </w:tc>
      </w:tr>
      <w:tr w:rsidR="00177387" w:rsidRPr="00FB249F" w14:paraId="7921F8CA" w14:textId="77777777" w:rsidTr="00C510DC">
        <w:tc>
          <w:tcPr>
            <w:tcW w:w="3101" w:type="dxa"/>
            <w:tcBorders>
              <w:top w:val="nil"/>
              <w:left w:val="nil"/>
              <w:bottom w:val="single" w:sz="4" w:space="0" w:color="auto"/>
              <w:right w:val="nil"/>
            </w:tcBorders>
            <w:shd w:val="clear" w:color="auto" w:fill="auto"/>
            <w:noWrap/>
            <w:vAlign w:val="bottom"/>
          </w:tcPr>
          <w:p w14:paraId="64C18639" w14:textId="77777777" w:rsidR="00177387" w:rsidRPr="00FB249F" w:rsidRDefault="00177387" w:rsidP="00F23144">
            <w:pPr>
              <w:spacing w:before="40" w:after="0" w:line="240" w:lineRule="auto"/>
              <w:jc w:val="left"/>
              <w:rPr>
                <w:rFonts w:eastAsia="Times New Roman" w:cs="Calibri"/>
                <w:color w:val="000000"/>
                <w:sz w:val="18"/>
                <w:szCs w:val="18"/>
              </w:rPr>
            </w:pPr>
          </w:p>
        </w:tc>
        <w:tc>
          <w:tcPr>
            <w:tcW w:w="1623" w:type="dxa"/>
            <w:tcBorders>
              <w:top w:val="nil"/>
              <w:left w:val="nil"/>
              <w:bottom w:val="single" w:sz="4" w:space="0" w:color="auto"/>
              <w:right w:val="nil"/>
            </w:tcBorders>
            <w:shd w:val="clear" w:color="auto" w:fill="auto"/>
            <w:noWrap/>
            <w:vAlign w:val="bottom"/>
          </w:tcPr>
          <w:p w14:paraId="6F4721C1"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 xml:space="preserve">Surface water </w:t>
            </w:r>
          </w:p>
        </w:tc>
        <w:tc>
          <w:tcPr>
            <w:tcW w:w="1219" w:type="dxa"/>
            <w:tcBorders>
              <w:top w:val="nil"/>
              <w:left w:val="nil"/>
              <w:bottom w:val="single" w:sz="4" w:space="0" w:color="auto"/>
              <w:right w:val="nil"/>
            </w:tcBorders>
            <w:shd w:val="clear" w:color="auto" w:fill="auto"/>
            <w:noWrap/>
            <w:vAlign w:val="bottom"/>
          </w:tcPr>
          <w:p w14:paraId="16E6DC48"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Horizons</w:t>
            </w:r>
          </w:p>
        </w:tc>
        <w:tc>
          <w:tcPr>
            <w:tcW w:w="1177" w:type="dxa"/>
            <w:tcBorders>
              <w:top w:val="nil"/>
              <w:left w:val="nil"/>
              <w:bottom w:val="single" w:sz="4" w:space="0" w:color="auto"/>
              <w:right w:val="nil"/>
            </w:tcBorders>
            <w:shd w:val="clear" w:color="auto" w:fill="auto"/>
            <w:noWrap/>
            <w:vAlign w:val="bottom"/>
          </w:tcPr>
          <w:p w14:paraId="319D70AD"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0</w:t>
            </w:r>
          </w:p>
        </w:tc>
        <w:tc>
          <w:tcPr>
            <w:tcW w:w="1380" w:type="dxa"/>
            <w:tcBorders>
              <w:top w:val="nil"/>
              <w:left w:val="nil"/>
              <w:bottom w:val="single" w:sz="4" w:space="0" w:color="auto"/>
              <w:right w:val="nil"/>
            </w:tcBorders>
            <w:shd w:val="clear" w:color="auto" w:fill="auto"/>
            <w:noWrap/>
            <w:vAlign w:val="bottom"/>
          </w:tcPr>
          <w:p w14:paraId="7FF8715D"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0</w:t>
            </w:r>
          </w:p>
        </w:tc>
      </w:tr>
      <w:tr w:rsidR="00177387" w:rsidRPr="00FB249F" w14:paraId="0BA05E95" w14:textId="77777777" w:rsidTr="00C510DC">
        <w:tc>
          <w:tcPr>
            <w:tcW w:w="3101" w:type="dxa"/>
            <w:tcBorders>
              <w:top w:val="single" w:sz="4" w:space="0" w:color="auto"/>
              <w:left w:val="nil"/>
              <w:bottom w:val="nil"/>
              <w:right w:val="nil"/>
            </w:tcBorders>
            <w:shd w:val="clear" w:color="auto" w:fill="auto"/>
            <w:noWrap/>
            <w:vAlign w:val="bottom"/>
          </w:tcPr>
          <w:p w14:paraId="27524EE7"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3</w:t>
            </w:r>
            <w:r w:rsidRPr="00FB249F">
              <w:rPr>
                <w:rFonts w:eastAsia="Times New Roman" w:cs="Calibri"/>
                <w:color w:val="000000"/>
                <w:sz w:val="18"/>
                <w:szCs w:val="18"/>
                <w:vertAlign w:val="superscript"/>
              </w:rPr>
              <w:t>rd</w:t>
            </w:r>
            <w:r w:rsidRPr="00FB249F">
              <w:rPr>
                <w:rFonts w:eastAsia="Times New Roman" w:cs="Calibri"/>
                <w:color w:val="000000"/>
                <w:sz w:val="18"/>
                <w:szCs w:val="18"/>
              </w:rPr>
              <w:t xml:space="preserve"> quartile take </w:t>
            </w:r>
            <w:r w:rsidRPr="00FB249F">
              <w:rPr>
                <w:rFonts w:eastAsia="Calibri" w:cs="Times New Roman"/>
                <w:sz w:val="18"/>
                <w:szCs w:val="18"/>
                <w:lang w:eastAsia="en-US"/>
              </w:rPr>
              <w:t>(m</w:t>
            </w:r>
            <w:r w:rsidRPr="00FB249F">
              <w:rPr>
                <w:rFonts w:eastAsia="Calibri" w:cs="Times New Roman"/>
                <w:sz w:val="18"/>
                <w:szCs w:val="18"/>
                <w:vertAlign w:val="superscript"/>
                <w:lang w:eastAsia="en-US"/>
              </w:rPr>
              <w:t>3</w:t>
            </w:r>
            <w:r w:rsidRPr="00FB249F">
              <w:rPr>
                <w:rFonts w:eastAsia="Calibri" w:cs="Times New Roman"/>
                <w:sz w:val="18"/>
                <w:szCs w:val="18"/>
                <w:lang w:eastAsia="en-US"/>
              </w:rPr>
              <w:t xml:space="preserve"> d</w:t>
            </w:r>
            <w:r w:rsidRPr="00FB249F">
              <w:rPr>
                <w:rFonts w:eastAsia="Calibri" w:cs="Times New Roman"/>
                <w:sz w:val="18"/>
                <w:szCs w:val="18"/>
                <w:vertAlign w:val="superscript"/>
                <w:lang w:eastAsia="en-US"/>
              </w:rPr>
              <w:t>-1</w:t>
            </w:r>
            <w:r w:rsidRPr="00FB249F">
              <w:rPr>
                <w:rFonts w:eastAsia="Calibri" w:cs="Times New Roman"/>
                <w:sz w:val="18"/>
                <w:szCs w:val="18"/>
                <w:lang w:eastAsia="en-US"/>
              </w:rPr>
              <w:t>)</w:t>
            </w:r>
          </w:p>
        </w:tc>
        <w:tc>
          <w:tcPr>
            <w:tcW w:w="1623" w:type="dxa"/>
            <w:tcBorders>
              <w:top w:val="single" w:sz="4" w:space="0" w:color="auto"/>
              <w:left w:val="nil"/>
              <w:bottom w:val="nil"/>
              <w:right w:val="nil"/>
            </w:tcBorders>
            <w:shd w:val="clear" w:color="auto" w:fill="auto"/>
            <w:noWrap/>
            <w:vAlign w:val="bottom"/>
          </w:tcPr>
          <w:p w14:paraId="1BA9AE97" w14:textId="77777777" w:rsidR="00177387" w:rsidRPr="00FB249F" w:rsidRDefault="00177387" w:rsidP="00F23144">
            <w:pPr>
              <w:spacing w:before="40" w:after="0" w:line="240" w:lineRule="auto"/>
              <w:jc w:val="left"/>
              <w:rPr>
                <w:rFonts w:eastAsia="Times New Roman" w:cs="Calibri"/>
                <w:color w:val="000000"/>
                <w:sz w:val="18"/>
                <w:szCs w:val="18"/>
              </w:rPr>
            </w:pPr>
          </w:p>
        </w:tc>
        <w:tc>
          <w:tcPr>
            <w:tcW w:w="1219" w:type="dxa"/>
            <w:tcBorders>
              <w:top w:val="single" w:sz="4" w:space="0" w:color="auto"/>
              <w:left w:val="nil"/>
              <w:bottom w:val="nil"/>
              <w:right w:val="nil"/>
            </w:tcBorders>
            <w:shd w:val="clear" w:color="auto" w:fill="auto"/>
            <w:noWrap/>
            <w:vAlign w:val="bottom"/>
          </w:tcPr>
          <w:p w14:paraId="579B92F2" w14:textId="77777777" w:rsidR="00177387" w:rsidRPr="00FB249F" w:rsidRDefault="00177387" w:rsidP="00F23144">
            <w:pPr>
              <w:spacing w:before="40" w:after="0" w:line="240" w:lineRule="auto"/>
              <w:jc w:val="left"/>
              <w:rPr>
                <w:rFonts w:eastAsia="Times New Roman" w:cs="Calibri"/>
                <w:color w:val="000000"/>
                <w:sz w:val="18"/>
                <w:szCs w:val="18"/>
              </w:rPr>
            </w:pPr>
          </w:p>
        </w:tc>
        <w:tc>
          <w:tcPr>
            <w:tcW w:w="1177" w:type="dxa"/>
            <w:tcBorders>
              <w:top w:val="single" w:sz="4" w:space="0" w:color="auto"/>
              <w:left w:val="nil"/>
              <w:bottom w:val="nil"/>
              <w:right w:val="nil"/>
            </w:tcBorders>
            <w:shd w:val="clear" w:color="auto" w:fill="auto"/>
            <w:noWrap/>
            <w:vAlign w:val="bottom"/>
          </w:tcPr>
          <w:p w14:paraId="066141AF" w14:textId="77777777" w:rsidR="00177387" w:rsidRPr="00FB249F" w:rsidRDefault="00177387" w:rsidP="00F23144">
            <w:pPr>
              <w:spacing w:before="40" w:after="0" w:line="240" w:lineRule="auto"/>
              <w:jc w:val="right"/>
              <w:rPr>
                <w:rFonts w:eastAsia="Times New Roman" w:cs="Calibri"/>
                <w:color w:val="000000"/>
                <w:sz w:val="18"/>
                <w:szCs w:val="18"/>
              </w:rPr>
            </w:pPr>
          </w:p>
        </w:tc>
        <w:tc>
          <w:tcPr>
            <w:tcW w:w="1380" w:type="dxa"/>
            <w:tcBorders>
              <w:top w:val="single" w:sz="4" w:space="0" w:color="auto"/>
              <w:left w:val="nil"/>
              <w:bottom w:val="nil"/>
              <w:right w:val="nil"/>
            </w:tcBorders>
            <w:shd w:val="clear" w:color="auto" w:fill="auto"/>
            <w:noWrap/>
            <w:vAlign w:val="bottom"/>
          </w:tcPr>
          <w:p w14:paraId="5C217C09" w14:textId="77777777" w:rsidR="00177387" w:rsidRPr="00FB249F" w:rsidRDefault="00177387" w:rsidP="00F23144">
            <w:pPr>
              <w:spacing w:before="40" w:after="0" w:line="240" w:lineRule="auto"/>
              <w:jc w:val="right"/>
              <w:rPr>
                <w:rFonts w:eastAsia="Times New Roman" w:cs="Calibri"/>
                <w:color w:val="000000"/>
                <w:sz w:val="18"/>
                <w:szCs w:val="18"/>
              </w:rPr>
            </w:pPr>
          </w:p>
        </w:tc>
      </w:tr>
      <w:tr w:rsidR="00177387" w:rsidRPr="00FB249F" w14:paraId="095A12BA" w14:textId="77777777" w:rsidTr="00C510DC">
        <w:tc>
          <w:tcPr>
            <w:tcW w:w="3101" w:type="dxa"/>
            <w:tcBorders>
              <w:top w:val="nil"/>
              <w:left w:val="nil"/>
              <w:bottom w:val="nil"/>
              <w:right w:val="nil"/>
            </w:tcBorders>
            <w:shd w:val="clear" w:color="auto" w:fill="auto"/>
            <w:noWrap/>
            <w:vAlign w:val="bottom"/>
          </w:tcPr>
          <w:p w14:paraId="22593087" w14:textId="77777777" w:rsidR="00177387" w:rsidRPr="00FB249F" w:rsidRDefault="00177387" w:rsidP="00F23144">
            <w:pPr>
              <w:spacing w:before="40" w:after="0" w:line="240" w:lineRule="auto"/>
              <w:jc w:val="left"/>
              <w:rPr>
                <w:rFonts w:eastAsia="Times New Roman" w:cs="Calibri"/>
                <w:color w:val="000000"/>
                <w:sz w:val="18"/>
                <w:szCs w:val="18"/>
              </w:rPr>
            </w:pPr>
          </w:p>
        </w:tc>
        <w:tc>
          <w:tcPr>
            <w:tcW w:w="1623" w:type="dxa"/>
            <w:tcBorders>
              <w:top w:val="nil"/>
              <w:left w:val="nil"/>
              <w:bottom w:val="nil"/>
              <w:right w:val="nil"/>
            </w:tcBorders>
            <w:shd w:val="clear" w:color="auto" w:fill="auto"/>
            <w:noWrap/>
            <w:vAlign w:val="bottom"/>
          </w:tcPr>
          <w:p w14:paraId="52A77FF0"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Groundwater</w:t>
            </w:r>
          </w:p>
        </w:tc>
        <w:tc>
          <w:tcPr>
            <w:tcW w:w="1219" w:type="dxa"/>
            <w:tcBorders>
              <w:top w:val="nil"/>
              <w:left w:val="nil"/>
              <w:bottom w:val="nil"/>
              <w:right w:val="nil"/>
            </w:tcBorders>
            <w:shd w:val="clear" w:color="auto" w:fill="auto"/>
            <w:noWrap/>
            <w:vAlign w:val="bottom"/>
          </w:tcPr>
          <w:p w14:paraId="7EE3EC4E"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GWRC</w:t>
            </w:r>
          </w:p>
        </w:tc>
        <w:tc>
          <w:tcPr>
            <w:tcW w:w="1177" w:type="dxa"/>
            <w:tcBorders>
              <w:top w:val="nil"/>
              <w:left w:val="nil"/>
              <w:bottom w:val="nil"/>
              <w:right w:val="nil"/>
            </w:tcBorders>
            <w:shd w:val="clear" w:color="auto" w:fill="auto"/>
            <w:noWrap/>
            <w:vAlign w:val="bottom"/>
          </w:tcPr>
          <w:p w14:paraId="08ED6F8A"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36</w:t>
            </w:r>
          </w:p>
        </w:tc>
        <w:tc>
          <w:tcPr>
            <w:tcW w:w="1380" w:type="dxa"/>
            <w:tcBorders>
              <w:top w:val="nil"/>
              <w:left w:val="nil"/>
              <w:bottom w:val="nil"/>
              <w:right w:val="nil"/>
            </w:tcBorders>
            <w:shd w:val="clear" w:color="auto" w:fill="auto"/>
            <w:noWrap/>
            <w:vAlign w:val="bottom"/>
          </w:tcPr>
          <w:p w14:paraId="17DCB6B6"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17</w:t>
            </w:r>
          </w:p>
        </w:tc>
      </w:tr>
      <w:tr w:rsidR="00177387" w:rsidRPr="00FB249F" w14:paraId="6A7E0C0C" w14:textId="77777777" w:rsidTr="00C510DC">
        <w:tc>
          <w:tcPr>
            <w:tcW w:w="3101" w:type="dxa"/>
            <w:tcBorders>
              <w:top w:val="nil"/>
              <w:left w:val="nil"/>
              <w:bottom w:val="nil"/>
              <w:right w:val="nil"/>
            </w:tcBorders>
            <w:shd w:val="clear" w:color="auto" w:fill="auto"/>
            <w:noWrap/>
            <w:vAlign w:val="bottom"/>
          </w:tcPr>
          <w:p w14:paraId="5F8D1C4C" w14:textId="77777777" w:rsidR="00177387" w:rsidRPr="00FB249F" w:rsidRDefault="00177387" w:rsidP="00F23144">
            <w:pPr>
              <w:spacing w:before="40" w:after="0" w:line="240" w:lineRule="auto"/>
              <w:jc w:val="left"/>
              <w:rPr>
                <w:rFonts w:eastAsia="Times New Roman" w:cs="Calibri"/>
                <w:color w:val="000000"/>
                <w:sz w:val="18"/>
                <w:szCs w:val="18"/>
              </w:rPr>
            </w:pPr>
          </w:p>
        </w:tc>
        <w:tc>
          <w:tcPr>
            <w:tcW w:w="1623" w:type="dxa"/>
            <w:tcBorders>
              <w:top w:val="nil"/>
              <w:left w:val="nil"/>
              <w:bottom w:val="nil"/>
              <w:right w:val="nil"/>
            </w:tcBorders>
            <w:shd w:val="clear" w:color="auto" w:fill="auto"/>
            <w:noWrap/>
            <w:vAlign w:val="bottom"/>
          </w:tcPr>
          <w:p w14:paraId="43836853"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Groundwater</w:t>
            </w:r>
          </w:p>
        </w:tc>
        <w:tc>
          <w:tcPr>
            <w:tcW w:w="1219" w:type="dxa"/>
            <w:tcBorders>
              <w:top w:val="nil"/>
              <w:left w:val="nil"/>
              <w:bottom w:val="nil"/>
              <w:right w:val="nil"/>
            </w:tcBorders>
            <w:shd w:val="clear" w:color="auto" w:fill="auto"/>
            <w:noWrap/>
            <w:vAlign w:val="bottom"/>
          </w:tcPr>
          <w:p w14:paraId="23461464"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Horizons</w:t>
            </w:r>
          </w:p>
        </w:tc>
        <w:tc>
          <w:tcPr>
            <w:tcW w:w="1177" w:type="dxa"/>
            <w:tcBorders>
              <w:top w:val="nil"/>
              <w:left w:val="nil"/>
              <w:bottom w:val="nil"/>
              <w:right w:val="nil"/>
            </w:tcBorders>
            <w:shd w:val="clear" w:color="auto" w:fill="auto"/>
            <w:noWrap/>
            <w:vAlign w:val="bottom"/>
          </w:tcPr>
          <w:p w14:paraId="52890ACE"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83</w:t>
            </w:r>
          </w:p>
        </w:tc>
        <w:tc>
          <w:tcPr>
            <w:tcW w:w="1380" w:type="dxa"/>
            <w:tcBorders>
              <w:top w:val="nil"/>
              <w:left w:val="nil"/>
              <w:bottom w:val="nil"/>
              <w:right w:val="nil"/>
            </w:tcBorders>
            <w:shd w:val="clear" w:color="auto" w:fill="auto"/>
            <w:noWrap/>
            <w:vAlign w:val="bottom"/>
          </w:tcPr>
          <w:p w14:paraId="6E706FCD"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97</w:t>
            </w:r>
          </w:p>
        </w:tc>
      </w:tr>
      <w:tr w:rsidR="00177387" w:rsidRPr="00FB249F" w14:paraId="37FCC62F" w14:textId="77777777" w:rsidTr="00C510DC">
        <w:tc>
          <w:tcPr>
            <w:tcW w:w="3101" w:type="dxa"/>
            <w:tcBorders>
              <w:top w:val="nil"/>
              <w:left w:val="nil"/>
              <w:bottom w:val="nil"/>
              <w:right w:val="nil"/>
            </w:tcBorders>
            <w:shd w:val="clear" w:color="auto" w:fill="auto"/>
            <w:noWrap/>
            <w:vAlign w:val="bottom"/>
          </w:tcPr>
          <w:p w14:paraId="00A11CE1" w14:textId="77777777" w:rsidR="00177387" w:rsidRPr="00FB249F" w:rsidRDefault="00177387" w:rsidP="00F23144">
            <w:pPr>
              <w:spacing w:before="40" w:after="0" w:line="240" w:lineRule="auto"/>
              <w:jc w:val="left"/>
              <w:rPr>
                <w:rFonts w:eastAsia="Times New Roman" w:cs="Calibri"/>
                <w:color w:val="000000"/>
                <w:sz w:val="18"/>
                <w:szCs w:val="18"/>
              </w:rPr>
            </w:pPr>
          </w:p>
        </w:tc>
        <w:tc>
          <w:tcPr>
            <w:tcW w:w="1623" w:type="dxa"/>
            <w:tcBorders>
              <w:top w:val="nil"/>
              <w:left w:val="nil"/>
              <w:bottom w:val="nil"/>
              <w:right w:val="nil"/>
            </w:tcBorders>
            <w:shd w:val="clear" w:color="auto" w:fill="auto"/>
            <w:noWrap/>
            <w:vAlign w:val="bottom"/>
          </w:tcPr>
          <w:p w14:paraId="3FDD8229"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 xml:space="preserve">Surface water </w:t>
            </w:r>
          </w:p>
        </w:tc>
        <w:tc>
          <w:tcPr>
            <w:tcW w:w="1219" w:type="dxa"/>
            <w:tcBorders>
              <w:top w:val="nil"/>
              <w:left w:val="nil"/>
              <w:bottom w:val="nil"/>
              <w:right w:val="nil"/>
            </w:tcBorders>
            <w:shd w:val="clear" w:color="auto" w:fill="auto"/>
            <w:noWrap/>
            <w:vAlign w:val="bottom"/>
          </w:tcPr>
          <w:p w14:paraId="2FD72EFF"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GWRC</w:t>
            </w:r>
          </w:p>
        </w:tc>
        <w:tc>
          <w:tcPr>
            <w:tcW w:w="1177" w:type="dxa"/>
            <w:tcBorders>
              <w:top w:val="nil"/>
              <w:left w:val="nil"/>
              <w:bottom w:val="nil"/>
              <w:right w:val="nil"/>
            </w:tcBorders>
            <w:shd w:val="clear" w:color="auto" w:fill="auto"/>
            <w:noWrap/>
            <w:vAlign w:val="bottom"/>
          </w:tcPr>
          <w:p w14:paraId="6D32B23E"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49</w:t>
            </w:r>
          </w:p>
        </w:tc>
        <w:tc>
          <w:tcPr>
            <w:tcW w:w="1380" w:type="dxa"/>
            <w:tcBorders>
              <w:top w:val="nil"/>
              <w:left w:val="nil"/>
              <w:bottom w:val="nil"/>
              <w:right w:val="nil"/>
            </w:tcBorders>
            <w:shd w:val="clear" w:color="auto" w:fill="auto"/>
            <w:noWrap/>
            <w:vAlign w:val="bottom"/>
          </w:tcPr>
          <w:p w14:paraId="4CECEAE9"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80</w:t>
            </w:r>
          </w:p>
        </w:tc>
      </w:tr>
      <w:tr w:rsidR="00177387" w:rsidRPr="00FB249F" w14:paraId="0A2C79F2" w14:textId="77777777" w:rsidTr="00C510DC">
        <w:tc>
          <w:tcPr>
            <w:tcW w:w="3101" w:type="dxa"/>
            <w:tcBorders>
              <w:top w:val="nil"/>
              <w:left w:val="nil"/>
              <w:bottom w:val="single" w:sz="4" w:space="0" w:color="auto"/>
              <w:right w:val="nil"/>
            </w:tcBorders>
            <w:shd w:val="clear" w:color="auto" w:fill="auto"/>
            <w:noWrap/>
            <w:vAlign w:val="bottom"/>
          </w:tcPr>
          <w:p w14:paraId="774BD53C" w14:textId="77777777" w:rsidR="00177387" w:rsidRPr="00FB249F" w:rsidRDefault="00177387" w:rsidP="00F23144">
            <w:pPr>
              <w:spacing w:before="40" w:after="0" w:line="240" w:lineRule="auto"/>
              <w:jc w:val="left"/>
              <w:rPr>
                <w:rFonts w:eastAsia="Times New Roman" w:cs="Calibri"/>
                <w:color w:val="000000"/>
                <w:sz w:val="18"/>
                <w:szCs w:val="18"/>
              </w:rPr>
            </w:pPr>
          </w:p>
        </w:tc>
        <w:tc>
          <w:tcPr>
            <w:tcW w:w="1623" w:type="dxa"/>
            <w:tcBorders>
              <w:top w:val="nil"/>
              <w:left w:val="nil"/>
              <w:bottom w:val="single" w:sz="4" w:space="0" w:color="auto"/>
              <w:right w:val="nil"/>
            </w:tcBorders>
            <w:shd w:val="clear" w:color="auto" w:fill="auto"/>
            <w:noWrap/>
            <w:vAlign w:val="bottom"/>
          </w:tcPr>
          <w:p w14:paraId="334048AC"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 xml:space="preserve">Surface water </w:t>
            </w:r>
          </w:p>
        </w:tc>
        <w:tc>
          <w:tcPr>
            <w:tcW w:w="1219" w:type="dxa"/>
            <w:tcBorders>
              <w:top w:val="nil"/>
              <w:left w:val="nil"/>
              <w:bottom w:val="single" w:sz="4" w:space="0" w:color="auto"/>
              <w:right w:val="nil"/>
            </w:tcBorders>
            <w:shd w:val="clear" w:color="auto" w:fill="auto"/>
            <w:noWrap/>
            <w:vAlign w:val="bottom"/>
          </w:tcPr>
          <w:p w14:paraId="4430BB49"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Horizons</w:t>
            </w:r>
          </w:p>
        </w:tc>
        <w:tc>
          <w:tcPr>
            <w:tcW w:w="1177" w:type="dxa"/>
            <w:tcBorders>
              <w:top w:val="nil"/>
              <w:left w:val="nil"/>
              <w:bottom w:val="single" w:sz="4" w:space="0" w:color="auto"/>
              <w:right w:val="nil"/>
            </w:tcBorders>
            <w:shd w:val="clear" w:color="auto" w:fill="auto"/>
            <w:noWrap/>
            <w:vAlign w:val="bottom"/>
          </w:tcPr>
          <w:p w14:paraId="1C8DC054"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94</w:t>
            </w:r>
          </w:p>
        </w:tc>
        <w:tc>
          <w:tcPr>
            <w:tcW w:w="1380" w:type="dxa"/>
            <w:tcBorders>
              <w:top w:val="nil"/>
              <w:left w:val="nil"/>
              <w:bottom w:val="single" w:sz="4" w:space="0" w:color="auto"/>
              <w:right w:val="nil"/>
            </w:tcBorders>
            <w:shd w:val="clear" w:color="auto" w:fill="auto"/>
            <w:noWrap/>
            <w:vAlign w:val="bottom"/>
          </w:tcPr>
          <w:p w14:paraId="05182412"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189</w:t>
            </w:r>
          </w:p>
        </w:tc>
      </w:tr>
      <w:tr w:rsidR="00177387" w:rsidRPr="00FB249F" w14:paraId="664D728E" w14:textId="77777777" w:rsidTr="00C510DC">
        <w:tc>
          <w:tcPr>
            <w:tcW w:w="3101" w:type="dxa"/>
            <w:tcBorders>
              <w:top w:val="single" w:sz="4" w:space="0" w:color="auto"/>
              <w:left w:val="nil"/>
              <w:bottom w:val="nil"/>
              <w:right w:val="nil"/>
            </w:tcBorders>
            <w:shd w:val="clear" w:color="auto" w:fill="auto"/>
            <w:noWrap/>
            <w:vAlign w:val="bottom"/>
          </w:tcPr>
          <w:p w14:paraId="674EDD41"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 xml:space="preserve">Maximum take </w:t>
            </w:r>
            <w:r w:rsidRPr="00FB249F">
              <w:rPr>
                <w:rFonts w:eastAsia="Calibri" w:cs="Times New Roman"/>
                <w:sz w:val="18"/>
                <w:szCs w:val="18"/>
                <w:lang w:eastAsia="en-US"/>
              </w:rPr>
              <w:t>(m</w:t>
            </w:r>
            <w:r w:rsidRPr="00FB249F">
              <w:rPr>
                <w:rFonts w:eastAsia="Calibri" w:cs="Times New Roman"/>
                <w:sz w:val="18"/>
                <w:szCs w:val="18"/>
                <w:vertAlign w:val="superscript"/>
                <w:lang w:eastAsia="en-US"/>
              </w:rPr>
              <w:t>3</w:t>
            </w:r>
            <w:r w:rsidRPr="00FB249F">
              <w:rPr>
                <w:rFonts w:eastAsia="Calibri" w:cs="Times New Roman"/>
                <w:sz w:val="18"/>
                <w:szCs w:val="18"/>
                <w:lang w:eastAsia="en-US"/>
              </w:rPr>
              <w:t xml:space="preserve"> d</w:t>
            </w:r>
            <w:r w:rsidRPr="00FB249F">
              <w:rPr>
                <w:rFonts w:eastAsia="Calibri" w:cs="Times New Roman"/>
                <w:sz w:val="18"/>
                <w:szCs w:val="18"/>
                <w:vertAlign w:val="superscript"/>
                <w:lang w:eastAsia="en-US"/>
              </w:rPr>
              <w:t>-1</w:t>
            </w:r>
            <w:r w:rsidRPr="00FB249F">
              <w:rPr>
                <w:rFonts w:eastAsia="Calibri" w:cs="Times New Roman"/>
                <w:sz w:val="18"/>
                <w:szCs w:val="18"/>
                <w:lang w:eastAsia="en-US"/>
              </w:rPr>
              <w:t>)</w:t>
            </w:r>
          </w:p>
        </w:tc>
        <w:tc>
          <w:tcPr>
            <w:tcW w:w="1623" w:type="dxa"/>
            <w:tcBorders>
              <w:top w:val="single" w:sz="4" w:space="0" w:color="auto"/>
              <w:left w:val="nil"/>
              <w:bottom w:val="nil"/>
              <w:right w:val="nil"/>
            </w:tcBorders>
            <w:shd w:val="clear" w:color="auto" w:fill="auto"/>
            <w:noWrap/>
            <w:vAlign w:val="bottom"/>
          </w:tcPr>
          <w:p w14:paraId="578AE41F" w14:textId="77777777" w:rsidR="00177387" w:rsidRPr="00FB249F" w:rsidRDefault="00177387" w:rsidP="00F23144">
            <w:pPr>
              <w:spacing w:before="40" w:after="0" w:line="240" w:lineRule="auto"/>
              <w:jc w:val="left"/>
              <w:rPr>
                <w:rFonts w:eastAsia="Times New Roman" w:cs="Calibri"/>
                <w:color w:val="000000"/>
                <w:sz w:val="18"/>
                <w:szCs w:val="18"/>
              </w:rPr>
            </w:pPr>
          </w:p>
        </w:tc>
        <w:tc>
          <w:tcPr>
            <w:tcW w:w="1219" w:type="dxa"/>
            <w:tcBorders>
              <w:top w:val="single" w:sz="4" w:space="0" w:color="auto"/>
              <w:left w:val="nil"/>
              <w:bottom w:val="nil"/>
              <w:right w:val="nil"/>
            </w:tcBorders>
            <w:shd w:val="clear" w:color="auto" w:fill="auto"/>
            <w:noWrap/>
            <w:vAlign w:val="bottom"/>
          </w:tcPr>
          <w:p w14:paraId="065E6D7B" w14:textId="77777777" w:rsidR="00177387" w:rsidRPr="00FB249F" w:rsidRDefault="00177387" w:rsidP="00F23144">
            <w:pPr>
              <w:spacing w:before="40" w:after="0" w:line="240" w:lineRule="auto"/>
              <w:jc w:val="left"/>
              <w:rPr>
                <w:rFonts w:eastAsia="Times New Roman" w:cs="Calibri"/>
                <w:color w:val="000000"/>
                <w:sz w:val="18"/>
                <w:szCs w:val="18"/>
              </w:rPr>
            </w:pPr>
          </w:p>
        </w:tc>
        <w:tc>
          <w:tcPr>
            <w:tcW w:w="1177" w:type="dxa"/>
            <w:tcBorders>
              <w:top w:val="single" w:sz="4" w:space="0" w:color="auto"/>
              <w:left w:val="nil"/>
              <w:bottom w:val="nil"/>
              <w:right w:val="nil"/>
            </w:tcBorders>
            <w:shd w:val="clear" w:color="auto" w:fill="auto"/>
            <w:noWrap/>
            <w:vAlign w:val="bottom"/>
          </w:tcPr>
          <w:p w14:paraId="6F9AB098" w14:textId="77777777" w:rsidR="00177387" w:rsidRPr="00FB249F" w:rsidRDefault="00177387" w:rsidP="00F23144">
            <w:pPr>
              <w:spacing w:before="40" w:after="0" w:line="240" w:lineRule="auto"/>
              <w:jc w:val="right"/>
              <w:rPr>
                <w:rFonts w:eastAsia="Times New Roman" w:cs="Calibri"/>
                <w:color w:val="000000"/>
                <w:sz w:val="18"/>
                <w:szCs w:val="18"/>
              </w:rPr>
            </w:pPr>
          </w:p>
        </w:tc>
        <w:tc>
          <w:tcPr>
            <w:tcW w:w="1380" w:type="dxa"/>
            <w:tcBorders>
              <w:top w:val="single" w:sz="4" w:space="0" w:color="auto"/>
              <w:left w:val="nil"/>
              <w:bottom w:val="nil"/>
              <w:right w:val="nil"/>
            </w:tcBorders>
            <w:shd w:val="clear" w:color="auto" w:fill="auto"/>
            <w:noWrap/>
            <w:vAlign w:val="bottom"/>
          </w:tcPr>
          <w:p w14:paraId="1C7597CE" w14:textId="77777777" w:rsidR="00177387" w:rsidRPr="00FB249F" w:rsidRDefault="00177387" w:rsidP="00F23144">
            <w:pPr>
              <w:spacing w:before="40" w:after="0" w:line="240" w:lineRule="auto"/>
              <w:jc w:val="right"/>
              <w:rPr>
                <w:rFonts w:eastAsia="Times New Roman" w:cs="Calibri"/>
                <w:color w:val="000000"/>
                <w:sz w:val="18"/>
                <w:szCs w:val="18"/>
              </w:rPr>
            </w:pPr>
          </w:p>
        </w:tc>
      </w:tr>
      <w:tr w:rsidR="00177387" w:rsidRPr="00FB249F" w14:paraId="44703FDF" w14:textId="77777777" w:rsidTr="00C510DC">
        <w:tc>
          <w:tcPr>
            <w:tcW w:w="3101" w:type="dxa"/>
            <w:tcBorders>
              <w:top w:val="nil"/>
              <w:left w:val="nil"/>
              <w:bottom w:val="nil"/>
              <w:right w:val="nil"/>
            </w:tcBorders>
            <w:shd w:val="clear" w:color="auto" w:fill="auto"/>
            <w:noWrap/>
            <w:vAlign w:val="bottom"/>
          </w:tcPr>
          <w:p w14:paraId="44309EAE" w14:textId="77777777" w:rsidR="00177387" w:rsidRPr="00FB249F" w:rsidRDefault="00177387" w:rsidP="00F23144">
            <w:pPr>
              <w:spacing w:before="40" w:after="0" w:line="240" w:lineRule="auto"/>
              <w:jc w:val="left"/>
              <w:rPr>
                <w:rFonts w:eastAsia="Times New Roman" w:cs="Calibri"/>
                <w:color w:val="000000"/>
                <w:sz w:val="18"/>
                <w:szCs w:val="18"/>
              </w:rPr>
            </w:pPr>
          </w:p>
        </w:tc>
        <w:tc>
          <w:tcPr>
            <w:tcW w:w="1623" w:type="dxa"/>
            <w:tcBorders>
              <w:top w:val="nil"/>
              <w:left w:val="nil"/>
              <w:bottom w:val="nil"/>
              <w:right w:val="nil"/>
            </w:tcBorders>
            <w:shd w:val="clear" w:color="auto" w:fill="auto"/>
            <w:noWrap/>
            <w:vAlign w:val="bottom"/>
          </w:tcPr>
          <w:p w14:paraId="18446509"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Groundwater</w:t>
            </w:r>
          </w:p>
        </w:tc>
        <w:tc>
          <w:tcPr>
            <w:tcW w:w="1219" w:type="dxa"/>
            <w:tcBorders>
              <w:top w:val="nil"/>
              <w:left w:val="nil"/>
              <w:bottom w:val="nil"/>
              <w:right w:val="nil"/>
            </w:tcBorders>
            <w:shd w:val="clear" w:color="auto" w:fill="auto"/>
            <w:noWrap/>
            <w:vAlign w:val="bottom"/>
          </w:tcPr>
          <w:p w14:paraId="12E4CC5C"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GWRC</w:t>
            </w:r>
          </w:p>
        </w:tc>
        <w:tc>
          <w:tcPr>
            <w:tcW w:w="1177" w:type="dxa"/>
            <w:tcBorders>
              <w:top w:val="nil"/>
              <w:left w:val="nil"/>
              <w:bottom w:val="nil"/>
              <w:right w:val="nil"/>
            </w:tcBorders>
            <w:shd w:val="clear" w:color="auto" w:fill="auto"/>
            <w:noWrap/>
            <w:vAlign w:val="bottom"/>
          </w:tcPr>
          <w:p w14:paraId="6E80A0D6"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12118200</w:t>
            </w:r>
          </w:p>
        </w:tc>
        <w:tc>
          <w:tcPr>
            <w:tcW w:w="1380" w:type="dxa"/>
            <w:tcBorders>
              <w:top w:val="nil"/>
              <w:left w:val="nil"/>
              <w:bottom w:val="nil"/>
              <w:right w:val="nil"/>
            </w:tcBorders>
            <w:shd w:val="clear" w:color="auto" w:fill="auto"/>
            <w:noWrap/>
            <w:vAlign w:val="bottom"/>
          </w:tcPr>
          <w:p w14:paraId="57A73384"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402910</w:t>
            </w:r>
          </w:p>
        </w:tc>
      </w:tr>
      <w:tr w:rsidR="00177387" w:rsidRPr="00FB249F" w14:paraId="065A23A5" w14:textId="77777777" w:rsidTr="00C510DC">
        <w:tc>
          <w:tcPr>
            <w:tcW w:w="3101" w:type="dxa"/>
            <w:tcBorders>
              <w:top w:val="nil"/>
              <w:left w:val="nil"/>
              <w:bottom w:val="nil"/>
              <w:right w:val="nil"/>
            </w:tcBorders>
            <w:shd w:val="clear" w:color="auto" w:fill="auto"/>
            <w:noWrap/>
            <w:vAlign w:val="bottom"/>
          </w:tcPr>
          <w:p w14:paraId="214F1D96" w14:textId="77777777" w:rsidR="00177387" w:rsidRPr="00FB249F" w:rsidRDefault="00177387" w:rsidP="00F23144">
            <w:pPr>
              <w:spacing w:before="40" w:after="0" w:line="240" w:lineRule="auto"/>
              <w:jc w:val="left"/>
              <w:rPr>
                <w:rFonts w:eastAsia="Times New Roman" w:cs="Calibri"/>
                <w:color w:val="000000"/>
                <w:sz w:val="18"/>
                <w:szCs w:val="18"/>
              </w:rPr>
            </w:pPr>
          </w:p>
        </w:tc>
        <w:tc>
          <w:tcPr>
            <w:tcW w:w="1623" w:type="dxa"/>
            <w:tcBorders>
              <w:top w:val="nil"/>
              <w:left w:val="nil"/>
              <w:bottom w:val="nil"/>
              <w:right w:val="nil"/>
            </w:tcBorders>
            <w:shd w:val="clear" w:color="auto" w:fill="auto"/>
            <w:noWrap/>
            <w:vAlign w:val="bottom"/>
          </w:tcPr>
          <w:p w14:paraId="732ED995"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Groundwater</w:t>
            </w:r>
          </w:p>
        </w:tc>
        <w:tc>
          <w:tcPr>
            <w:tcW w:w="1219" w:type="dxa"/>
            <w:tcBorders>
              <w:top w:val="nil"/>
              <w:left w:val="nil"/>
              <w:bottom w:val="nil"/>
              <w:right w:val="nil"/>
            </w:tcBorders>
            <w:shd w:val="clear" w:color="auto" w:fill="auto"/>
            <w:noWrap/>
            <w:vAlign w:val="bottom"/>
          </w:tcPr>
          <w:p w14:paraId="675E1E04"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Horizons</w:t>
            </w:r>
          </w:p>
        </w:tc>
        <w:tc>
          <w:tcPr>
            <w:tcW w:w="1177" w:type="dxa"/>
            <w:tcBorders>
              <w:top w:val="nil"/>
              <w:left w:val="nil"/>
              <w:bottom w:val="nil"/>
              <w:right w:val="nil"/>
            </w:tcBorders>
            <w:shd w:val="clear" w:color="auto" w:fill="auto"/>
            <w:noWrap/>
            <w:vAlign w:val="bottom"/>
          </w:tcPr>
          <w:p w14:paraId="20B26715"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2139095295</w:t>
            </w:r>
          </w:p>
        </w:tc>
        <w:tc>
          <w:tcPr>
            <w:tcW w:w="1380" w:type="dxa"/>
            <w:tcBorders>
              <w:top w:val="nil"/>
              <w:left w:val="nil"/>
              <w:bottom w:val="nil"/>
              <w:right w:val="nil"/>
            </w:tcBorders>
            <w:shd w:val="clear" w:color="auto" w:fill="auto"/>
            <w:noWrap/>
            <w:vAlign w:val="bottom"/>
          </w:tcPr>
          <w:p w14:paraId="77294C1E"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561197</w:t>
            </w:r>
          </w:p>
        </w:tc>
      </w:tr>
      <w:tr w:rsidR="00177387" w:rsidRPr="00FB249F" w14:paraId="64CAA24C" w14:textId="77777777" w:rsidTr="00C510DC">
        <w:tc>
          <w:tcPr>
            <w:tcW w:w="3101" w:type="dxa"/>
            <w:tcBorders>
              <w:top w:val="nil"/>
              <w:left w:val="nil"/>
              <w:bottom w:val="nil"/>
              <w:right w:val="nil"/>
            </w:tcBorders>
            <w:shd w:val="clear" w:color="auto" w:fill="auto"/>
            <w:noWrap/>
            <w:vAlign w:val="bottom"/>
          </w:tcPr>
          <w:p w14:paraId="4B163773" w14:textId="77777777" w:rsidR="00177387" w:rsidRPr="00FB249F" w:rsidRDefault="00177387" w:rsidP="00F23144">
            <w:pPr>
              <w:spacing w:before="40" w:after="0" w:line="240" w:lineRule="auto"/>
              <w:jc w:val="left"/>
              <w:rPr>
                <w:rFonts w:eastAsia="Times New Roman" w:cs="Calibri"/>
                <w:color w:val="000000"/>
                <w:sz w:val="18"/>
                <w:szCs w:val="18"/>
              </w:rPr>
            </w:pPr>
          </w:p>
        </w:tc>
        <w:tc>
          <w:tcPr>
            <w:tcW w:w="1623" w:type="dxa"/>
            <w:tcBorders>
              <w:top w:val="nil"/>
              <w:left w:val="nil"/>
              <w:bottom w:val="nil"/>
              <w:right w:val="nil"/>
            </w:tcBorders>
            <w:shd w:val="clear" w:color="auto" w:fill="auto"/>
            <w:noWrap/>
            <w:vAlign w:val="bottom"/>
          </w:tcPr>
          <w:p w14:paraId="2E5A0DB2"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 xml:space="preserve">Surface water </w:t>
            </w:r>
          </w:p>
        </w:tc>
        <w:tc>
          <w:tcPr>
            <w:tcW w:w="1219" w:type="dxa"/>
            <w:tcBorders>
              <w:top w:val="nil"/>
              <w:left w:val="nil"/>
              <w:bottom w:val="nil"/>
              <w:right w:val="nil"/>
            </w:tcBorders>
            <w:shd w:val="clear" w:color="auto" w:fill="auto"/>
            <w:noWrap/>
            <w:vAlign w:val="bottom"/>
          </w:tcPr>
          <w:p w14:paraId="4FCC341D"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GWRC</w:t>
            </w:r>
          </w:p>
        </w:tc>
        <w:tc>
          <w:tcPr>
            <w:tcW w:w="1177" w:type="dxa"/>
            <w:tcBorders>
              <w:top w:val="nil"/>
              <w:left w:val="nil"/>
              <w:bottom w:val="nil"/>
              <w:right w:val="nil"/>
            </w:tcBorders>
            <w:shd w:val="clear" w:color="auto" w:fill="auto"/>
            <w:noWrap/>
            <w:vAlign w:val="bottom"/>
          </w:tcPr>
          <w:p w14:paraId="67F81D31"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5291858</w:t>
            </w:r>
          </w:p>
        </w:tc>
        <w:tc>
          <w:tcPr>
            <w:tcW w:w="1380" w:type="dxa"/>
            <w:tcBorders>
              <w:top w:val="nil"/>
              <w:left w:val="nil"/>
              <w:bottom w:val="nil"/>
              <w:right w:val="nil"/>
            </w:tcBorders>
            <w:shd w:val="clear" w:color="auto" w:fill="auto"/>
            <w:noWrap/>
            <w:vAlign w:val="bottom"/>
          </w:tcPr>
          <w:p w14:paraId="3484C6C7"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142133</w:t>
            </w:r>
          </w:p>
        </w:tc>
      </w:tr>
      <w:tr w:rsidR="00177387" w:rsidRPr="00FB249F" w14:paraId="34578667" w14:textId="77777777" w:rsidTr="00C510DC">
        <w:tc>
          <w:tcPr>
            <w:tcW w:w="3101" w:type="dxa"/>
            <w:tcBorders>
              <w:top w:val="nil"/>
              <w:left w:val="nil"/>
              <w:bottom w:val="single" w:sz="4" w:space="0" w:color="auto"/>
              <w:right w:val="nil"/>
            </w:tcBorders>
            <w:shd w:val="clear" w:color="auto" w:fill="auto"/>
            <w:noWrap/>
            <w:vAlign w:val="bottom"/>
          </w:tcPr>
          <w:p w14:paraId="4CC12DED" w14:textId="77777777" w:rsidR="00177387" w:rsidRPr="00FB249F" w:rsidRDefault="00177387" w:rsidP="00F23144">
            <w:pPr>
              <w:spacing w:before="40" w:after="0" w:line="240" w:lineRule="auto"/>
              <w:jc w:val="left"/>
              <w:rPr>
                <w:rFonts w:eastAsia="Times New Roman" w:cs="Calibri"/>
                <w:color w:val="000000"/>
                <w:sz w:val="18"/>
                <w:szCs w:val="18"/>
              </w:rPr>
            </w:pPr>
          </w:p>
        </w:tc>
        <w:tc>
          <w:tcPr>
            <w:tcW w:w="1623" w:type="dxa"/>
            <w:tcBorders>
              <w:top w:val="nil"/>
              <w:left w:val="nil"/>
              <w:bottom w:val="single" w:sz="4" w:space="0" w:color="auto"/>
              <w:right w:val="nil"/>
            </w:tcBorders>
            <w:shd w:val="clear" w:color="auto" w:fill="auto"/>
            <w:noWrap/>
            <w:vAlign w:val="bottom"/>
          </w:tcPr>
          <w:p w14:paraId="2A0BC1A7"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 xml:space="preserve">Surface water </w:t>
            </w:r>
          </w:p>
        </w:tc>
        <w:tc>
          <w:tcPr>
            <w:tcW w:w="1219" w:type="dxa"/>
            <w:tcBorders>
              <w:top w:val="nil"/>
              <w:left w:val="nil"/>
              <w:bottom w:val="single" w:sz="4" w:space="0" w:color="auto"/>
              <w:right w:val="nil"/>
            </w:tcBorders>
            <w:shd w:val="clear" w:color="auto" w:fill="auto"/>
            <w:noWrap/>
            <w:vAlign w:val="bottom"/>
          </w:tcPr>
          <w:p w14:paraId="2010F45E"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Horizons</w:t>
            </w:r>
          </w:p>
        </w:tc>
        <w:tc>
          <w:tcPr>
            <w:tcW w:w="1177" w:type="dxa"/>
            <w:tcBorders>
              <w:top w:val="nil"/>
              <w:left w:val="nil"/>
              <w:bottom w:val="single" w:sz="4" w:space="0" w:color="auto"/>
              <w:right w:val="nil"/>
            </w:tcBorders>
            <w:shd w:val="clear" w:color="auto" w:fill="auto"/>
            <w:noWrap/>
            <w:vAlign w:val="bottom"/>
          </w:tcPr>
          <w:p w14:paraId="457B85AD"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1316366178</w:t>
            </w:r>
          </w:p>
        </w:tc>
        <w:tc>
          <w:tcPr>
            <w:tcW w:w="1380" w:type="dxa"/>
            <w:tcBorders>
              <w:top w:val="nil"/>
              <w:left w:val="nil"/>
              <w:bottom w:val="single" w:sz="4" w:space="0" w:color="auto"/>
              <w:right w:val="nil"/>
            </w:tcBorders>
            <w:shd w:val="clear" w:color="auto" w:fill="auto"/>
            <w:noWrap/>
            <w:vAlign w:val="bottom"/>
          </w:tcPr>
          <w:p w14:paraId="2EC41B49"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14525</w:t>
            </w:r>
          </w:p>
        </w:tc>
      </w:tr>
      <w:tr w:rsidR="00177387" w:rsidRPr="00FB249F" w14:paraId="4E45DB27" w14:textId="77777777" w:rsidTr="00C510DC">
        <w:tc>
          <w:tcPr>
            <w:tcW w:w="3101" w:type="dxa"/>
            <w:tcBorders>
              <w:top w:val="single" w:sz="4" w:space="0" w:color="auto"/>
              <w:left w:val="nil"/>
              <w:bottom w:val="nil"/>
              <w:right w:val="nil"/>
            </w:tcBorders>
            <w:shd w:val="clear" w:color="auto" w:fill="auto"/>
            <w:noWrap/>
            <w:vAlign w:val="bottom"/>
          </w:tcPr>
          <w:p w14:paraId="1CCBF0D1"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 xml:space="preserve">Mean take </w:t>
            </w:r>
            <w:r w:rsidRPr="00FB249F">
              <w:rPr>
                <w:rFonts w:eastAsia="Calibri" w:cs="Times New Roman"/>
                <w:sz w:val="18"/>
                <w:szCs w:val="18"/>
                <w:lang w:eastAsia="en-US"/>
              </w:rPr>
              <w:t>(m</w:t>
            </w:r>
            <w:r w:rsidRPr="00FB249F">
              <w:rPr>
                <w:rFonts w:eastAsia="Calibri" w:cs="Times New Roman"/>
                <w:sz w:val="18"/>
                <w:szCs w:val="18"/>
                <w:vertAlign w:val="superscript"/>
                <w:lang w:eastAsia="en-US"/>
              </w:rPr>
              <w:t>3</w:t>
            </w:r>
            <w:r w:rsidRPr="00FB249F">
              <w:rPr>
                <w:rFonts w:eastAsia="Calibri" w:cs="Times New Roman"/>
                <w:sz w:val="18"/>
                <w:szCs w:val="18"/>
                <w:lang w:eastAsia="en-US"/>
              </w:rPr>
              <w:t xml:space="preserve"> d</w:t>
            </w:r>
            <w:r w:rsidRPr="00FB249F">
              <w:rPr>
                <w:rFonts w:eastAsia="Calibri" w:cs="Times New Roman"/>
                <w:sz w:val="18"/>
                <w:szCs w:val="18"/>
                <w:vertAlign w:val="superscript"/>
                <w:lang w:eastAsia="en-US"/>
              </w:rPr>
              <w:t>-1</w:t>
            </w:r>
            <w:r w:rsidRPr="00FB249F">
              <w:rPr>
                <w:rFonts w:eastAsia="Calibri" w:cs="Times New Roman"/>
                <w:sz w:val="18"/>
                <w:szCs w:val="18"/>
                <w:lang w:eastAsia="en-US"/>
              </w:rPr>
              <w:t>)</w:t>
            </w:r>
          </w:p>
        </w:tc>
        <w:tc>
          <w:tcPr>
            <w:tcW w:w="1623" w:type="dxa"/>
            <w:tcBorders>
              <w:top w:val="single" w:sz="4" w:space="0" w:color="auto"/>
              <w:left w:val="nil"/>
              <w:bottom w:val="nil"/>
              <w:right w:val="nil"/>
            </w:tcBorders>
            <w:shd w:val="clear" w:color="auto" w:fill="auto"/>
            <w:noWrap/>
            <w:vAlign w:val="bottom"/>
          </w:tcPr>
          <w:p w14:paraId="56E23BC5" w14:textId="77777777" w:rsidR="00177387" w:rsidRPr="00FB249F" w:rsidRDefault="00177387" w:rsidP="00F23144">
            <w:pPr>
              <w:spacing w:before="40" w:after="0" w:line="240" w:lineRule="auto"/>
              <w:jc w:val="left"/>
              <w:rPr>
                <w:rFonts w:eastAsia="Times New Roman" w:cs="Calibri"/>
                <w:color w:val="000000"/>
                <w:sz w:val="18"/>
                <w:szCs w:val="18"/>
              </w:rPr>
            </w:pPr>
          </w:p>
        </w:tc>
        <w:tc>
          <w:tcPr>
            <w:tcW w:w="1219" w:type="dxa"/>
            <w:tcBorders>
              <w:top w:val="single" w:sz="4" w:space="0" w:color="auto"/>
              <w:left w:val="nil"/>
              <w:bottom w:val="nil"/>
              <w:right w:val="nil"/>
            </w:tcBorders>
            <w:shd w:val="clear" w:color="auto" w:fill="auto"/>
            <w:noWrap/>
            <w:vAlign w:val="bottom"/>
          </w:tcPr>
          <w:p w14:paraId="401BD719" w14:textId="77777777" w:rsidR="00177387" w:rsidRPr="00FB249F" w:rsidRDefault="00177387" w:rsidP="00F23144">
            <w:pPr>
              <w:spacing w:before="40" w:after="0" w:line="240" w:lineRule="auto"/>
              <w:jc w:val="left"/>
              <w:rPr>
                <w:rFonts w:eastAsia="Times New Roman" w:cs="Calibri"/>
                <w:color w:val="000000"/>
                <w:sz w:val="18"/>
                <w:szCs w:val="18"/>
              </w:rPr>
            </w:pPr>
          </w:p>
        </w:tc>
        <w:tc>
          <w:tcPr>
            <w:tcW w:w="1177" w:type="dxa"/>
            <w:tcBorders>
              <w:top w:val="single" w:sz="4" w:space="0" w:color="auto"/>
              <w:left w:val="nil"/>
              <w:bottom w:val="nil"/>
              <w:right w:val="nil"/>
            </w:tcBorders>
            <w:shd w:val="clear" w:color="auto" w:fill="auto"/>
            <w:noWrap/>
            <w:vAlign w:val="bottom"/>
          </w:tcPr>
          <w:p w14:paraId="0717AE75" w14:textId="77777777" w:rsidR="00177387" w:rsidRPr="00FB249F" w:rsidRDefault="00177387" w:rsidP="00F23144">
            <w:pPr>
              <w:spacing w:before="40" w:after="0" w:line="240" w:lineRule="auto"/>
              <w:jc w:val="right"/>
              <w:rPr>
                <w:rFonts w:eastAsia="Times New Roman" w:cs="Calibri"/>
                <w:color w:val="000000"/>
                <w:sz w:val="18"/>
                <w:szCs w:val="18"/>
              </w:rPr>
            </w:pPr>
          </w:p>
        </w:tc>
        <w:tc>
          <w:tcPr>
            <w:tcW w:w="1380" w:type="dxa"/>
            <w:tcBorders>
              <w:top w:val="single" w:sz="4" w:space="0" w:color="auto"/>
              <w:left w:val="nil"/>
              <w:bottom w:val="nil"/>
              <w:right w:val="nil"/>
            </w:tcBorders>
            <w:shd w:val="clear" w:color="auto" w:fill="auto"/>
            <w:noWrap/>
            <w:vAlign w:val="bottom"/>
          </w:tcPr>
          <w:p w14:paraId="328C5FD9" w14:textId="77777777" w:rsidR="00177387" w:rsidRPr="00FB249F" w:rsidRDefault="00177387" w:rsidP="00F23144">
            <w:pPr>
              <w:spacing w:before="40" w:after="0" w:line="240" w:lineRule="auto"/>
              <w:jc w:val="right"/>
              <w:rPr>
                <w:rFonts w:eastAsia="Times New Roman" w:cs="Calibri"/>
                <w:color w:val="000000"/>
                <w:sz w:val="18"/>
                <w:szCs w:val="18"/>
              </w:rPr>
            </w:pPr>
          </w:p>
        </w:tc>
      </w:tr>
      <w:tr w:rsidR="00177387" w:rsidRPr="00FB249F" w14:paraId="1250849C" w14:textId="77777777" w:rsidTr="00C510DC">
        <w:tc>
          <w:tcPr>
            <w:tcW w:w="3101" w:type="dxa"/>
            <w:tcBorders>
              <w:top w:val="nil"/>
              <w:left w:val="nil"/>
              <w:bottom w:val="nil"/>
              <w:right w:val="nil"/>
            </w:tcBorders>
            <w:shd w:val="clear" w:color="auto" w:fill="auto"/>
            <w:noWrap/>
            <w:vAlign w:val="bottom"/>
          </w:tcPr>
          <w:p w14:paraId="68F54068" w14:textId="77777777" w:rsidR="00177387" w:rsidRPr="00FB249F" w:rsidRDefault="00177387" w:rsidP="00F23144">
            <w:pPr>
              <w:spacing w:before="40" w:after="0" w:line="240" w:lineRule="auto"/>
              <w:jc w:val="left"/>
              <w:rPr>
                <w:rFonts w:eastAsia="Times New Roman" w:cs="Calibri"/>
                <w:color w:val="000000"/>
                <w:sz w:val="18"/>
                <w:szCs w:val="18"/>
              </w:rPr>
            </w:pPr>
          </w:p>
        </w:tc>
        <w:tc>
          <w:tcPr>
            <w:tcW w:w="1623" w:type="dxa"/>
            <w:tcBorders>
              <w:top w:val="nil"/>
              <w:left w:val="nil"/>
              <w:bottom w:val="nil"/>
              <w:right w:val="nil"/>
            </w:tcBorders>
            <w:shd w:val="clear" w:color="auto" w:fill="auto"/>
            <w:noWrap/>
            <w:vAlign w:val="bottom"/>
          </w:tcPr>
          <w:p w14:paraId="23B4BC6F"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Groundwater</w:t>
            </w:r>
          </w:p>
        </w:tc>
        <w:tc>
          <w:tcPr>
            <w:tcW w:w="1219" w:type="dxa"/>
            <w:tcBorders>
              <w:top w:val="nil"/>
              <w:left w:val="nil"/>
              <w:bottom w:val="nil"/>
              <w:right w:val="nil"/>
            </w:tcBorders>
            <w:shd w:val="clear" w:color="auto" w:fill="auto"/>
            <w:noWrap/>
            <w:vAlign w:val="bottom"/>
          </w:tcPr>
          <w:p w14:paraId="67ADC251"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GWRC</w:t>
            </w:r>
          </w:p>
        </w:tc>
        <w:tc>
          <w:tcPr>
            <w:tcW w:w="1177" w:type="dxa"/>
            <w:tcBorders>
              <w:top w:val="nil"/>
              <w:left w:val="nil"/>
              <w:bottom w:val="nil"/>
              <w:right w:val="nil"/>
            </w:tcBorders>
            <w:shd w:val="clear" w:color="auto" w:fill="auto"/>
            <w:noWrap/>
            <w:vAlign w:val="bottom"/>
          </w:tcPr>
          <w:p w14:paraId="10048F05"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2079</w:t>
            </w:r>
          </w:p>
        </w:tc>
        <w:tc>
          <w:tcPr>
            <w:tcW w:w="1380" w:type="dxa"/>
            <w:tcBorders>
              <w:top w:val="nil"/>
              <w:left w:val="nil"/>
              <w:bottom w:val="nil"/>
              <w:right w:val="nil"/>
            </w:tcBorders>
            <w:shd w:val="clear" w:color="auto" w:fill="auto"/>
            <w:noWrap/>
            <w:vAlign w:val="bottom"/>
          </w:tcPr>
          <w:p w14:paraId="19EF7462"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466</w:t>
            </w:r>
          </w:p>
        </w:tc>
      </w:tr>
      <w:tr w:rsidR="00177387" w:rsidRPr="00FB249F" w14:paraId="232D73EC" w14:textId="77777777" w:rsidTr="00C510DC">
        <w:tc>
          <w:tcPr>
            <w:tcW w:w="3101" w:type="dxa"/>
            <w:tcBorders>
              <w:top w:val="nil"/>
              <w:left w:val="nil"/>
              <w:bottom w:val="nil"/>
              <w:right w:val="nil"/>
            </w:tcBorders>
            <w:shd w:val="clear" w:color="auto" w:fill="auto"/>
            <w:noWrap/>
            <w:vAlign w:val="bottom"/>
          </w:tcPr>
          <w:p w14:paraId="35FC0035" w14:textId="77777777" w:rsidR="00177387" w:rsidRPr="00FB249F" w:rsidRDefault="00177387" w:rsidP="00F23144">
            <w:pPr>
              <w:spacing w:before="40" w:after="0" w:line="240" w:lineRule="auto"/>
              <w:jc w:val="left"/>
              <w:rPr>
                <w:rFonts w:eastAsia="Times New Roman" w:cs="Calibri"/>
                <w:color w:val="000000"/>
                <w:sz w:val="18"/>
                <w:szCs w:val="18"/>
              </w:rPr>
            </w:pPr>
          </w:p>
        </w:tc>
        <w:tc>
          <w:tcPr>
            <w:tcW w:w="1623" w:type="dxa"/>
            <w:tcBorders>
              <w:top w:val="nil"/>
              <w:left w:val="nil"/>
              <w:bottom w:val="nil"/>
              <w:right w:val="nil"/>
            </w:tcBorders>
            <w:shd w:val="clear" w:color="auto" w:fill="auto"/>
            <w:noWrap/>
            <w:vAlign w:val="bottom"/>
          </w:tcPr>
          <w:p w14:paraId="1FA0B930"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Groundwater</w:t>
            </w:r>
          </w:p>
        </w:tc>
        <w:tc>
          <w:tcPr>
            <w:tcW w:w="1219" w:type="dxa"/>
            <w:tcBorders>
              <w:top w:val="nil"/>
              <w:left w:val="nil"/>
              <w:bottom w:val="nil"/>
              <w:right w:val="nil"/>
            </w:tcBorders>
            <w:shd w:val="clear" w:color="auto" w:fill="auto"/>
            <w:noWrap/>
            <w:vAlign w:val="bottom"/>
          </w:tcPr>
          <w:p w14:paraId="73ED284C"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Horizons</w:t>
            </w:r>
          </w:p>
        </w:tc>
        <w:tc>
          <w:tcPr>
            <w:tcW w:w="1177" w:type="dxa"/>
            <w:tcBorders>
              <w:top w:val="nil"/>
              <w:left w:val="nil"/>
              <w:bottom w:val="nil"/>
              <w:right w:val="nil"/>
            </w:tcBorders>
            <w:shd w:val="clear" w:color="auto" w:fill="auto"/>
            <w:noWrap/>
            <w:vAlign w:val="bottom"/>
          </w:tcPr>
          <w:p w14:paraId="6C2FDED9"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143935</w:t>
            </w:r>
          </w:p>
        </w:tc>
        <w:tc>
          <w:tcPr>
            <w:tcW w:w="1380" w:type="dxa"/>
            <w:tcBorders>
              <w:top w:val="nil"/>
              <w:left w:val="nil"/>
              <w:bottom w:val="nil"/>
              <w:right w:val="nil"/>
            </w:tcBorders>
            <w:shd w:val="clear" w:color="auto" w:fill="auto"/>
            <w:noWrap/>
            <w:vAlign w:val="bottom"/>
          </w:tcPr>
          <w:p w14:paraId="038512C3"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407</w:t>
            </w:r>
          </w:p>
        </w:tc>
      </w:tr>
      <w:tr w:rsidR="00177387" w:rsidRPr="00FB249F" w14:paraId="2CE54116" w14:textId="77777777" w:rsidTr="00C510DC">
        <w:tc>
          <w:tcPr>
            <w:tcW w:w="3101" w:type="dxa"/>
            <w:tcBorders>
              <w:top w:val="nil"/>
              <w:left w:val="nil"/>
              <w:bottom w:val="nil"/>
              <w:right w:val="nil"/>
            </w:tcBorders>
            <w:shd w:val="clear" w:color="auto" w:fill="auto"/>
            <w:noWrap/>
            <w:vAlign w:val="bottom"/>
          </w:tcPr>
          <w:p w14:paraId="21C4D73D" w14:textId="77777777" w:rsidR="00177387" w:rsidRPr="00FB249F" w:rsidRDefault="00177387" w:rsidP="00F23144">
            <w:pPr>
              <w:spacing w:before="40" w:after="0" w:line="240" w:lineRule="auto"/>
              <w:jc w:val="left"/>
              <w:rPr>
                <w:rFonts w:eastAsia="Times New Roman" w:cs="Calibri"/>
                <w:color w:val="000000"/>
                <w:sz w:val="18"/>
                <w:szCs w:val="18"/>
              </w:rPr>
            </w:pPr>
          </w:p>
        </w:tc>
        <w:tc>
          <w:tcPr>
            <w:tcW w:w="1623" w:type="dxa"/>
            <w:tcBorders>
              <w:top w:val="nil"/>
              <w:left w:val="nil"/>
              <w:bottom w:val="nil"/>
              <w:right w:val="nil"/>
            </w:tcBorders>
            <w:shd w:val="clear" w:color="auto" w:fill="auto"/>
            <w:noWrap/>
            <w:vAlign w:val="bottom"/>
          </w:tcPr>
          <w:p w14:paraId="178202F9"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 xml:space="preserve">Surface water </w:t>
            </w:r>
          </w:p>
        </w:tc>
        <w:tc>
          <w:tcPr>
            <w:tcW w:w="1219" w:type="dxa"/>
            <w:tcBorders>
              <w:top w:val="nil"/>
              <w:left w:val="nil"/>
              <w:bottom w:val="nil"/>
              <w:right w:val="nil"/>
            </w:tcBorders>
            <w:shd w:val="clear" w:color="auto" w:fill="auto"/>
            <w:noWrap/>
            <w:vAlign w:val="bottom"/>
          </w:tcPr>
          <w:p w14:paraId="71B8CCB1"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GWRC</w:t>
            </w:r>
          </w:p>
        </w:tc>
        <w:tc>
          <w:tcPr>
            <w:tcW w:w="1177" w:type="dxa"/>
            <w:tcBorders>
              <w:top w:val="nil"/>
              <w:left w:val="nil"/>
              <w:bottom w:val="nil"/>
              <w:right w:val="nil"/>
            </w:tcBorders>
            <w:shd w:val="clear" w:color="auto" w:fill="auto"/>
            <w:noWrap/>
            <w:vAlign w:val="bottom"/>
          </w:tcPr>
          <w:p w14:paraId="59919205"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2353</w:t>
            </w:r>
          </w:p>
        </w:tc>
        <w:tc>
          <w:tcPr>
            <w:tcW w:w="1380" w:type="dxa"/>
            <w:tcBorders>
              <w:top w:val="nil"/>
              <w:left w:val="nil"/>
              <w:bottom w:val="nil"/>
              <w:right w:val="nil"/>
            </w:tcBorders>
            <w:shd w:val="clear" w:color="auto" w:fill="auto"/>
            <w:noWrap/>
            <w:vAlign w:val="bottom"/>
          </w:tcPr>
          <w:p w14:paraId="409B9D10"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2517</w:t>
            </w:r>
          </w:p>
        </w:tc>
      </w:tr>
      <w:tr w:rsidR="00177387" w:rsidRPr="00FB249F" w14:paraId="1CD20108" w14:textId="77777777" w:rsidTr="00C510DC">
        <w:tc>
          <w:tcPr>
            <w:tcW w:w="3101" w:type="dxa"/>
            <w:tcBorders>
              <w:top w:val="nil"/>
              <w:left w:val="nil"/>
              <w:bottom w:val="single" w:sz="4" w:space="0" w:color="auto"/>
              <w:right w:val="nil"/>
            </w:tcBorders>
            <w:shd w:val="clear" w:color="auto" w:fill="auto"/>
            <w:noWrap/>
            <w:vAlign w:val="bottom"/>
          </w:tcPr>
          <w:p w14:paraId="71FEAD66" w14:textId="77777777" w:rsidR="00177387" w:rsidRPr="00FB249F" w:rsidRDefault="00177387" w:rsidP="00F23144">
            <w:pPr>
              <w:spacing w:before="40" w:after="0" w:line="240" w:lineRule="auto"/>
              <w:jc w:val="left"/>
              <w:rPr>
                <w:rFonts w:eastAsia="Times New Roman" w:cs="Calibri"/>
                <w:color w:val="000000"/>
                <w:sz w:val="18"/>
                <w:szCs w:val="18"/>
              </w:rPr>
            </w:pPr>
          </w:p>
        </w:tc>
        <w:tc>
          <w:tcPr>
            <w:tcW w:w="1623" w:type="dxa"/>
            <w:tcBorders>
              <w:top w:val="nil"/>
              <w:left w:val="nil"/>
              <w:bottom w:val="single" w:sz="4" w:space="0" w:color="auto"/>
              <w:right w:val="nil"/>
            </w:tcBorders>
            <w:shd w:val="clear" w:color="auto" w:fill="auto"/>
            <w:noWrap/>
            <w:vAlign w:val="bottom"/>
          </w:tcPr>
          <w:p w14:paraId="524F1C0A"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 xml:space="preserve">Surface water </w:t>
            </w:r>
          </w:p>
        </w:tc>
        <w:tc>
          <w:tcPr>
            <w:tcW w:w="1219" w:type="dxa"/>
            <w:tcBorders>
              <w:top w:val="nil"/>
              <w:left w:val="nil"/>
              <w:bottom w:val="single" w:sz="4" w:space="0" w:color="auto"/>
              <w:right w:val="nil"/>
            </w:tcBorders>
            <w:shd w:val="clear" w:color="auto" w:fill="auto"/>
            <w:noWrap/>
            <w:vAlign w:val="bottom"/>
          </w:tcPr>
          <w:p w14:paraId="3FF37A62" w14:textId="77777777" w:rsidR="00177387" w:rsidRPr="00FB249F" w:rsidRDefault="00177387" w:rsidP="00F23144">
            <w:pPr>
              <w:spacing w:before="40" w:after="0" w:line="240" w:lineRule="auto"/>
              <w:jc w:val="left"/>
              <w:rPr>
                <w:rFonts w:eastAsia="Times New Roman" w:cs="Calibri"/>
                <w:color w:val="000000"/>
                <w:sz w:val="18"/>
                <w:szCs w:val="18"/>
              </w:rPr>
            </w:pPr>
            <w:r w:rsidRPr="00FB249F">
              <w:rPr>
                <w:rFonts w:eastAsia="Times New Roman" w:cs="Calibri"/>
                <w:color w:val="000000"/>
                <w:sz w:val="18"/>
                <w:szCs w:val="18"/>
              </w:rPr>
              <w:t>Horizons</w:t>
            </w:r>
          </w:p>
        </w:tc>
        <w:tc>
          <w:tcPr>
            <w:tcW w:w="1177" w:type="dxa"/>
            <w:tcBorders>
              <w:top w:val="nil"/>
              <w:left w:val="nil"/>
              <w:bottom w:val="single" w:sz="4" w:space="0" w:color="auto"/>
              <w:right w:val="nil"/>
            </w:tcBorders>
            <w:shd w:val="clear" w:color="auto" w:fill="auto"/>
            <w:noWrap/>
            <w:vAlign w:val="bottom"/>
          </w:tcPr>
          <w:p w14:paraId="7AAAD7C4"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151565</w:t>
            </w:r>
          </w:p>
        </w:tc>
        <w:tc>
          <w:tcPr>
            <w:tcW w:w="1380" w:type="dxa"/>
            <w:tcBorders>
              <w:top w:val="nil"/>
              <w:left w:val="nil"/>
              <w:bottom w:val="single" w:sz="4" w:space="0" w:color="auto"/>
              <w:right w:val="nil"/>
            </w:tcBorders>
            <w:shd w:val="clear" w:color="auto" w:fill="auto"/>
            <w:noWrap/>
            <w:vAlign w:val="bottom"/>
          </w:tcPr>
          <w:p w14:paraId="07247610" w14:textId="77777777" w:rsidR="00177387" w:rsidRPr="00FB249F" w:rsidRDefault="00177387" w:rsidP="00F23144">
            <w:pPr>
              <w:spacing w:before="40" w:after="0" w:line="240" w:lineRule="auto"/>
              <w:jc w:val="right"/>
              <w:rPr>
                <w:rFonts w:eastAsia="Times New Roman" w:cs="Calibri"/>
                <w:color w:val="000000"/>
                <w:sz w:val="18"/>
                <w:szCs w:val="18"/>
              </w:rPr>
            </w:pPr>
            <w:r w:rsidRPr="00FB249F">
              <w:rPr>
                <w:rFonts w:eastAsia="Times New Roman" w:cs="Calibri"/>
                <w:color w:val="000000"/>
                <w:sz w:val="18"/>
                <w:szCs w:val="18"/>
              </w:rPr>
              <w:t>448</w:t>
            </w:r>
          </w:p>
        </w:tc>
      </w:tr>
    </w:tbl>
    <w:p w14:paraId="3F7E52BE" w14:textId="77777777" w:rsidR="00177387" w:rsidRPr="00FB249F" w:rsidRDefault="00177387" w:rsidP="00177387">
      <w:pPr>
        <w:spacing w:before="0" w:line="260" w:lineRule="atLeast"/>
        <w:jc w:val="left"/>
        <w:rPr>
          <w:rFonts w:eastAsia="Calibri" w:cs="Times New Roman"/>
          <w:lang w:eastAsia="en-US"/>
        </w:rPr>
      </w:pPr>
    </w:p>
    <w:p w14:paraId="6C391DC2" w14:textId="77777777" w:rsidR="00177387" w:rsidRPr="00FB249F" w:rsidRDefault="00177387" w:rsidP="00177387">
      <w:pPr>
        <w:spacing w:before="0" w:line="260" w:lineRule="atLeast"/>
        <w:jc w:val="left"/>
        <w:rPr>
          <w:rFonts w:eastAsia="Calibri" w:cs="Times New Roman"/>
          <w:lang w:eastAsia="en-US"/>
        </w:rPr>
      </w:pPr>
      <w:r w:rsidRPr="00FB249F">
        <w:rPr>
          <w:rFonts w:eastAsia="Calibri" w:cs="Times New Roman"/>
          <w:lang w:eastAsia="en-US"/>
        </w:rPr>
        <w:t>Patterns in recorded take remained broadly similar between the updated data and data used in the 2018 study (</w:t>
      </w:r>
      <w:r w:rsidRPr="00FB249F">
        <w:rPr>
          <w:rFonts w:eastAsia="Calibri" w:cs="Times New Roman"/>
          <w:lang w:eastAsia="en-US"/>
        </w:rPr>
        <w:fldChar w:fldCharType="begin"/>
      </w:r>
      <w:r w:rsidRPr="00FB249F">
        <w:rPr>
          <w:rFonts w:eastAsia="Calibri" w:cs="Times New Roman"/>
          <w:lang w:eastAsia="en-US"/>
        </w:rPr>
        <w:instrText xml:space="preserve"> REF _Ref57313717 \h </w:instrText>
      </w:r>
      <w:r w:rsidRPr="00FB249F">
        <w:rPr>
          <w:rFonts w:eastAsia="Calibri" w:cs="Times New Roman"/>
          <w:lang w:eastAsia="en-US"/>
        </w:rPr>
      </w:r>
      <w:r w:rsidRPr="00FB249F">
        <w:rPr>
          <w:rFonts w:eastAsia="Calibri" w:cs="Times New Roman"/>
          <w:lang w:eastAsia="en-US"/>
        </w:rPr>
        <w:fldChar w:fldCharType="separate"/>
      </w:r>
      <w:r w:rsidRPr="00FB249F" w:rsidDel="00720D7A">
        <w:rPr>
          <w:rFonts w:eastAsia="Calibri" w:cs="Times New Roman"/>
          <w:b/>
          <w:sz w:val="20"/>
          <w:szCs w:val="20"/>
          <w:lang w:eastAsia="en-US"/>
        </w:rPr>
        <w:t>Figure 1</w:t>
      </w:r>
      <w:r w:rsidRPr="00FB249F">
        <w:rPr>
          <w:rFonts w:eastAsia="Calibri" w:cs="Times New Roman"/>
          <w:lang w:eastAsia="en-US"/>
        </w:rPr>
        <w:fldChar w:fldCharType="end"/>
      </w:r>
      <w:r w:rsidRPr="00FB249F">
        <w:rPr>
          <w:rFonts w:eastAsia="Calibri" w:cs="Times New Roman"/>
          <w:lang w:eastAsia="en-US"/>
        </w:rPr>
        <w:t xml:space="preserve"> and </w:t>
      </w:r>
      <w:r w:rsidRPr="00FB249F">
        <w:rPr>
          <w:rFonts w:eastAsia="Calibri" w:cs="Times New Roman"/>
          <w:lang w:eastAsia="en-US"/>
        </w:rPr>
        <w:fldChar w:fldCharType="begin"/>
      </w:r>
      <w:r w:rsidRPr="00FB249F">
        <w:rPr>
          <w:rFonts w:eastAsia="Calibri" w:cs="Times New Roman"/>
          <w:lang w:eastAsia="en-US"/>
        </w:rPr>
        <w:instrText xml:space="preserve"> REF _Ref57556208 \h </w:instrText>
      </w:r>
      <w:r w:rsidRPr="00FB249F">
        <w:rPr>
          <w:rFonts w:eastAsia="Calibri" w:cs="Times New Roman"/>
          <w:lang w:eastAsia="en-US"/>
        </w:rPr>
      </w:r>
      <w:r w:rsidRPr="00FB249F">
        <w:rPr>
          <w:rFonts w:eastAsia="Calibri" w:cs="Times New Roman"/>
          <w:lang w:eastAsia="en-US"/>
        </w:rPr>
        <w:fldChar w:fldCharType="separate"/>
      </w:r>
      <w:r w:rsidRPr="00FB249F" w:rsidDel="00720D7A">
        <w:rPr>
          <w:rFonts w:eastAsia="Calibri" w:cs="Times New Roman"/>
          <w:b/>
          <w:sz w:val="20"/>
          <w:szCs w:val="20"/>
          <w:lang w:eastAsia="en-US"/>
        </w:rPr>
        <w:t>Figure 2</w:t>
      </w:r>
      <w:r w:rsidRPr="00FB249F">
        <w:rPr>
          <w:rFonts w:eastAsia="Calibri" w:cs="Times New Roman"/>
          <w:lang w:eastAsia="en-US"/>
        </w:rPr>
        <w:fldChar w:fldCharType="end"/>
      </w:r>
      <w:r w:rsidRPr="00FB249F">
        <w:rPr>
          <w:rFonts w:eastAsia="Calibri" w:cs="Times New Roman"/>
          <w:lang w:eastAsia="en-US"/>
        </w:rPr>
        <w:t xml:space="preserve">). There were some noticeable changes between the two recorded take data sets as described below: </w:t>
      </w:r>
    </w:p>
    <w:p w14:paraId="66379A67" w14:textId="77777777" w:rsidR="00177387" w:rsidRPr="00FB249F" w:rsidRDefault="00177387" w:rsidP="00177387">
      <w:pPr>
        <w:numPr>
          <w:ilvl w:val="0"/>
          <w:numId w:val="48"/>
        </w:numPr>
        <w:spacing w:before="0" w:after="0" w:line="260" w:lineRule="atLeast"/>
        <w:jc w:val="left"/>
        <w:rPr>
          <w:rFonts w:eastAsia="Calibri" w:cs="Times New Roman"/>
          <w:lang w:eastAsia="en-US"/>
        </w:rPr>
      </w:pPr>
      <w:r w:rsidRPr="00FB249F">
        <w:rPr>
          <w:rFonts w:eastAsia="Calibri" w:cs="Times New Roman"/>
          <w:lang w:eastAsia="en-US"/>
        </w:rPr>
        <w:t xml:space="preserve">The updated data contained fewer periods with constant high rates of take compared to the 2018 data. </w:t>
      </w:r>
    </w:p>
    <w:p w14:paraId="7E2B563A" w14:textId="77777777" w:rsidR="00177387" w:rsidRPr="00FB249F" w:rsidRDefault="00177387" w:rsidP="00177387">
      <w:pPr>
        <w:numPr>
          <w:ilvl w:val="0"/>
          <w:numId w:val="48"/>
        </w:numPr>
        <w:spacing w:before="0" w:after="0" w:line="260" w:lineRule="atLeast"/>
        <w:jc w:val="left"/>
        <w:rPr>
          <w:rFonts w:eastAsia="Calibri" w:cs="Times New Roman"/>
          <w:lang w:eastAsia="en-US"/>
        </w:rPr>
      </w:pPr>
      <w:r w:rsidRPr="00FB249F">
        <w:rPr>
          <w:rFonts w:eastAsia="Calibri" w:cs="Times New Roman"/>
          <w:lang w:eastAsia="en-US"/>
        </w:rPr>
        <w:t>The updated data contained fewer records with long periods of missing values compared to the 2018 data.</w:t>
      </w:r>
    </w:p>
    <w:p w14:paraId="5F97F617" w14:textId="77777777" w:rsidR="00177387" w:rsidRPr="00FB249F" w:rsidRDefault="00177387" w:rsidP="00EE4D06">
      <w:pPr>
        <w:numPr>
          <w:ilvl w:val="0"/>
          <w:numId w:val="48"/>
        </w:numPr>
        <w:spacing w:before="0" w:line="260" w:lineRule="atLeast"/>
        <w:jc w:val="left"/>
        <w:rPr>
          <w:rFonts w:eastAsia="Calibri" w:cs="Times New Roman"/>
          <w:lang w:eastAsia="en-US"/>
        </w:rPr>
      </w:pPr>
      <w:r w:rsidRPr="00FB249F">
        <w:rPr>
          <w:rFonts w:eastAsia="Calibri" w:cs="Times New Roman"/>
          <w:lang w:eastAsia="en-US"/>
        </w:rPr>
        <w:lastRenderedPageBreak/>
        <w:t xml:space="preserve">The updated data contained fewer records with suspiciously high spikes compared to the 2018 data (see also </w:t>
      </w:r>
      <w:r w:rsidRPr="00FB249F">
        <w:rPr>
          <w:rFonts w:eastAsia="Calibri" w:cs="Times New Roman"/>
          <w:lang w:eastAsia="en-US"/>
        </w:rPr>
        <w:fldChar w:fldCharType="begin"/>
      </w:r>
      <w:r w:rsidRPr="00FB249F">
        <w:rPr>
          <w:rFonts w:eastAsia="Calibri" w:cs="Times New Roman"/>
          <w:lang w:eastAsia="en-US"/>
        </w:rPr>
        <w:instrText xml:space="preserve"> REF _Ref57499704 \h </w:instrText>
      </w:r>
      <w:r w:rsidRPr="00FB249F">
        <w:rPr>
          <w:rFonts w:eastAsia="Calibri" w:cs="Times New Roman"/>
          <w:lang w:eastAsia="en-US"/>
        </w:rPr>
      </w:r>
      <w:r w:rsidRPr="00FB249F">
        <w:rPr>
          <w:rFonts w:eastAsia="Calibri" w:cs="Times New Roman"/>
          <w:lang w:eastAsia="en-US"/>
        </w:rPr>
        <w:fldChar w:fldCharType="separate"/>
      </w:r>
      <w:r w:rsidRPr="00FB249F" w:rsidDel="00720D7A">
        <w:rPr>
          <w:rFonts w:eastAsia="Calibri" w:cs="Times New Roman"/>
          <w:b/>
          <w:sz w:val="20"/>
          <w:szCs w:val="20"/>
          <w:lang w:eastAsia="en-US"/>
        </w:rPr>
        <w:t>Table 1</w:t>
      </w:r>
      <w:r w:rsidRPr="00FB249F">
        <w:rPr>
          <w:rFonts w:eastAsia="Calibri" w:cs="Times New Roman"/>
          <w:lang w:eastAsia="en-US"/>
        </w:rPr>
        <w:fldChar w:fldCharType="end"/>
      </w:r>
      <w:r w:rsidRPr="00FB249F">
        <w:rPr>
          <w:rFonts w:eastAsia="Calibri" w:cs="Times New Roman"/>
          <w:lang w:eastAsia="en-US"/>
        </w:rPr>
        <w:t>).</w:t>
      </w:r>
    </w:p>
    <w:p w14:paraId="63C8B67B" w14:textId="77777777" w:rsidR="00177387" w:rsidRPr="00FB249F" w:rsidRDefault="00177387" w:rsidP="00177387">
      <w:pPr>
        <w:spacing w:before="0" w:line="260" w:lineRule="atLeast"/>
        <w:jc w:val="left"/>
        <w:rPr>
          <w:rFonts w:eastAsia="Calibri" w:cs="Times New Roman"/>
          <w:lang w:eastAsia="en-US"/>
        </w:rPr>
      </w:pPr>
      <w:r w:rsidRPr="00FB249F">
        <w:rPr>
          <w:rFonts w:eastAsia="Calibri" w:cs="Times New Roman"/>
          <w:lang w:eastAsia="en-US"/>
        </w:rPr>
        <w:t>There were also some noticeable similarities between the two data sets:</w:t>
      </w:r>
    </w:p>
    <w:p w14:paraId="260D7CA1" w14:textId="77777777" w:rsidR="00177387" w:rsidRPr="00FB249F" w:rsidRDefault="00177387" w:rsidP="00177387">
      <w:pPr>
        <w:numPr>
          <w:ilvl w:val="0"/>
          <w:numId w:val="49"/>
        </w:numPr>
        <w:spacing w:before="0" w:after="0" w:line="260" w:lineRule="atLeast"/>
        <w:jc w:val="left"/>
        <w:rPr>
          <w:rFonts w:eastAsia="Calibri" w:cs="Times New Roman"/>
          <w:lang w:eastAsia="en-US"/>
        </w:rPr>
      </w:pPr>
      <w:r w:rsidRPr="00FB249F">
        <w:rPr>
          <w:rFonts w:eastAsia="Calibri" w:cs="Times New Roman"/>
          <w:lang w:eastAsia="en-US"/>
        </w:rPr>
        <w:t>A small number of records exhibiting year-round takes were present in both data sets.</w:t>
      </w:r>
    </w:p>
    <w:p w14:paraId="6E72EE33" w14:textId="77777777" w:rsidR="00177387" w:rsidRPr="00FB249F" w:rsidRDefault="00177387" w:rsidP="00177387">
      <w:pPr>
        <w:numPr>
          <w:ilvl w:val="0"/>
          <w:numId w:val="49"/>
        </w:numPr>
        <w:spacing w:before="0" w:after="0" w:line="260" w:lineRule="atLeast"/>
        <w:jc w:val="left"/>
        <w:rPr>
          <w:rFonts w:eastAsia="Calibri" w:cs="Times New Roman"/>
          <w:lang w:eastAsia="en-US"/>
        </w:rPr>
      </w:pPr>
      <w:r w:rsidRPr="00FB249F">
        <w:rPr>
          <w:rFonts w:eastAsia="Calibri" w:cs="Times New Roman"/>
          <w:lang w:eastAsia="en-US"/>
        </w:rPr>
        <w:t xml:space="preserve">Temporal patterns of take were strongly seasonal in both data sets. Takes were higher in summer regardless of region, source or data set. </w:t>
      </w:r>
    </w:p>
    <w:p w14:paraId="21EB5809" w14:textId="0D27D479" w:rsidR="00177387" w:rsidRPr="00FB249F" w:rsidRDefault="00177387" w:rsidP="00EE4D06">
      <w:pPr>
        <w:numPr>
          <w:ilvl w:val="0"/>
          <w:numId w:val="49"/>
        </w:numPr>
        <w:spacing w:before="0" w:line="260" w:lineRule="atLeast"/>
        <w:jc w:val="left"/>
        <w:rPr>
          <w:rFonts w:eastAsia="Calibri" w:cs="Times New Roman"/>
          <w:lang w:eastAsia="en-US"/>
        </w:rPr>
      </w:pPr>
      <w:r w:rsidRPr="00FB249F">
        <w:rPr>
          <w:rFonts w:eastAsia="Calibri" w:cs="Times New Roman"/>
          <w:lang w:eastAsia="en-US"/>
        </w:rPr>
        <w:t xml:space="preserve">Intra-seasonal temporal patterns of take were very similar between data sets. There were distinct periods of reduced takes across many records towards the end of the 2016/2017 and 2017/2018 summers regardless of region, source or data set. </w:t>
      </w:r>
    </w:p>
    <w:p w14:paraId="5C9D19F3" w14:textId="77777777" w:rsidR="00177387" w:rsidRPr="00FB249F" w:rsidRDefault="00177387" w:rsidP="003A4DC7">
      <w:pPr>
        <w:keepNext/>
        <w:spacing w:before="0" w:line="260" w:lineRule="atLeast"/>
        <w:jc w:val="left"/>
        <w:rPr>
          <w:rFonts w:eastAsia="Calibri" w:cs="Times New Roman"/>
          <w:lang w:eastAsia="en-US"/>
        </w:rPr>
      </w:pPr>
      <w:r w:rsidRPr="00FB249F">
        <w:rPr>
          <w:rFonts w:eastAsia="Calibri" w:cs="Times New Roman"/>
          <w:noProof/>
        </w:rPr>
        <w:drawing>
          <wp:inline distT="0" distB="0" distL="0" distR="0" wp14:anchorId="46E39EA1" wp14:editId="194731A3">
            <wp:extent cx="5061989" cy="6625087"/>
            <wp:effectExtent l="0" t="0" r="0" b="0"/>
            <wp:docPr id="27" name="Picture 27"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rotWithShape="1">
                    <a:blip r:embed="rId49">
                      <a:extLst>
                        <a:ext uri="{28A0092B-C50C-407E-A947-70E740481C1C}">
                          <a14:useLocalDpi xmlns:a14="http://schemas.microsoft.com/office/drawing/2010/main" val="0"/>
                        </a:ext>
                      </a:extLst>
                    </a:blip>
                    <a:srcRect b="1866"/>
                    <a:stretch/>
                  </pic:blipFill>
                  <pic:spPr bwMode="auto">
                    <a:xfrm>
                      <a:off x="0" y="0"/>
                      <a:ext cx="5072447" cy="6638774"/>
                    </a:xfrm>
                    <a:prstGeom prst="rect">
                      <a:avLst/>
                    </a:prstGeom>
                    <a:ln>
                      <a:noFill/>
                    </a:ln>
                    <a:extLst>
                      <a:ext uri="{53640926-AAD7-44D8-BBD7-CCE9431645EC}">
                        <a14:shadowObscured xmlns:a14="http://schemas.microsoft.com/office/drawing/2010/main"/>
                      </a:ext>
                    </a:extLst>
                  </pic:spPr>
                </pic:pic>
              </a:graphicData>
            </a:graphic>
          </wp:inline>
        </w:drawing>
      </w:r>
    </w:p>
    <w:p w14:paraId="11F96076" w14:textId="77777777" w:rsidR="00177387" w:rsidRPr="00FB249F" w:rsidRDefault="00177387" w:rsidP="003A4DC7">
      <w:pPr>
        <w:tabs>
          <w:tab w:val="left" w:pos="1134"/>
        </w:tabs>
        <w:spacing w:before="160" w:line="260" w:lineRule="atLeast"/>
        <w:jc w:val="left"/>
        <w:rPr>
          <w:rFonts w:eastAsia="Calibri" w:cs="Times New Roman"/>
          <w:b/>
          <w:bCs/>
          <w:sz w:val="20"/>
          <w:szCs w:val="20"/>
          <w:lang w:eastAsia="en-US"/>
        </w:rPr>
      </w:pPr>
      <w:bookmarkStart w:id="103" w:name="_Ref57313717"/>
      <w:r w:rsidRPr="00FB249F">
        <w:rPr>
          <w:rFonts w:eastAsia="Calibri" w:cs="Times New Roman"/>
          <w:b/>
          <w:bCs/>
          <w:sz w:val="20"/>
          <w:szCs w:val="20"/>
          <w:lang w:eastAsia="en-US"/>
        </w:rPr>
        <w:t xml:space="preserve">Figure </w:t>
      </w:r>
      <w:r w:rsidRPr="00FB249F">
        <w:rPr>
          <w:rFonts w:eastAsia="Calibri" w:cs="Times New Roman"/>
          <w:b/>
          <w:bCs/>
          <w:sz w:val="20"/>
          <w:szCs w:val="20"/>
          <w:lang w:eastAsia="en-US"/>
        </w:rPr>
        <w:fldChar w:fldCharType="begin"/>
      </w:r>
      <w:r w:rsidRPr="00FB249F">
        <w:rPr>
          <w:rFonts w:eastAsia="Calibri" w:cs="Times New Roman"/>
          <w:b/>
          <w:bCs/>
          <w:sz w:val="20"/>
          <w:szCs w:val="20"/>
          <w:lang w:eastAsia="en-US"/>
        </w:rPr>
        <w:instrText xml:space="preserve"> SEQ Figure \* ARABIC </w:instrText>
      </w:r>
      <w:r w:rsidRPr="00FB249F">
        <w:rPr>
          <w:rFonts w:eastAsia="Calibri" w:cs="Times New Roman"/>
          <w:b/>
          <w:bCs/>
          <w:sz w:val="20"/>
          <w:szCs w:val="20"/>
          <w:lang w:eastAsia="en-US"/>
        </w:rPr>
        <w:fldChar w:fldCharType="separate"/>
      </w:r>
      <w:r w:rsidRPr="00FB249F">
        <w:rPr>
          <w:rFonts w:eastAsia="Calibri" w:cs="Times New Roman"/>
          <w:b/>
          <w:bCs/>
          <w:sz w:val="20"/>
          <w:szCs w:val="20"/>
          <w:lang w:eastAsia="en-US"/>
        </w:rPr>
        <w:t>1</w:t>
      </w:r>
      <w:r w:rsidRPr="00FB249F">
        <w:rPr>
          <w:rFonts w:eastAsia="Calibri" w:cs="Times New Roman"/>
          <w:b/>
          <w:bCs/>
          <w:sz w:val="20"/>
          <w:szCs w:val="20"/>
          <w:lang w:eastAsia="en-US"/>
        </w:rPr>
        <w:fldChar w:fldCharType="end"/>
      </w:r>
      <w:bookmarkEnd w:id="103"/>
      <w:r w:rsidRPr="00FB249F">
        <w:rPr>
          <w:rFonts w:eastAsia="Calibri" w:cs="Times New Roman"/>
          <w:b/>
          <w:bCs/>
          <w:sz w:val="20"/>
          <w:szCs w:val="20"/>
          <w:lang w:eastAsia="en-US"/>
        </w:rPr>
        <w:t xml:space="preserve">. Recorded daily volume of water taken from surface water for two data sets by regional council. White indicates legitimate measurement of no take. Grey indicates unknown take due to missing entries. See </w:t>
      </w:r>
      <w:r w:rsidRPr="00FB249F">
        <w:rPr>
          <w:rFonts w:eastAsia="Calibri" w:cs="Times New Roman"/>
          <w:b/>
          <w:bCs/>
          <w:sz w:val="20"/>
          <w:szCs w:val="20"/>
          <w:lang w:eastAsia="en-US"/>
        </w:rPr>
        <w:fldChar w:fldCharType="begin"/>
      </w:r>
      <w:r w:rsidRPr="00FB249F">
        <w:rPr>
          <w:rFonts w:eastAsia="Calibri" w:cs="Times New Roman"/>
          <w:b/>
          <w:bCs/>
          <w:sz w:val="20"/>
          <w:szCs w:val="20"/>
          <w:lang w:eastAsia="en-US"/>
        </w:rPr>
        <w:instrText xml:space="preserve"> REF _Ref57499704 \h </w:instrText>
      </w:r>
      <w:r w:rsidRPr="00FB249F">
        <w:rPr>
          <w:rFonts w:eastAsia="Calibri" w:cs="Times New Roman"/>
          <w:b/>
          <w:bCs/>
          <w:sz w:val="20"/>
          <w:szCs w:val="20"/>
          <w:lang w:eastAsia="en-US"/>
        </w:rPr>
      </w:r>
      <w:r w:rsidRPr="00FB249F">
        <w:rPr>
          <w:rFonts w:eastAsia="Calibri" w:cs="Times New Roman"/>
          <w:b/>
          <w:bCs/>
          <w:sz w:val="20"/>
          <w:szCs w:val="20"/>
          <w:lang w:eastAsia="en-US"/>
        </w:rPr>
        <w:fldChar w:fldCharType="separate"/>
      </w:r>
      <w:r w:rsidRPr="00FB249F" w:rsidDel="00720D7A">
        <w:rPr>
          <w:rFonts w:eastAsia="Calibri" w:cs="Times New Roman"/>
          <w:b/>
          <w:bCs/>
          <w:sz w:val="20"/>
          <w:szCs w:val="20"/>
          <w:lang w:eastAsia="en-US"/>
        </w:rPr>
        <w:t>Table 1</w:t>
      </w:r>
      <w:r w:rsidRPr="00FB249F">
        <w:rPr>
          <w:rFonts w:eastAsia="Calibri" w:cs="Times New Roman"/>
          <w:b/>
          <w:bCs/>
          <w:sz w:val="20"/>
          <w:szCs w:val="20"/>
          <w:lang w:eastAsia="en-US"/>
        </w:rPr>
        <w:fldChar w:fldCharType="end"/>
      </w:r>
      <w:r w:rsidRPr="00FB249F">
        <w:rPr>
          <w:rFonts w:eastAsia="Calibri" w:cs="Times New Roman"/>
          <w:b/>
          <w:bCs/>
          <w:sz w:val="20"/>
          <w:szCs w:val="20"/>
          <w:lang w:eastAsia="en-US"/>
        </w:rPr>
        <w:t xml:space="preserve"> for number of records for each data set and region.</w:t>
      </w:r>
    </w:p>
    <w:p w14:paraId="53BD34B6" w14:textId="77777777" w:rsidR="00177387" w:rsidRPr="00FB249F" w:rsidRDefault="00177387" w:rsidP="00177387">
      <w:pPr>
        <w:spacing w:before="0" w:line="260" w:lineRule="atLeast"/>
        <w:jc w:val="left"/>
        <w:rPr>
          <w:rFonts w:eastAsia="Calibri" w:cs="Times New Roman"/>
          <w:lang w:eastAsia="en-US"/>
        </w:rPr>
      </w:pPr>
      <w:r w:rsidRPr="00FB249F">
        <w:rPr>
          <w:rFonts w:eastAsia="Calibri" w:cs="Times New Roman"/>
          <w:noProof/>
        </w:rPr>
        <w:lastRenderedPageBreak/>
        <w:drawing>
          <wp:inline distT="0" distB="0" distL="0" distR="0" wp14:anchorId="0D658CA5" wp14:editId="4C4F9363">
            <wp:extent cx="5398135" cy="707366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rotWithShape="1">
                    <a:blip r:embed="rId50">
                      <a:extLst>
                        <a:ext uri="{28A0092B-C50C-407E-A947-70E740481C1C}">
                          <a14:useLocalDpi xmlns:a14="http://schemas.microsoft.com/office/drawing/2010/main" val="0"/>
                        </a:ext>
                      </a:extLst>
                    </a:blip>
                    <a:srcRect b="1745"/>
                    <a:stretch/>
                  </pic:blipFill>
                  <pic:spPr bwMode="auto">
                    <a:xfrm>
                      <a:off x="0" y="0"/>
                      <a:ext cx="5398618" cy="7074294"/>
                    </a:xfrm>
                    <a:prstGeom prst="rect">
                      <a:avLst/>
                    </a:prstGeom>
                    <a:ln>
                      <a:noFill/>
                    </a:ln>
                    <a:extLst>
                      <a:ext uri="{53640926-AAD7-44D8-BBD7-CCE9431645EC}">
                        <a14:shadowObscured xmlns:a14="http://schemas.microsoft.com/office/drawing/2010/main"/>
                      </a:ext>
                    </a:extLst>
                  </pic:spPr>
                </pic:pic>
              </a:graphicData>
            </a:graphic>
          </wp:inline>
        </w:drawing>
      </w:r>
    </w:p>
    <w:p w14:paraId="1C9C1D0F" w14:textId="77777777" w:rsidR="00177387" w:rsidRPr="00FB249F" w:rsidRDefault="00177387" w:rsidP="004A1737">
      <w:pPr>
        <w:tabs>
          <w:tab w:val="left" w:pos="1134"/>
        </w:tabs>
        <w:spacing w:line="260" w:lineRule="atLeast"/>
        <w:jc w:val="left"/>
        <w:rPr>
          <w:rFonts w:eastAsia="Calibri" w:cs="Times New Roman"/>
          <w:b/>
          <w:bCs/>
          <w:sz w:val="20"/>
          <w:szCs w:val="20"/>
          <w:lang w:eastAsia="en-US"/>
        </w:rPr>
      </w:pPr>
      <w:bookmarkStart w:id="104" w:name="_Ref57556208"/>
      <w:r w:rsidRPr="00FB249F">
        <w:rPr>
          <w:rFonts w:eastAsia="Calibri" w:cs="Times New Roman"/>
          <w:b/>
          <w:bCs/>
          <w:sz w:val="20"/>
          <w:szCs w:val="20"/>
          <w:lang w:eastAsia="en-US"/>
        </w:rPr>
        <w:t xml:space="preserve">Figure </w:t>
      </w:r>
      <w:r w:rsidRPr="00FB249F">
        <w:rPr>
          <w:rFonts w:eastAsia="Calibri" w:cs="Times New Roman"/>
          <w:b/>
          <w:bCs/>
          <w:sz w:val="20"/>
          <w:szCs w:val="20"/>
          <w:lang w:eastAsia="en-US"/>
        </w:rPr>
        <w:fldChar w:fldCharType="begin"/>
      </w:r>
      <w:r w:rsidRPr="00FB249F">
        <w:rPr>
          <w:rFonts w:eastAsia="Calibri" w:cs="Times New Roman"/>
          <w:b/>
          <w:bCs/>
          <w:sz w:val="20"/>
          <w:szCs w:val="20"/>
          <w:lang w:eastAsia="en-US"/>
        </w:rPr>
        <w:instrText xml:space="preserve"> SEQ Figure \* ARABIC </w:instrText>
      </w:r>
      <w:r w:rsidRPr="00FB249F">
        <w:rPr>
          <w:rFonts w:eastAsia="Calibri" w:cs="Times New Roman"/>
          <w:b/>
          <w:bCs/>
          <w:sz w:val="20"/>
          <w:szCs w:val="20"/>
          <w:lang w:eastAsia="en-US"/>
        </w:rPr>
        <w:fldChar w:fldCharType="separate"/>
      </w:r>
      <w:r w:rsidRPr="00FB249F">
        <w:rPr>
          <w:rFonts w:eastAsia="Calibri" w:cs="Times New Roman"/>
          <w:b/>
          <w:bCs/>
          <w:sz w:val="20"/>
          <w:szCs w:val="20"/>
          <w:lang w:eastAsia="en-US"/>
        </w:rPr>
        <w:t>2</w:t>
      </w:r>
      <w:r w:rsidRPr="00FB249F">
        <w:rPr>
          <w:rFonts w:eastAsia="Calibri" w:cs="Times New Roman"/>
          <w:b/>
          <w:bCs/>
          <w:sz w:val="20"/>
          <w:szCs w:val="20"/>
          <w:lang w:eastAsia="en-US"/>
        </w:rPr>
        <w:fldChar w:fldCharType="end"/>
      </w:r>
      <w:bookmarkEnd w:id="104"/>
      <w:r w:rsidRPr="00FB249F">
        <w:rPr>
          <w:rFonts w:eastAsia="Calibri" w:cs="Times New Roman"/>
          <w:b/>
          <w:bCs/>
          <w:sz w:val="20"/>
          <w:szCs w:val="20"/>
          <w:lang w:eastAsia="en-US"/>
        </w:rPr>
        <w:t xml:space="preserve">. Recorded daily volume of water taken from groundwater for two data sets by regional council. White indicates legitimate measurement of no take. Grey indicates unknown take due to missing entries. See </w:t>
      </w:r>
      <w:r w:rsidRPr="00FB249F">
        <w:rPr>
          <w:rFonts w:eastAsia="Calibri" w:cs="Times New Roman"/>
          <w:b/>
          <w:bCs/>
          <w:sz w:val="20"/>
          <w:szCs w:val="20"/>
          <w:lang w:eastAsia="en-US"/>
        </w:rPr>
        <w:fldChar w:fldCharType="begin"/>
      </w:r>
      <w:r w:rsidRPr="00FB249F">
        <w:rPr>
          <w:rFonts w:eastAsia="Calibri" w:cs="Times New Roman"/>
          <w:b/>
          <w:bCs/>
          <w:sz w:val="20"/>
          <w:szCs w:val="20"/>
          <w:lang w:eastAsia="en-US"/>
        </w:rPr>
        <w:instrText xml:space="preserve"> REF _Ref57499704 \h </w:instrText>
      </w:r>
      <w:r w:rsidRPr="00FB249F">
        <w:rPr>
          <w:rFonts w:eastAsia="Calibri" w:cs="Times New Roman"/>
          <w:b/>
          <w:bCs/>
          <w:sz w:val="20"/>
          <w:szCs w:val="20"/>
          <w:lang w:eastAsia="en-US"/>
        </w:rPr>
      </w:r>
      <w:r w:rsidRPr="00FB249F">
        <w:rPr>
          <w:rFonts w:eastAsia="Calibri" w:cs="Times New Roman"/>
          <w:b/>
          <w:bCs/>
          <w:sz w:val="20"/>
          <w:szCs w:val="20"/>
          <w:lang w:eastAsia="en-US"/>
        </w:rPr>
        <w:fldChar w:fldCharType="separate"/>
      </w:r>
      <w:r w:rsidRPr="00FB249F" w:rsidDel="00720D7A">
        <w:rPr>
          <w:rFonts w:eastAsia="Calibri" w:cs="Times New Roman"/>
          <w:b/>
          <w:bCs/>
          <w:sz w:val="20"/>
          <w:szCs w:val="20"/>
          <w:lang w:eastAsia="en-US"/>
        </w:rPr>
        <w:t>Table 1</w:t>
      </w:r>
      <w:r w:rsidRPr="00FB249F">
        <w:rPr>
          <w:rFonts w:eastAsia="Calibri" w:cs="Times New Roman"/>
          <w:b/>
          <w:bCs/>
          <w:sz w:val="20"/>
          <w:szCs w:val="20"/>
          <w:lang w:eastAsia="en-US"/>
        </w:rPr>
        <w:fldChar w:fldCharType="end"/>
      </w:r>
      <w:r w:rsidRPr="00FB249F">
        <w:rPr>
          <w:rFonts w:eastAsia="Calibri" w:cs="Times New Roman"/>
          <w:b/>
          <w:bCs/>
          <w:sz w:val="20"/>
          <w:szCs w:val="20"/>
          <w:lang w:eastAsia="en-US"/>
        </w:rPr>
        <w:t xml:space="preserve"> for number of records for each data set and region.</w:t>
      </w:r>
    </w:p>
    <w:p w14:paraId="5EE4F154" w14:textId="080D9784" w:rsidR="00177387" w:rsidRPr="00FB249F" w:rsidRDefault="00177387" w:rsidP="00B85165">
      <w:pPr>
        <w:spacing w:line="260" w:lineRule="atLeast"/>
        <w:jc w:val="left"/>
        <w:rPr>
          <w:rFonts w:eastAsia="Calibri" w:cs="Times New Roman"/>
          <w:lang w:eastAsia="en-US"/>
        </w:rPr>
      </w:pPr>
      <w:r w:rsidRPr="00FB249F">
        <w:rPr>
          <w:rFonts w:eastAsia="Calibri" w:cs="Times New Roman"/>
          <w:lang w:eastAsia="en-US"/>
        </w:rPr>
        <w:t>Patterns in streamflow depletion over the three-year reporting period calculated using the 2018 data and the updated data remained broadly similar (</w:t>
      </w:r>
      <w:r w:rsidRPr="00FB249F">
        <w:rPr>
          <w:rFonts w:eastAsia="Calibri" w:cs="Times New Roman"/>
          <w:lang w:eastAsia="en-US"/>
        </w:rPr>
        <w:fldChar w:fldCharType="begin"/>
      </w:r>
      <w:r w:rsidRPr="00FB249F">
        <w:rPr>
          <w:rFonts w:eastAsia="Calibri" w:cs="Times New Roman"/>
          <w:lang w:eastAsia="en-US"/>
        </w:rPr>
        <w:instrText xml:space="preserve"> REF _Ref57557909 \h </w:instrText>
      </w:r>
      <w:r w:rsidRPr="00FB249F">
        <w:rPr>
          <w:rFonts w:eastAsia="Calibri" w:cs="Times New Roman"/>
          <w:lang w:eastAsia="en-US"/>
        </w:rPr>
      </w:r>
      <w:r w:rsidRPr="00FB249F">
        <w:rPr>
          <w:rFonts w:eastAsia="Calibri" w:cs="Times New Roman"/>
          <w:lang w:eastAsia="en-US"/>
        </w:rPr>
        <w:fldChar w:fldCharType="separate"/>
      </w:r>
      <w:r w:rsidRPr="00FB249F" w:rsidDel="00720D7A">
        <w:rPr>
          <w:rFonts w:eastAsia="Calibri" w:cs="Times New Roman"/>
          <w:b/>
          <w:sz w:val="20"/>
          <w:szCs w:val="20"/>
          <w:lang w:eastAsia="en-US"/>
        </w:rPr>
        <w:t>Figure 3</w:t>
      </w:r>
      <w:r w:rsidRPr="00FB249F">
        <w:rPr>
          <w:rFonts w:eastAsia="Calibri" w:cs="Times New Roman"/>
          <w:lang w:eastAsia="en-US"/>
        </w:rPr>
        <w:fldChar w:fldCharType="end"/>
      </w:r>
      <w:r w:rsidRPr="00FB249F">
        <w:rPr>
          <w:rFonts w:eastAsia="Calibri" w:cs="Times New Roman"/>
          <w:lang w:eastAsia="en-US"/>
        </w:rPr>
        <w:t xml:space="preserve">). However, there were some noticeable changes between the sets of calculated streamflow depletion mainly resulting from removal of large spikes from the updated data compared to the 2018 data. Since our calculations of streamflow depletion from groundwater abstractions simulated temporal lags between time of take and streamflow depletion, the effects of large spikes in water take on single dates persisted in time within the 2018 streamflow depletion estimates. For example, visual inspection of results indicated that the effect of the largest takes from groundwater in </w:t>
      </w:r>
      <w:r w:rsidRPr="00FB249F">
        <w:rPr>
          <w:rFonts w:eastAsia="Calibri" w:cs="Times New Roman"/>
          <w:lang w:eastAsia="en-US"/>
        </w:rPr>
        <w:lastRenderedPageBreak/>
        <w:t>the 2018 data on estimated streamflow depletion persisted throughout the following year, whereas the effect of the largest takes from groundwater in the updated data on calculated streamflow depletion were less persistent (several months at most). Spikes in the 2018 recorded take data were the cause of the highest estimates of streamflow depletion seen</w:t>
      </w:r>
      <w:r w:rsidR="00B85165">
        <w:rPr>
          <w:rFonts w:eastAsia="Calibri" w:cs="Times New Roman"/>
          <w:lang w:eastAsia="en-US"/>
        </w:rPr>
        <w:t> </w:t>
      </w:r>
      <w:r w:rsidRPr="00FB249F">
        <w:rPr>
          <w:rFonts w:eastAsia="Calibri" w:cs="Times New Roman"/>
          <w:lang w:eastAsia="en-US"/>
        </w:rPr>
        <w:t>in</w:t>
      </w:r>
      <w:r w:rsidR="00B85165">
        <w:rPr>
          <w:rFonts w:eastAsia="Calibri" w:cs="Times New Roman"/>
          <w:lang w:eastAsia="en-US"/>
        </w:rPr>
        <w:t> </w:t>
      </w:r>
      <w:r w:rsidRPr="00FB249F">
        <w:rPr>
          <w:rFonts w:eastAsia="Calibri" w:cs="Times New Roman"/>
          <w:lang w:eastAsia="en-US"/>
        </w:rPr>
        <w:fldChar w:fldCharType="begin"/>
      </w:r>
      <w:r w:rsidRPr="00FB249F">
        <w:rPr>
          <w:rFonts w:eastAsia="Calibri" w:cs="Times New Roman"/>
          <w:lang w:eastAsia="en-US"/>
        </w:rPr>
        <w:instrText xml:space="preserve"> REF _Ref57557909 \h </w:instrText>
      </w:r>
      <w:r w:rsidRPr="00FB249F">
        <w:rPr>
          <w:rFonts w:eastAsia="Calibri" w:cs="Times New Roman"/>
          <w:lang w:eastAsia="en-US"/>
        </w:rPr>
      </w:r>
      <w:r w:rsidRPr="00FB249F">
        <w:rPr>
          <w:rFonts w:eastAsia="Calibri" w:cs="Times New Roman"/>
          <w:lang w:eastAsia="en-US"/>
        </w:rPr>
        <w:fldChar w:fldCharType="separate"/>
      </w:r>
      <w:r w:rsidRPr="00FB249F" w:rsidDel="00720D7A">
        <w:rPr>
          <w:rFonts w:eastAsia="Calibri" w:cs="Times New Roman"/>
          <w:b/>
          <w:sz w:val="20"/>
          <w:szCs w:val="20"/>
          <w:lang w:eastAsia="en-US"/>
        </w:rPr>
        <w:t>Figure 3</w:t>
      </w:r>
      <w:r w:rsidRPr="00FB249F">
        <w:rPr>
          <w:rFonts w:eastAsia="Calibri" w:cs="Times New Roman"/>
          <w:lang w:eastAsia="en-US"/>
        </w:rPr>
        <w:fldChar w:fldCharType="end"/>
      </w:r>
      <w:r w:rsidRPr="00FB249F">
        <w:rPr>
          <w:rFonts w:eastAsia="Calibri" w:cs="Times New Roman"/>
          <w:lang w:eastAsia="en-US"/>
        </w:rPr>
        <w:t>.</w:t>
      </w:r>
    </w:p>
    <w:p w14:paraId="100B187B" w14:textId="77777777" w:rsidR="00177387" w:rsidRPr="00FB249F" w:rsidRDefault="00177387" w:rsidP="00B85165">
      <w:pPr>
        <w:spacing w:line="260" w:lineRule="atLeast"/>
        <w:jc w:val="center"/>
        <w:rPr>
          <w:rFonts w:eastAsia="Calibri" w:cs="Times New Roman"/>
          <w:lang w:eastAsia="en-US"/>
        </w:rPr>
      </w:pPr>
      <w:r w:rsidRPr="00FB249F">
        <w:rPr>
          <w:rFonts w:eastAsia="Calibri" w:cs="Times New Roman"/>
          <w:noProof/>
        </w:rPr>
        <w:drawing>
          <wp:inline distT="0" distB="0" distL="0" distR="0" wp14:anchorId="7798786D" wp14:editId="50592A01">
            <wp:extent cx="4844338" cy="7401464"/>
            <wp:effectExtent l="0" t="0" r="0" b="0"/>
            <wp:docPr id="29" name="Picture 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rotWithShape="1">
                    <a:blip r:embed="rId51">
                      <a:extLst>
                        <a:ext uri="{28A0092B-C50C-407E-A947-70E740481C1C}">
                          <a14:useLocalDpi xmlns:a14="http://schemas.microsoft.com/office/drawing/2010/main" val="0"/>
                        </a:ext>
                      </a:extLst>
                    </a:blip>
                    <a:srcRect t="1805" b="1429"/>
                    <a:stretch/>
                  </pic:blipFill>
                  <pic:spPr bwMode="auto">
                    <a:xfrm>
                      <a:off x="0" y="0"/>
                      <a:ext cx="4844825" cy="7402208"/>
                    </a:xfrm>
                    <a:prstGeom prst="rect">
                      <a:avLst/>
                    </a:prstGeom>
                    <a:ln>
                      <a:noFill/>
                    </a:ln>
                    <a:extLst>
                      <a:ext uri="{53640926-AAD7-44D8-BBD7-CCE9431645EC}">
                        <a14:shadowObscured xmlns:a14="http://schemas.microsoft.com/office/drawing/2010/main"/>
                      </a:ext>
                    </a:extLst>
                  </pic:spPr>
                </pic:pic>
              </a:graphicData>
            </a:graphic>
          </wp:inline>
        </w:drawing>
      </w:r>
    </w:p>
    <w:p w14:paraId="14B6EEEB" w14:textId="77777777" w:rsidR="00177387" w:rsidRPr="00FB249F" w:rsidRDefault="00177387" w:rsidP="004A1737">
      <w:pPr>
        <w:tabs>
          <w:tab w:val="left" w:pos="1134"/>
        </w:tabs>
        <w:spacing w:line="260" w:lineRule="atLeast"/>
        <w:jc w:val="left"/>
        <w:rPr>
          <w:rFonts w:eastAsia="Calibri" w:cs="Times New Roman"/>
          <w:b/>
          <w:bCs/>
          <w:sz w:val="20"/>
          <w:szCs w:val="20"/>
          <w:lang w:eastAsia="en-US"/>
        </w:rPr>
      </w:pPr>
      <w:bookmarkStart w:id="105" w:name="_Ref57557909"/>
      <w:r w:rsidRPr="00FB249F">
        <w:rPr>
          <w:rFonts w:eastAsia="Calibri" w:cs="Times New Roman"/>
          <w:b/>
          <w:bCs/>
          <w:sz w:val="20"/>
          <w:szCs w:val="20"/>
          <w:lang w:eastAsia="en-US"/>
        </w:rPr>
        <w:t xml:space="preserve">Figure </w:t>
      </w:r>
      <w:r w:rsidRPr="00FB249F">
        <w:rPr>
          <w:rFonts w:eastAsia="Calibri" w:cs="Times New Roman"/>
          <w:b/>
          <w:bCs/>
          <w:sz w:val="20"/>
          <w:szCs w:val="20"/>
          <w:lang w:eastAsia="en-US"/>
        </w:rPr>
        <w:fldChar w:fldCharType="begin"/>
      </w:r>
      <w:r w:rsidRPr="00FB249F">
        <w:rPr>
          <w:rFonts w:eastAsia="Calibri" w:cs="Times New Roman"/>
          <w:b/>
          <w:bCs/>
          <w:sz w:val="20"/>
          <w:szCs w:val="20"/>
          <w:lang w:eastAsia="en-US"/>
        </w:rPr>
        <w:instrText xml:space="preserve"> SEQ Figure \* ARABIC </w:instrText>
      </w:r>
      <w:r w:rsidRPr="00FB249F">
        <w:rPr>
          <w:rFonts w:eastAsia="Calibri" w:cs="Times New Roman"/>
          <w:b/>
          <w:bCs/>
          <w:sz w:val="20"/>
          <w:szCs w:val="20"/>
          <w:lang w:eastAsia="en-US"/>
        </w:rPr>
        <w:fldChar w:fldCharType="separate"/>
      </w:r>
      <w:r w:rsidRPr="00FB249F">
        <w:rPr>
          <w:rFonts w:eastAsia="Calibri" w:cs="Times New Roman"/>
          <w:b/>
          <w:bCs/>
          <w:sz w:val="20"/>
          <w:szCs w:val="20"/>
          <w:lang w:eastAsia="en-US"/>
        </w:rPr>
        <w:t>3</w:t>
      </w:r>
      <w:r w:rsidRPr="00FB249F">
        <w:rPr>
          <w:rFonts w:eastAsia="Calibri" w:cs="Times New Roman"/>
          <w:b/>
          <w:bCs/>
          <w:sz w:val="20"/>
          <w:szCs w:val="20"/>
          <w:lang w:eastAsia="en-US"/>
        </w:rPr>
        <w:fldChar w:fldCharType="end"/>
      </w:r>
      <w:bookmarkEnd w:id="105"/>
      <w:r w:rsidRPr="00FB249F">
        <w:rPr>
          <w:rFonts w:eastAsia="Calibri" w:cs="Times New Roman"/>
          <w:b/>
          <w:bCs/>
          <w:sz w:val="20"/>
          <w:szCs w:val="20"/>
          <w:lang w:eastAsia="en-US"/>
        </w:rPr>
        <w:t>. Maps of estimated stream depletion from surface water and groundwater for the 14th of February 2016, 2017 and 2018 based on the two-layer model of Booker et al. (2018) calculated from the 2018 data and the updated data. Black symbols indicate the location of takes.</w:t>
      </w:r>
    </w:p>
    <w:p w14:paraId="7C3DAFC7" w14:textId="77777777" w:rsidR="00177387" w:rsidRPr="00FB249F" w:rsidRDefault="00177387" w:rsidP="00177387">
      <w:pPr>
        <w:spacing w:before="0" w:line="260" w:lineRule="atLeast"/>
        <w:jc w:val="left"/>
        <w:rPr>
          <w:rFonts w:eastAsia="Calibri" w:cs="Times New Roman"/>
          <w:lang w:eastAsia="en-US"/>
        </w:rPr>
      </w:pPr>
      <w:r w:rsidRPr="00FB249F">
        <w:rPr>
          <w:rFonts w:eastAsia="Calibri" w:cs="Times New Roman"/>
          <w:lang w:eastAsia="en-US"/>
        </w:rPr>
        <w:lastRenderedPageBreak/>
        <w:t xml:space="preserve">Our own visual inspection of the updated water take records for a selection of locations using the interactive app showed no obviously erroneous “spikes” or “flat lines”. This indicated an improvement in quality of the recorded water take data from both regions and the resulting streamflow depletion estimates. </w:t>
      </w:r>
    </w:p>
    <w:p w14:paraId="658D4E91" w14:textId="77777777" w:rsidR="00177387" w:rsidRPr="00FB249F" w:rsidRDefault="00177387" w:rsidP="00177387">
      <w:pPr>
        <w:spacing w:before="0" w:line="260" w:lineRule="atLeast"/>
        <w:jc w:val="left"/>
        <w:rPr>
          <w:rFonts w:eastAsia="Calibri" w:cs="Times New Roman"/>
          <w:lang w:eastAsia="en-US"/>
        </w:rPr>
      </w:pPr>
      <w:r w:rsidRPr="00FB249F">
        <w:rPr>
          <w:rFonts w:eastAsia="Calibri" w:cs="Times New Roman"/>
          <w:lang w:eastAsia="en-US"/>
        </w:rPr>
        <w:t xml:space="preserve">We also provided staff from Horizons and GWRC with the interactive app to view estimated streamflow depletion results. We gave an online demonstration of the app to the staff from Horizons and GWRC who had supplied the updated water take data. During this demonstration we confirmed that the positions of takes, take time-series and estimated streamflow depletion results for a small number of randomly selected catchments did conform to expected patterns. However, it should be noted that this demonstration did not constitute an exhaustive inspection of all results. </w:t>
      </w:r>
    </w:p>
    <w:p w14:paraId="5A614DEA" w14:textId="77777777" w:rsidR="00177387" w:rsidRPr="00FB249F" w:rsidRDefault="00177387" w:rsidP="008F34BD">
      <w:pPr>
        <w:keepNext/>
        <w:keepLines/>
        <w:spacing w:after="60" w:line="260" w:lineRule="atLeast"/>
        <w:jc w:val="left"/>
        <w:outlineLvl w:val="0"/>
        <w:rPr>
          <w:rFonts w:eastAsia="Times New Roman" w:cs="Times New Roman"/>
          <w:color w:val="365F91"/>
          <w:sz w:val="40"/>
          <w:szCs w:val="32"/>
          <w:lang w:eastAsia="en-US"/>
        </w:rPr>
      </w:pPr>
      <w:r w:rsidRPr="00FB249F">
        <w:rPr>
          <w:rFonts w:eastAsia="Times New Roman" w:cs="Times New Roman"/>
          <w:color w:val="365F91"/>
          <w:sz w:val="40"/>
          <w:szCs w:val="32"/>
          <w:lang w:eastAsia="en-US"/>
        </w:rPr>
        <w:t>Data provided to MfE</w:t>
      </w:r>
    </w:p>
    <w:p w14:paraId="61F6FAEC" w14:textId="77777777" w:rsidR="00177387" w:rsidRPr="00FB249F" w:rsidRDefault="00177387" w:rsidP="00177387">
      <w:pPr>
        <w:spacing w:before="0" w:line="260" w:lineRule="atLeast"/>
        <w:jc w:val="left"/>
        <w:rPr>
          <w:rFonts w:eastAsia="Calibri" w:cs="Times New Roman"/>
          <w:lang w:eastAsia="en-US"/>
        </w:rPr>
      </w:pPr>
      <w:r w:rsidRPr="00FB249F">
        <w:rPr>
          <w:rFonts w:eastAsia="Calibri" w:cs="Times New Roman"/>
          <w:lang w:eastAsia="en-US"/>
        </w:rPr>
        <w:t>Data files were provided to MfE on 16/11/2020. The data format followed the same format as files previously provided in the 2018 study:</w:t>
      </w:r>
    </w:p>
    <w:p w14:paraId="5B0525AC" w14:textId="77777777" w:rsidR="00177387" w:rsidRPr="00FB249F" w:rsidRDefault="00177387" w:rsidP="00177387">
      <w:pPr>
        <w:numPr>
          <w:ilvl w:val="0"/>
          <w:numId w:val="45"/>
        </w:numPr>
        <w:spacing w:before="0" w:after="0" w:line="260" w:lineRule="atLeast"/>
        <w:jc w:val="left"/>
        <w:rPr>
          <w:rFonts w:eastAsia="Calibri" w:cs="Times New Roman"/>
          <w:lang w:eastAsia="en-US"/>
        </w:rPr>
      </w:pPr>
      <w:r w:rsidRPr="00FB249F">
        <w:rPr>
          <w:rFonts w:eastAsia="Calibri" w:cs="Times New Roman"/>
          <w:lang w:eastAsia="en-US"/>
        </w:rPr>
        <w:t>AbsMatrixList_3.RData (recorded water takes at each location on each date, organised by groundwater and surface water).</w:t>
      </w:r>
    </w:p>
    <w:p w14:paraId="6F830D93" w14:textId="77777777" w:rsidR="00177387" w:rsidRPr="00FB249F" w:rsidRDefault="00177387" w:rsidP="00177387">
      <w:pPr>
        <w:numPr>
          <w:ilvl w:val="0"/>
          <w:numId w:val="45"/>
        </w:numPr>
        <w:spacing w:before="0" w:after="0" w:line="260" w:lineRule="atLeast"/>
        <w:jc w:val="left"/>
        <w:rPr>
          <w:rFonts w:eastAsia="Calibri" w:cs="Times New Roman"/>
          <w:lang w:eastAsia="en-US"/>
        </w:rPr>
      </w:pPr>
      <w:r w:rsidRPr="00FB249F">
        <w:rPr>
          <w:rFonts w:eastAsia="Calibri" w:cs="Times New Roman"/>
          <w:lang w:eastAsia="en-US"/>
        </w:rPr>
        <w:t>AccumulatedTakeList_3.RData (information describing the estimated streamflow depletion from each river segment on each date attributed to either groundwater takes, surface water takes or the combination of groundwater and surface water takes).</w:t>
      </w:r>
    </w:p>
    <w:p w14:paraId="11ACB54B" w14:textId="77777777" w:rsidR="00177387" w:rsidRPr="00FB249F" w:rsidRDefault="00177387" w:rsidP="00177387">
      <w:pPr>
        <w:numPr>
          <w:ilvl w:val="0"/>
          <w:numId w:val="45"/>
        </w:numPr>
        <w:spacing w:before="0" w:after="0" w:line="260" w:lineRule="atLeast"/>
        <w:jc w:val="left"/>
        <w:rPr>
          <w:rFonts w:eastAsia="Calibri" w:cs="Times New Roman"/>
          <w:lang w:eastAsia="en-US"/>
        </w:rPr>
      </w:pPr>
      <w:r w:rsidRPr="00FB249F">
        <w:rPr>
          <w:rFonts w:eastAsia="Calibri" w:cs="Times New Roman"/>
          <w:lang w:eastAsia="en-US"/>
        </w:rPr>
        <w:t>TakeFrame_3.RData (meta data relating to each take location).</w:t>
      </w:r>
    </w:p>
    <w:p w14:paraId="29B3BF83" w14:textId="77777777" w:rsidR="00177387" w:rsidRPr="00FB249F" w:rsidRDefault="00177387" w:rsidP="008F34BD">
      <w:pPr>
        <w:numPr>
          <w:ilvl w:val="0"/>
          <w:numId w:val="45"/>
        </w:numPr>
        <w:spacing w:before="0" w:line="260" w:lineRule="atLeast"/>
        <w:jc w:val="left"/>
        <w:rPr>
          <w:rFonts w:eastAsia="Calibri" w:cs="Times New Roman"/>
          <w:lang w:eastAsia="en-US"/>
        </w:rPr>
      </w:pPr>
      <w:r w:rsidRPr="00FB249F">
        <w:rPr>
          <w:rFonts w:eastAsia="Calibri" w:cs="Times New Roman"/>
          <w:lang w:eastAsia="en-US"/>
        </w:rPr>
        <w:t>ForGetDepletionAnySegment_3.RData (additional information used to calculate the proportion of streamflow depletion from any river segment attributed to any recorded take).</w:t>
      </w:r>
    </w:p>
    <w:p w14:paraId="6FC6C015" w14:textId="77777777" w:rsidR="00177387" w:rsidRPr="00FB249F" w:rsidRDefault="00177387" w:rsidP="00177387">
      <w:pPr>
        <w:spacing w:before="0" w:line="260" w:lineRule="atLeast"/>
        <w:jc w:val="left"/>
        <w:rPr>
          <w:rFonts w:eastAsia="Calibri" w:cs="Times New Roman"/>
          <w:lang w:eastAsia="en-US"/>
        </w:rPr>
      </w:pPr>
      <w:r w:rsidRPr="00FB249F">
        <w:rPr>
          <w:rFonts w:eastAsia="Calibri" w:cs="Times New Roman"/>
          <w:lang w:eastAsia="en-US"/>
        </w:rPr>
        <w:t xml:space="preserve">Data contained in “AccumulatedTakeList_3.RData” should match patterns shown in </w:t>
      </w:r>
      <w:r w:rsidRPr="00FB249F">
        <w:rPr>
          <w:rFonts w:eastAsia="Calibri" w:cs="Times New Roman"/>
          <w:lang w:eastAsia="en-US"/>
        </w:rPr>
        <w:fldChar w:fldCharType="begin"/>
      </w:r>
      <w:r w:rsidRPr="00FB249F">
        <w:rPr>
          <w:rFonts w:eastAsia="Calibri" w:cs="Times New Roman"/>
          <w:lang w:eastAsia="en-US"/>
        </w:rPr>
        <w:instrText xml:space="preserve"> REF _Ref57557909 \h </w:instrText>
      </w:r>
      <w:r w:rsidRPr="00FB249F">
        <w:rPr>
          <w:rFonts w:eastAsia="Calibri" w:cs="Times New Roman"/>
          <w:lang w:eastAsia="en-US"/>
        </w:rPr>
      </w:r>
      <w:r w:rsidRPr="00FB249F">
        <w:rPr>
          <w:rFonts w:eastAsia="Calibri" w:cs="Times New Roman"/>
          <w:lang w:eastAsia="en-US"/>
        </w:rPr>
        <w:fldChar w:fldCharType="separate"/>
      </w:r>
      <w:r w:rsidRPr="00FB249F" w:rsidDel="00720D7A">
        <w:rPr>
          <w:rFonts w:eastAsia="Calibri" w:cs="Times New Roman"/>
          <w:b/>
          <w:sz w:val="20"/>
          <w:szCs w:val="20"/>
          <w:lang w:eastAsia="en-US"/>
        </w:rPr>
        <w:t>Figure 3</w:t>
      </w:r>
      <w:r w:rsidRPr="00FB249F">
        <w:rPr>
          <w:rFonts w:eastAsia="Calibri" w:cs="Times New Roman"/>
          <w:lang w:eastAsia="en-US"/>
        </w:rPr>
        <w:fldChar w:fldCharType="end"/>
      </w:r>
      <w:r w:rsidRPr="00FB249F">
        <w:rPr>
          <w:rFonts w:eastAsia="Calibri" w:cs="Times New Roman"/>
          <w:lang w:eastAsia="en-US"/>
        </w:rPr>
        <w:t xml:space="preserve"> when plotted. </w:t>
      </w:r>
    </w:p>
    <w:p w14:paraId="36C3C803" w14:textId="77777777" w:rsidR="00177387" w:rsidRPr="00FB249F" w:rsidRDefault="00177387" w:rsidP="008F34BD">
      <w:pPr>
        <w:keepNext/>
        <w:keepLines/>
        <w:spacing w:before="60" w:after="60" w:line="260" w:lineRule="atLeast"/>
        <w:jc w:val="left"/>
        <w:outlineLvl w:val="0"/>
        <w:rPr>
          <w:rFonts w:eastAsia="Times New Roman" w:cs="Times New Roman"/>
          <w:color w:val="365F91"/>
          <w:sz w:val="40"/>
          <w:szCs w:val="32"/>
          <w:lang w:eastAsia="en-US"/>
        </w:rPr>
      </w:pPr>
      <w:r w:rsidRPr="00FB249F">
        <w:rPr>
          <w:rFonts w:eastAsia="Times New Roman" w:cs="Times New Roman"/>
          <w:color w:val="365F91"/>
          <w:sz w:val="40"/>
          <w:szCs w:val="32"/>
          <w:lang w:eastAsia="en-US"/>
        </w:rPr>
        <w:t>Conclusions</w:t>
      </w:r>
    </w:p>
    <w:p w14:paraId="0FDCE19A" w14:textId="77777777" w:rsidR="00177387" w:rsidRPr="00FB249F" w:rsidRDefault="00177387" w:rsidP="00177387">
      <w:pPr>
        <w:spacing w:before="0" w:line="260" w:lineRule="atLeast"/>
        <w:jc w:val="left"/>
        <w:rPr>
          <w:rFonts w:eastAsia="Calibri" w:cs="Times New Roman"/>
          <w:lang w:eastAsia="en-US"/>
        </w:rPr>
      </w:pPr>
      <w:r w:rsidRPr="00FB249F">
        <w:rPr>
          <w:rFonts w:eastAsia="Calibri" w:cs="Times New Roman"/>
          <w:lang w:eastAsia="en-US"/>
        </w:rPr>
        <w:t xml:space="preserve">Streamflow depletion was estimated for the period 02/06/15 to 01/07/18 because Horizons supplied data spanning this period. GWRC supplied data beyond this period. The same methods could be applied to estimate streamflow depletion over the Greater Wellington region for a longer period using the data GWRC supplied, or both regions if more longer records were obtained from Horizons. </w:t>
      </w:r>
    </w:p>
    <w:p w14:paraId="27C78180" w14:textId="77777777" w:rsidR="00177387" w:rsidRPr="00FB249F" w:rsidRDefault="00177387" w:rsidP="00177387">
      <w:pPr>
        <w:spacing w:before="0" w:line="260" w:lineRule="atLeast"/>
        <w:jc w:val="left"/>
        <w:rPr>
          <w:rFonts w:eastAsia="Calibri" w:cs="Times New Roman"/>
          <w:lang w:eastAsia="en-US"/>
        </w:rPr>
      </w:pPr>
      <w:r w:rsidRPr="00FB249F">
        <w:rPr>
          <w:rFonts w:eastAsia="Calibri" w:cs="Times New Roman"/>
          <w:lang w:eastAsia="en-US"/>
        </w:rPr>
        <w:t xml:space="preserve">This work demonstrated that assuring the quality of recorded water take data with respect to calculation of streamflow depletion estimates is a complex task. Although relevant standards exist for measurement of water take/use, to the best of our knowledge there is a lack of adequate procedures and guidelines relating to quality assurance of recorded water take data and associated meta-data required for the purposes of estimating streamflow depletion. Treatment of negative values, missing data, and accurate co-ordinates describing the location of each take might not be crucial when take data is used for compliance purposes, but these aspects need careful consideration when calculating streamflow depletion. </w:t>
      </w:r>
    </w:p>
    <w:p w14:paraId="7A191FEE" w14:textId="77777777" w:rsidR="00177387" w:rsidRPr="00FB249F" w:rsidRDefault="00177387" w:rsidP="008F34BD">
      <w:pPr>
        <w:keepNext/>
        <w:keepLines/>
        <w:spacing w:after="60" w:line="260" w:lineRule="atLeast"/>
        <w:jc w:val="left"/>
        <w:outlineLvl w:val="0"/>
        <w:rPr>
          <w:rFonts w:eastAsia="Times New Roman" w:cs="Times New Roman"/>
          <w:color w:val="365F91"/>
          <w:sz w:val="40"/>
          <w:szCs w:val="32"/>
          <w:lang w:eastAsia="en-US"/>
        </w:rPr>
      </w:pPr>
      <w:r w:rsidRPr="00FB249F">
        <w:rPr>
          <w:rFonts w:eastAsia="Times New Roman" w:cs="Times New Roman"/>
          <w:color w:val="365F91"/>
          <w:sz w:val="40"/>
          <w:szCs w:val="32"/>
          <w:lang w:eastAsia="en-US"/>
        </w:rPr>
        <w:t>Acknowledgements</w:t>
      </w:r>
    </w:p>
    <w:p w14:paraId="30EAF9CE" w14:textId="77777777" w:rsidR="00177387" w:rsidRPr="00FB249F" w:rsidRDefault="00177387" w:rsidP="00177387">
      <w:pPr>
        <w:spacing w:before="0" w:line="260" w:lineRule="atLeast"/>
        <w:jc w:val="left"/>
        <w:rPr>
          <w:rFonts w:eastAsia="Calibri" w:cs="Times New Roman"/>
          <w:lang w:eastAsia="en-US"/>
        </w:rPr>
      </w:pPr>
      <w:r w:rsidRPr="00FB249F">
        <w:rPr>
          <w:rFonts w:eastAsia="Calibri" w:cs="Times New Roman"/>
          <w:lang w:eastAsia="en-US"/>
        </w:rPr>
        <w:t xml:space="preserve">Many thanks to Amy Lennard of Horizons and Mike Thompson of GWRC for their dedicated assistance in providing data and checking results in relation to this work. Thanks to Neale Hudson of NIWA for reviewing this memo. </w:t>
      </w:r>
    </w:p>
    <w:p w14:paraId="417E0F8E" w14:textId="77777777" w:rsidR="00177387" w:rsidRPr="00FB249F" w:rsidRDefault="00177387" w:rsidP="00177387">
      <w:pPr>
        <w:keepNext/>
        <w:keepLines/>
        <w:spacing w:before="0" w:line="260" w:lineRule="atLeast"/>
        <w:jc w:val="left"/>
        <w:outlineLvl w:val="0"/>
        <w:rPr>
          <w:rFonts w:eastAsia="Times New Roman" w:cs="Times New Roman"/>
          <w:color w:val="365F91"/>
          <w:sz w:val="40"/>
          <w:szCs w:val="32"/>
          <w:lang w:eastAsia="en-US"/>
        </w:rPr>
      </w:pPr>
      <w:r w:rsidRPr="00FB249F">
        <w:rPr>
          <w:rFonts w:eastAsia="Times New Roman" w:cs="Times New Roman"/>
          <w:color w:val="365F91"/>
          <w:sz w:val="40"/>
          <w:szCs w:val="32"/>
          <w:lang w:eastAsia="en-US"/>
        </w:rPr>
        <w:lastRenderedPageBreak/>
        <w:t>References</w:t>
      </w:r>
    </w:p>
    <w:p w14:paraId="1C278B83" w14:textId="77777777" w:rsidR="00177387" w:rsidRPr="00FB249F" w:rsidRDefault="00177387" w:rsidP="00177387">
      <w:pPr>
        <w:spacing w:before="0" w:after="0" w:line="260" w:lineRule="atLeast"/>
        <w:jc w:val="left"/>
        <w:rPr>
          <w:rFonts w:eastAsia="Calibri" w:cs="Times New Roman"/>
          <w:lang w:eastAsia="en-US"/>
        </w:rPr>
      </w:pPr>
      <w:r w:rsidRPr="00FB249F">
        <w:rPr>
          <w:rFonts w:eastAsia="Calibri" w:cs="Times New Roman"/>
          <w:lang w:eastAsia="en-US"/>
        </w:rPr>
        <w:t>Booker, D.J., Rajanayaka, C., Yang, J. (2018) Modelling streamflow depletion from recorded abstractions; application to the Greater Wellington &amp; Manawatu-Wanganui regions. Client report to the Ministry for the Environment. MFE18502, 45pp.</w:t>
      </w:r>
    </w:p>
    <w:p w14:paraId="3F60C776" w14:textId="77777777" w:rsidR="008F34BD" w:rsidRPr="00FB249F" w:rsidRDefault="008F34BD" w:rsidP="008F34BD">
      <w:pPr>
        <w:pStyle w:val="BodyText"/>
      </w:pPr>
    </w:p>
    <w:p w14:paraId="341FDAA9" w14:textId="64417CE2" w:rsidR="00177387" w:rsidRPr="00FB249F" w:rsidRDefault="00177387" w:rsidP="008F34BD">
      <w:pPr>
        <w:pStyle w:val="BodyText"/>
      </w:pPr>
      <w:r w:rsidRPr="00FB249F">
        <w:br w:type="page"/>
      </w:r>
    </w:p>
    <w:p w14:paraId="45145678" w14:textId="77777777" w:rsidR="00177387" w:rsidRPr="00FB249F" w:rsidRDefault="00177387" w:rsidP="008F34BD">
      <w:pPr>
        <w:pStyle w:val="Heading1"/>
      </w:pPr>
      <w:bookmarkStart w:id="106" w:name="_Toc88208533"/>
      <w:bookmarkStart w:id="107" w:name="_Toc90312378"/>
      <w:r w:rsidRPr="00FB249F">
        <w:lastRenderedPageBreak/>
        <w:t>References</w:t>
      </w:r>
      <w:bookmarkEnd w:id="106"/>
      <w:bookmarkEnd w:id="107"/>
    </w:p>
    <w:p w14:paraId="3846019A" w14:textId="77777777" w:rsidR="00177387" w:rsidRPr="00FB249F" w:rsidRDefault="00177387" w:rsidP="00177387">
      <w:pPr>
        <w:pStyle w:val="References"/>
      </w:pPr>
      <w:r w:rsidRPr="00FB249F">
        <w:t xml:space="preserve">Booker D, Henderson R. 2019. </w:t>
      </w:r>
      <w:r w:rsidRPr="00FB249F">
        <w:rPr>
          <w:i/>
          <w:iCs/>
        </w:rPr>
        <w:t>National water allocation statistics for environmental reporting; 2018</w:t>
      </w:r>
      <w:r w:rsidRPr="00FB249F">
        <w:t xml:space="preserve">. NIWA, Client Report no. 2019049CH. Wellington: Ministry for the Environment. </w:t>
      </w:r>
    </w:p>
    <w:p w14:paraId="70B839C6" w14:textId="77777777" w:rsidR="00177387" w:rsidRPr="00FB249F" w:rsidRDefault="00177387" w:rsidP="00177387">
      <w:pPr>
        <w:pStyle w:val="References"/>
      </w:pPr>
      <w:r w:rsidRPr="00FB249F">
        <w:t xml:space="preserve">Booker D, Henderson R, Whitehead A. 2016. </w:t>
      </w:r>
      <w:r w:rsidRPr="00FB249F">
        <w:rPr>
          <w:i/>
          <w:iCs/>
        </w:rPr>
        <w:t xml:space="preserve">National water allocation statistics for environmental reporting. </w:t>
      </w:r>
      <w:r w:rsidRPr="00FB249F">
        <w:t>NIWA, Client Report no. 2017065CH. Wellington: Ministry for the Environment.</w:t>
      </w:r>
    </w:p>
    <w:p w14:paraId="668D500C" w14:textId="77777777" w:rsidR="00177387" w:rsidRPr="00FB249F" w:rsidRDefault="00177387" w:rsidP="00177387">
      <w:pPr>
        <w:pStyle w:val="References"/>
      </w:pPr>
      <w:r w:rsidRPr="00FB249F">
        <w:t xml:space="preserve">Booker D, Rajanayaka C, Yang J. 2019. </w:t>
      </w:r>
      <w:r w:rsidRPr="00FB249F">
        <w:rPr>
          <w:i/>
          <w:iCs/>
        </w:rPr>
        <w:t>Modelling streamflow depletion from recorded abstractions; application to the Greater Wellington and Manawatu-Wanganui regions</w:t>
      </w:r>
      <w:r w:rsidRPr="00FB249F">
        <w:t xml:space="preserve">. Prepared for the Ministry for the Environment. Wellington: Ministry for the Environment. </w:t>
      </w:r>
    </w:p>
    <w:p w14:paraId="4F43CA99" w14:textId="0692B0EA" w:rsidR="002A3EFC" w:rsidRDefault="00177387" w:rsidP="00177387">
      <w:pPr>
        <w:pStyle w:val="References"/>
      </w:pPr>
      <w:bookmarkStart w:id="108" w:name="_Hlk90312235"/>
      <w:r w:rsidRPr="00FB249F">
        <w:t xml:space="preserve">Booker D, Woods R. 2014. Comparing and combining physically based and empirically-based approaches for estimating the hydrology of ungauged catchments. </w:t>
      </w:r>
      <w:r w:rsidRPr="00FB249F">
        <w:rPr>
          <w:i/>
          <w:iCs/>
        </w:rPr>
        <w:t>Journal of Hydrology</w:t>
      </w:r>
      <w:r w:rsidRPr="00FB249F">
        <w:t xml:space="preserve"> 508</w:t>
      </w:r>
      <w:r w:rsidR="00C20335" w:rsidRPr="00FB249F">
        <w:t>:</w:t>
      </w:r>
      <w:r w:rsidRPr="00FB249F">
        <w:rPr>
          <w:i/>
          <w:iCs/>
        </w:rPr>
        <w:t xml:space="preserve"> </w:t>
      </w:r>
      <w:r w:rsidRPr="00FB249F">
        <w:t xml:space="preserve">227–239. </w:t>
      </w:r>
      <w:hyperlink r:id="rId52" w:history="1">
        <w:r w:rsidR="007F5F64" w:rsidRPr="00E97A4F">
          <w:rPr>
            <w:rStyle w:val="Hyperlink"/>
          </w:rPr>
          <w:t>https://shiny.niwa.co.nz/Estuaries-Screening-Tool-3/pdfs/Booker,%20Woods%20-%202014%20-%20Journal%20of%20Hydrology.pdf</w:t>
        </w:r>
      </w:hyperlink>
    </w:p>
    <w:bookmarkEnd w:id="108"/>
    <w:p w14:paraId="27367B5F" w14:textId="11EE4AE8" w:rsidR="00177387" w:rsidRPr="00FB249F" w:rsidRDefault="00177387" w:rsidP="00177387">
      <w:pPr>
        <w:pStyle w:val="References"/>
      </w:pPr>
      <w:r w:rsidRPr="00FB249F">
        <w:t xml:space="preserve">Controller &amp; Auditor General. 2018. </w:t>
      </w:r>
      <w:r w:rsidRPr="00FB249F">
        <w:rPr>
          <w:i/>
          <w:iCs/>
        </w:rPr>
        <w:t>Monitoring how water is used for irrigation</w:t>
      </w:r>
      <w:r w:rsidRPr="00FB249F">
        <w:t>. Wellington: Office of</w:t>
      </w:r>
      <w:r w:rsidR="00300731" w:rsidRPr="00FB249F">
        <w:t> </w:t>
      </w:r>
      <w:r w:rsidRPr="00FB249F">
        <w:t xml:space="preserve">the Controller &amp; Auditor General. Retrieved from </w:t>
      </w:r>
      <w:hyperlink r:id="rId53" w:history="1">
        <w:r w:rsidRPr="00FB249F">
          <w:rPr>
            <w:rStyle w:val="Hyperlink"/>
          </w:rPr>
          <w:t>www.oag.parliament.nz/2018/irrigation/docs</w:t>
        </w:r>
      </w:hyperlink>
      <w:r w:rsidRPr="00FB249F">
        <w:t xml:space="preserve"> (3</w:t>
      </w:r>
      <w:r w:rsidR="00300731" w:rsidRPr="00FB249F">
        <w:t> </w:t>
      </w:r>
      <w:r w:rsidRPr="00FB249F">
        <w:t>May</w:t>
      </w:r>
      <w:r w:rsidR="00300731" w:rsidRPr="00FB249F">
        <w:t> </w:t>
      </w:r>
      <w:r w:rsidRPr="00FB249F">
        <w:t>2021).</w:t>
      </w:r>
    </w:p>
    <w:p w14:paraId="7027ACEC" w14:textId="77777777" w:rsidR="00177387" w:rsidRPr="00FB249F" w:rsidRDefault="00177387" w:rsidP="00177387">
      <w:pPr>
        <w:pStyle w:val="References"/>
      </w:pPr>
      <w:r w:rsidRPr="00FB249F">
        <w:t xml:space="preserve">Environmental Reporting Act 2015. Retrieved from </w:t>
      </w:r>
      <w:hyperlink r:id="rId54" w:history="1">
        <w:r w:rsidRPr="00FB249F">
          <w:rPr>
            <w:rStyle w:val="Hyperlink"/>
          </w:rPr>
          <w:t>https://www.legislation.govt.nz/</w:t>
        </w:r>
      </w:hyperlink>
    </w:p>
    <w:p w14:paraId="3D21C987" w14:textId="77777777" w:rsidR="00177387" w:rsidRPr="00FB249F" w:rsidRDefault="00177387" w:rsidP="00177387">
      <w:pPr>
        <w:pStyle w:val="References"/>
      </w:pPr>
      <w:r w:rsidRPr="00FB249F">
        <w:t xml:space="preserve">Environmental Reporting (Topics for Environmental Reports) Regulations 2016. Retrieved from </w:t>
      </w:r>
      <w:hyperlink r:id="rId55" w:history="1">
        <w:r w:rsidRPr="00FB249F">
          <w:rPr>
            <w:rStyle w:val="Hyperlink"/>
          </w:rPr>
          <w:t>https://www.legislation.govt.nz/</w:t>
        </w:r>
      </w:hyperlink>
    </w:p>
    <w:p w14:paraId="543D1A2E" w14:textId="3DDA9881" w:rsidR="00177387" w:rsidRPr="00FB249F" w:rsidRDefault="00177387" w:rsidP="00177387">
      <w:pPr>
        <w:pStyle w:val="References"/>
      </w:pPr>
      <w:r w:rsidRPr="00FB249F">
        <w:t xml:space="preserve">Genesis Energy. nd. </w:t>
      </w:r>
      <w:r w:rsidRPr="00FB249F">
        <w:rPr>
          <w:i/>
          <w:iCs/>
        </w:rPr>
        <w:t xml:space="preserve">Tongariro Power Scheme. </w:t>
      </w:r>
      <w:r w:rsidRPr="00FB249F">
        <w:t xml:space="preserve">Retrieved from </w:t>
      </w:r>
      <w:hyperlink r:id="rId56" w:history="1">
        <w:r w:rsidRPr="00FB249F">
          <w:rPr>
            <w:rStyle w:val="Hyperlink"/>
          </w:rPr>
          <w:t>https://genesisenergy.co.nz/assets</w:t>
        </w:r>
      </w:hyperlink>
      <w:r w:rsidRPr="00FB249F">
        <w:t xml:space="preserve"> (22</w:t>
      </w:r>
      <w:r w:rsidR="00300731" w:rsidRPr="00FB249F">
        <w:t> </w:t>
      </w:r>
      <w:r w:rsidRPr="00FB249F">
        <w:t>July 2021).</w:t>
      </w:r>
    </w:p>
    <w:p w14:paraId="47224442" w14:textId="77777777" w:rsidR="00177387" w:rsidRPr="00FB249F" w:rsidRDefault="00177387" w:rsidP="00177387">
      <w:pPr>
        <w:pStyle w:val="References"/>
      </w:pPr>
      <w:r w:rsidRPr="00FB249F">
        <w:t xml:space="preserve">Horizons Regional Council. 2019. </w:t>
      </w:r>
      <w:r w:rsidRPr="00FB249F">
        <w:rPr>
          <w:i/>
          <w:iCs/>
        </w:rPr>
        <w:t>2019 State of Environment</w:t>
      </w:r>
      <w:r w:rsidRPr="00FB249F">
        <w:t xml:space="preserve">. Palmerston North: Horizons Regional Council. Retrieved from </w:t>
      </w:r>
      <w:hyperlink r:id="rId57" w:history="1">
        <w:r w:rsidRPr="00FB249F">
          <w:rPr>
            <w:rStyle w:val="Hyperlink"/>
          </w:rPr>
          <w:t>https://horizons.govt.nz</w:t>
        </w:r>
      </w:hyperlink>
      <w:r w:rsidRPr="00FB249F">
        <w:t xml:space="preserve"> </w:t>
      </w:r>
    </w:p>
    <w:p w14:paraId="08A160E3" w14:textId="1B1C9C93" w:rsidR="00177387" w:rsidRPr="00FB249F" w:rsidRDefault="00177387" w:rsidP="00177387">
      <w:pPr>
        <w:pStyle w:val="References"/>
      </w:pPr>
      <w:r w:rsidRPr="00FB249F">
        <w:t xml:space="preserve">Land Air Water Aotearoa. nd. </w:t>
      </w:r>
      <w:r w:rsidRPr="00FB249F">
        <w:rPr>
          <w:i/>
          <w:iCs/>
        </w:rPr>
        <w:t>Manawatū-Whanganui region; Surface Water Zone: Manawatu</w:t>
      </w:r>
      <w:r w:rsidRPr="00FB249F">
        <w:t xml:space="preserve">. Retrieved from </w:t>
      </w:r>
      <w:hyperlink r:id="rId58" w:history="1">
        <w:r w:rsidRPr="00FB249F">
          <w:rPr>
            <w:rStyle w:val="Hyperlink"/>
          </w:rPr>
          <w:t>www.lawa.org.nz/explore-data/manawat%C5%AB-whanganui-region/water-quantity/surface-water-zones/manawatu</w:t>
        </w:r>
      </w:hyperlink>
      <w:r w:rsidRPr="00FB249F">
        <w:t xml:space="preserve"> (10 February 2021)</w:t>
      </w:r>
      <w:r w:rsidR="003661B8" w:rsidRPr="00FB249F">
        <w:t>.</w:t>
      </w:r>
    </w:p>
    <w:p w14:paraId="320E8DD4" w14:textId="77777777" w:rsidR="00177387" w:rsidRPr="00FB249F" w:rsidRDefault="00177387" w:rsidP="00177387">
      <w:pPr>
        <w:pStyle w:val="References"/>
      </w:pPr>
      <w:r w:rsidRPr="00FB249F">
        <w:t xml:space="preserve">Ministry of Business, Innovation &amp; Employment. 2020. </w:t>
      </w:r>
      <w:r w:rsidRPr="00FB249F">
        <w:rPr>
          <w:i/>
          <w:iCs/>
        </w:rPr>
        <w:t xml:space="preserve">Electricity statistics. </w:t>
      </w:r>
      <w:r w:rsidRPr="00FB249F">
        <w:t xml:space="preserve">Retrieved from </w:t>
      </w:r>
      <w:hyperlink r:id="rId59" w:history="1">
        <w:r w:rsidRPr="00FB249F">
          <w:rPr>
            <w:rStyle w:val="Hyperlink"/>
          </w:rPr>
          <w:t>www.mbie.govt.nz/building-and-energy/energy-and-natural-resources/energy-statistics-and-modelling/energy-statistics</w:t>
        </w:r>
      </w:hyperlink>
      <w:r w:rsidRPr="00FB249F">
        <w:t xml:space="preserve"> (9 March 2021).</w:t>
      </w:r>
    </w:p>
    <w:p w14:paraId="7363BBAE" w14:textId="77777777" w:rsidR="00177387" w:rsidRPr="00FB249F" w:rsidRDefault="00177387" w:rsidP="00177387">
      <w:pPr>
        <w:pStyle w:val="References"/>
      </w:pPr>
      <w:r w:rsidRPr="00FB249F">
        <w:t xml:space="preserve">Ministry for the Environment. 2020. </w:t>
      </w:r>
      <w:r w:rsidRPr="00FB249F">
        <w:rPr>
          <w:i/>
          <w:iCs/>
        </w:rPr>
        <w:t>National Policy Statement for Freshwater Management 2020</w:t>
      </w:r>
      <w:r w:rsidRPr="00FB249F">
        <w:t xml:space="preserve">. Retrieved from </w:t>
      </w:r>
      <w:hyperlink r:id="rId60" w:history="1">
        <w:r w:rsidRPr="00FB249F">
          <w:rPr>
            <w:rStyle w:val="Hyperlink"/>
          </w:rPr>
          <w:t>https://environment.govt.nz/publications/national-policy-statement-for-freshwater-management-2020/</w:t>
        </w:r>
      </w:hyperlink>
    </w:p>
    <w:p w14:paraId="5423EEDB" w14:textId="77777777" w:rsidR="00177387" w:rsidRPr="00FB249F" w:rsidRDefault="00177387" w:rsidP="00177387">
      <w:pPr>
        <w:pStyle w:val="References"/>
      </w:pPr>
      <w:r w:rsidRPr="00FB249F">
        <w:t xml:space="preserve">Ministry for the Environment &amp; Stats NZ. 2019. </w:t>
      </w:r>
      <w:r w:rsidRPr="00FB249F">
        <w:rPr>
          <w:i/>
          <w:iCs/>
        </w:rPr>
        <w:t>New Zealand’s Environmental Reporting Series: Environment Aotearoa 2019</w:t>
      </w:r>
      <w:r w:rsidRPr="00FB249F">
        <w:t xml:space="preserve">. Retrieved from </w:t>
      </w:r>
      <w:hyperlink r:id="rId61" w:history="1">
        <w:r w:rsidRPr="00FB249F">
          <w:rPr>
            <w:rStyle w:val="Hyperlink"/>
          </w:rPr>
          <w:t>www.mfe.govt.nz</w:t>
        </w:r>
      </w:hyperlink>
      <w:r w:rsidRPr="00FB249F">
        <w:t xml:space="preserve"> and </w:t>
      </w:r>
      <w:hyperlink r:id="rId62" w:history="1">
        <w:r w:rsidRPr="00FB249F">
          <w:rPr>
            <w:rStyle w:val="Hyperlink"/>
          </w:rPr>
          <w:t>www.stats.govt.nz</w:t>
        </w:r>
      </w:hyperlink>
    </w:p>
    <w:p w14:paraId="018F3016" w14:textId="2FFAEC83" w:rsidR="00177387" w:rsidRPr="00FB249F" w:rsidRDefault="00177387" w:rsidP="00177387">
      <w:pPr>
        <w:pStyle w:val="References"/>
        <w:rPr>
          <w:rStyle w:val="Hyperlink"/>
        </w:rPr>
      </w:pPr>
      <w:r w:rsidRPr="00FB249F">
        <w:t xml:space="preserve">Ministry for the Environment, Stats NZ. 2020. </w:t>
      </w:r>
      <w:r w:rsidRPr="00FB249F">
        <w:rPr>
          <w:i/>
          <w:iCs/>
        </w:rPr>
        <w:t>New Zealand’s Environmental Reporting Series: Our</w:t>
      </w:r>
      <w:r w:rsidR="00300731" w:rsidRPr="00FB249F">
        <w:rPr>
          <w:i/>
          <w:iCs/>
        </w:rPr>
        <w:t> </w:t>
      </w:r>
      <w:r w:rsidRPr="00FB249F">
        <w:rPr>
          <w:i/>
          <w:iCs/>
        </w:rPr>
        <w:t>freshwater 2020</w:t>
      </w:r>
      <w:r w:rsidRPr="00FB249F">
        <w:t xml:space="preserve">. Wellington: Ministry for the Environment and Stats NZ. Retrieved from </w:t>
      </w:r>
      <w:hyperlink r:id="rId63" w:history="1">
        <w:r w:rsidRPr="00FB249F">
          <w:rPr>
            <w:rStyle w:val="Hyperlink"/>
          </w:rPr>
          <w:t>www.mfe.govt.nz</w:t>
        </w:r>
      </w:hyperlink>
      <w:r w:rsidRPr="00FB249F">
        <w:t xml:space="preserve"> and </w:t>
      </w:r>
      <w:hyperlink r:id="rId64" w:history="1">
        <w:r w:rsidRPr="00FB249F">
          <w:rPr>
            <w:rStyle w:val="Hyperlink"/>
          </w:rPr>
          <w:t>www.stats.govt.nz</w:t>
        </w:r>
      </w:hyperlink>
    </w:p>
    <w:p w14:paraId="6D347E60" w14:textId="76CD9E71" w:rsidR="00177387" w:rsidRPr="00FB249F" w:rsidRDefault="00177387" w:rsidP="00177387">
      <w:pPr>
        <w:pStyle w:val="References"/>
      </w:pPr>
      <w:r w:rsidRPr="00FB249F">
        <w:t xml:space="preserve">Palmerston North City Council. 2021. </w:t>
      </w:r>
      <w:r w:rsidRPr="00FB249F">
        <w:rPr>
          <w:i/>
          <w:iCs/>
        </w:rPr>
        <w:t>Water supply</w:t>
      </w:r>
      <w:r w:rsidRPr="00FB249F">
        <w:t xml:space="preserve">. Retrieved from </w:t>
      </w:r>
      <w:hyperlink r:id="rId65" w:history="1">
        <w:r w:rsidRPr="00FB249F">
          <w:rPr>
            <w:rStyle w:val="Hyperlink"/>
          </w:rPr>
          <w:t>www.pncc.govt.nz/services/water</w:t>
        </w:r>
      </w:hyperlink>
      <w:r w:rsidRPr="00FB249F">
        <w:t xml:space="preserve"> (10 February 2021)</w:t>
      </w:r>
      <w:r w:rsidR="00C20335" w:rsidRPr="00FB249F">
        <w:t>.</w:t>
      </w:r>
    </w:p>
    <w:p w14:paraId="11E12689" w14:textId="49444E0F" w:rsidR="00177387" w:rsidRPr="00FB249F" w:rsidRDefault="00177387" w:rsidP="00177387">
      <w:pPr>
        <w:pStyle w:val="References"/>
      </w:pPr>
      <w:r w:rsidRPr="00FB249F">
        <w:t xml:space="preserve">Rangitīkei District Council. 2018. </w:t>
      </w:r>
      <w:r w:rsidRPr="00FB249F">
        <w:rPr>
          <w:i/>
          <w:iCs/>
        </w:rPr>
        <w:t xml:space="preserve">Rangitīkei District Council Asset Management Plan; 3 Waters – </w:t>
      </w:r>
      <w:r w:rsidRPr="00FB249F">
        <w:rPr>
          <w:i/>
          <w:iCs/>
        </w:rPr>
        <w:br/>
        <w:t>2017–2018</w:t>
      </w:r>
      <w:r w:rsidRPr="00FB249F">
        <w:t xml:space="preserve">. Retrieved from </w:t>
      </w:r>
      <w:hyperlink r:id="rId66" w:history="1">
        <w:r w:rsidRPr="00FB249F">
          <w:rPr>
            <w:rStyle w:val="Hyperlink"/>
          </w:rPr>
          <w:t>www.rangitikei.govt.nz/files/general/Asset-Management-Plans/Asset-Management-Plan-RDC-3-Waters-2017-18.pdf</w:t>
        </w:r>
      </w:hyperlink>
      <w:r w:rsidRPr="00FB249F">
        <w:t xml:space="preserve"> (15 November 2021)</w:t>
      </w:r>
      <w:r w:rsidR="00C20335" w:rsidRPr="00FB249F">
        <w:t>.</w:t>
      </w:r>
    </w:p>
    <w:p w14:paraId="059005F4" w14:textId="5C737CC6" w:rsidR="00177387" w:rsidRPr="00FB249F" w:rsidRDefault="00177387" w:rsidP="00177387">
      <w:pPr>
        <w:pStyle w:val="References"/>
      </w:pPr>
      <w:r w:rsidRPr="00FB249F">
        <w:t xml:space="preserve">Resource Management Act 1991. Retrieved from </w:t>
      </w:r>
      <w:hyperlink r:id="rId67" w:history="1">
        <w:r w:rsidRPr="00FB249F">
          <w:rPr>
            <w:rStyle w:val="Hyperlink"/>
          </w:rPr>
          <w:t>https://www.legislation.govt.nz/</w:t>
        </w:r>
      </w:hyperlink>
      <w:r w:rsidR="00C20335" w:rsidRPr="00FB249F">
        <w:rPr>
          <w:rStyle w:val="Hyperlink"/>
        </w:rPr>
        <w:t>.</w:t>
      </w:r>
    </w:p>
    <w:p w14:paraId="01410D41" w14:textId="43B939A6" w:rsidR="00177387" w:rsidRPr="00FB249F" w:rsidRDefault="00177387" w:rsidP="00177387">
      <w:pPr>
        <w:pStyle w:val="References"/>
      </w:pPr>
      <w:r w:rsidRPr="00FB249F">
        <w:t xml:space="preserve">Resource Management (Measurement and Reporting of Water Takes) Amendment Regulations 2020. Retrieved from </w:t>
      </w:r>
      <w:hyperlink r:id="rId68" w:history="1">
        <w:r w:rsidRPr="00FB249F">
          <w:rPr>
            <w:rStyle w:val="Hyperlink"/>
          </w:rPr>
          <w:t>https://www.legislation.govt.nz/</w:t>
        </w:r>
      </w:hyperlink>
      <w:r w:rsidRPr="00FB249F">
        <w:t xml:space="preserve"> </w:t>
      </w:r>
    </w:p>
    <w:p w14:paraId="37A61F26" w14:textId="57069C8B" w:rsidR="00177387" w:rsidRPr="00FB249F" w:rsidRDefault="00177387" w:rsidP="00177387">
      <w:pPr>
        <w:pStyle w:val="References"/>
      </w:pPr>
      <w:r w:rsidRPr="00FB249F">
        <w:lastRenderedPageBreak/>
        <w:t xml:space="preserve">Resource Management (Measurement and Reporting of Water Takes) Regulations 2010. Retrieved from </w:t>
      </w:r>
      <w:hyperlink r:id="rId69" w:history="1">
        <w:r w:rsidRPr="00FB249F">
          <w:rPr>
            <w:rStyle w:val="Hyperlink"/>
          </w:rPr>
          <w:t>https://www.legislation.govt.nz/</w:t>
        </w:r>
      </w:hyperlink>
      <w:r w:rsidRPr="00FB249F">
        <w:t xml:space="preserve"> </w:t>
      </w:r>
    </w:p>
    <w:p w14:paraId="7B05D8E8" w14:textId="01564D9B" w:rsidR="00177387" w:rsidRPr="00FB249F" w:rsidRDefault="00177387" w:rsidP="00177387">
      <w:pPr>
        <w:pStyle w:val="References"/>
        <w:rPr>
          <w:i/>
          <w:iCs/>
        </w:rPr>
      </w:pPr>
      <w:r w:rsidRPr="00FB249F">
        <w:t>Richter BD, Davis MM, Apse C, Konrad C. 2011. A Presumptive Standard for Environmental Flow Protection</w:t>
      </w:r>
      <w:r w:rsidRPr="00FB249F">
        <w:rPr>
          <w:i/>
          <w:iCs/>
        </w:rPr>
        <w:t xml:space="preserve">. River Research and Applications </w:t>
      </w:r>
      <w:r w:rsidRPr="00FB249F">
        <w:t>28(8)</w:t>
      </w:r>
      <w:r w:rsidR="004D6EC8" w:rsidRPr="00FB249F">
        <w:t>:</w:t>
      </w:r>
      <w:r w:rsidRPr="00FB249F">
        <w:t xml:space="preserve"> 1312–1321.</w:t>
      </w:r>
    </w:p>
    <w:p w14:paraId="2A5F3B5C" w14:textId="77777777" w:rsidR="00177387" w:rsidRPr="00FB249F" w:rsidRDefault="00177387" w:rsidP="00177387">
      <w:pPr>
        <w:pStyle w:val="References"/>
      </w:pPr>
      <w:r w:rsidRPr="00FB249F">
        <w:t xml:space="preserve">Stats NZ. 2020. </w:t>
      </w:r>
      <w:r w:rsidRPr="00FB249F">
        <w:rPr>
          <w:i/>
          <w:iCs/>
        </w:rPr>
        <w:t xml:space="preserve">Drought. </w:t>
      </w:r>
      <w:r w:rsidRPr="00FB249F">
        <w:t xml:space="preserve">Retrieved from </w:t>
      </w:r>
      <w:hyperlink r:id="rId70" w:history="1">
        <w:r w:rsidRPr="00FB249F">
          <w:rPr>
            <w:rStyle w:val="Hyperlink"/>
          </w:rPr>
          <w:t>https://www.stats.govt.nz/indicators/drought</w:t>
        </w:r>
      </w:hyperlink>
      <w:r w:rsidRPr="00FB249F">
        <w:t xml:space="preserve"> (31 May 2021).</w:t>
      </w:r>
    </w:p>
    <w:p w14:paraId="3DC1CEA7" w14:textId="74C56CBC" w:rsidR="00894EA0" w:rsidRDefault="00177387" w:rsidP="00177387">
      <w:pPr>
        <w:pStyle w:val="References"/>
      </w:pPr>
      <w:r w:rsidRPr="00FB249F">
        <w:t xml:space="preserve">Snelder TH, Biggs BJF. 2002. Multiscale river environment classification for water resources management. </w:t>
      </w:r>
      <w:r w:rsidRPr="00FB249F">
        <w:rPr>
          <w:i/>
          <w:iCs/>
        </w:rPr>
        <w:t>Journal of the American Water Resources Association</w:t>
      </w:r>
      <w:r w:rsidRPr="00FB249F">
        <w:t xml:space="preserve"> 38(5)</w:t>
      </w:r>
      <w:r w:rsidR="004D6EC8" w:rsidRPr="00FB249F">
        <w:t>:</w:t>
      </w:r>
      <w:r w:rsidRPr="00FB249F">
        <w:t xml:space="preserve"> 1225–1239. </w:t>
      </w:r>
      <w:hyperlink r:id="rId71" w:history="1">
        <w:r w:rsidR="00894EA0" w:rsidRPr="002E54EB">
          <w:rPr>
            <w:rStyle w:val="Hyperlink"/>
          </w:rPr>
          <w:t>https://doi.org/10.1111/j.1752-1688.2002.tb04344.x</w:t>
        </w:r>
      </w:hyperlink>
    </w:p>
    <w:p w14:paraId="00A661E1" w14:textId="3A407605" w:rsidR="00177387" w:rsidRPr="00FB249F" w:rsidRDefault="00177387" w:rsidP="00177387">
      <w:pPr>
        <w:pStyle w:val="References"/>
      </w:pPr>
      <w:r w:rsidRPr="00FB249F">
        <w:t xml:space="preserve">Ward N, Lough H. 2011. Stream depletion from pumping a semiconfined aquifer in a two-layer leaky aquifer system. </w:t>
      </w:r>
      <w:r w:rsidRPr="00FB249F">
        <w:rPr>
          <w:i/>
          <w:iCs/>
        </w:rPr>
        <w:t xml:space="preserve">Journal of Hydrologic Engineering </w:t>
      </w:r>
      <w:r w:rsidRPr="00FB249F">
        <w:t>16(11)</w:t>
      </w:r>
      <w:r w:rsidR="004D6EC8" w:rsidRPr="00FB249F">
        <w:t>:</w:t>
      </w:r>
      <w:r w:rsidRPr="00FB249F">
        <w:t xml:space="preserve"> 955–959.</w:t>
      </w:r>
    </w:p>
    <w:p w14:paraId="0A0596FC" w14:textId="55FC678B" w:rsidR="00177387" w:rsidRPr="00FB249F" w:rsidRDefault="00177387" w:rsidP="00177387">
      <w:pPr>
        <w:pStyle w:val="References"/>
      </w:pPr>
      <w:r w:rsidRPr="00FB249F">
        <w:t xml:space="preserve">Wellington Water. 2021a. </w:t>
      </w:r>
      <w:r w:rsidRPr="00FB249F">
        <w:rPr>
          <w:i/>
          <w:iCs/>
        </w:rPr>
        <w:t>Wellington Region Water Supply</w:t>
      </w:r>
      <w:r w:rsidRPr="00FB249F">
        <w:t xml:space="preserve">. Retrieved from </w:t>
      </w:r>
      <w:hyperlink r:id="rId72" w:history="1">
        <w:r w:rsidRPr="00FB249F">
          <w:rPr>
            <w:rStyle w:val="Hyperlink"/>
          </w:rPr>
          <w:t>www.wellingtonwater.co.nz/your-water/drinking-water/where-does-it-come-from</w:t>
        </w:r>
      </w:hyperlink>
      <w:r w:rsidRPr="00FB249F">
        <w:t xml:space="preserve"> (10 February 2021)</w:t>
      </w:r>
      <w:r w:rsidR="004D6EC8" w:rsidRPr="00FB249F">
        <w:t>.</w:t>
      </w:r>
    </w:p>
    <w:p w14:paraId="137DF567" w14:textId="4F1D3582" w:rsidR="00177387" w:rsidRPr="00FB249F" w:rsidRDefault="00177387" w:rsidP="00177387">
      <w:pPr>
        <w:pStyle w:val="References"/>
      </w:pPr>
      <w:r w:rsidRPr="00FB249F">
        <w:t xml:space="preserve">Wellington Water. 2021b. </w:t>
      </w:r>
      <w:r w:rsidRPr="00FB249F">
        <w:rPr>
          <w:i/>
          <w:iCs/>
        </w:rPr>
        <w:t>South Wairarapa Water Supply</w:t>
      </w:r>
      <w:r w:rsidRPr="00FB249F">
        <w:t xml:space="preserve">. Retrieved from </w:t>
      </w:r>
      <w:hyperlink r:id="rId73" w:history="1">
        <w:r w:rsidRPr="00FB249F">
          <w:rPr>
            <w:rStyle w:val="Hyperlink"/>
          </w:rPr>
          <w:t>www.wellingtonwater.co.nz/your-water/drinking-water/where-does-it-come-from</w:t>
        </w:r>
      </w:hyperlink>
      <w:r w:rsidRPr="00FB249F">
        <w:t xml:space="preserve"> (10 February 2021)</w:t>
      </w:r>
      <w:r w:rsidR="004D6EC8" w:rsidRPr="00FB249F">
        <w:t>.</w:t>
      </w:r>
    </w:p>
    <w:p w14:paraId="623C23B4" w14:textId="77777777" w:rsidR="00177387" w:rsidRPr="00FB249F" w:rsidRDefault="00177387" w:rsidP="00177387">
      <w:pPr>
        <w:spacing w:before="0" w:after="0" w:line="260" w:lineRule="atLeast"/>
        <w:jc w:val="left"/>
      </w:pPr>
    </w:p>
    <w:sectPr w:rsidR="00177387" w:rsidRPr="00FB249F" w:rsidSect="000A544D">
      <w:pgSz w:w="11907" w:h="16840" w:code="9"/>
      <w:pgMar w:top="1134" w:right="1701" w:bottom="1134" w:left="1701" w:header="567" w:footer="56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5DAA77" w14:textId="77777777" w:rsidR="00F644B8" w:rsidRDefault="00F644B8" w:rsidP="0080531E">
      <w:pPr>
        <w:spacing w:before="0" w:after="0" w:line="240" w:lineRule="auto"/>
      </w:pPr>
      <w:r>
        <w:separator/>
      </w:r>
    </w:p>
    <w:p w14:paraId="7F616753" w14:textId="77777777" w:rsidR="00F644B8" w:rsidRDefault="00F644B8"/>
  </w:endnote>
  <w:endnote w:type="continuationSeparator" w:id="0">
    <w:p w14:paraId="007CD83A" w14:textId="77777777" w:rsidR="00F644B8" w:rsidRDefault="00F644B8" w:rsidP="0080531E">
      <w:pPr>
        <w:spacing w:before="0" w:after="0" w:line="240" w:lineRule="auto"/>
      </w:pPr>
      <w:r>
        <w:continuationSeparator/>
      </w:r>
    </w:p>
    <w:p w14:paraId="507FC697" w14:textId="77777777" w:rsidR="00F644B8" w:rsidRDefault="00F644B8"/>
  </w:endnote>
  <w:endnote w:type="continuationNotice" w:id="1">
    <w:p w14:paraId="01E8EC4D" w14:textId="77777777" w:rsidR="00F644B8" w:rsidRDefault="00F644B8">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Mincho">
    <w:altName w:val="MS Mincho"/>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A02BFF" w14:textId="77777777" w:rsidR="00E5210B" w:rsidRDefault="00E5210B" w:rsidP="00E65427">
    <w:pPr>
      <w:spacing w:before="240" w:after="0" w:line="240"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0FC54B" w14:textId="77777777" w:rsidR="005A115E" w:rsidRDefault="005A115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A5D479" w14:textId="77777777" w:rsidR="005A115E" w:rsidRDefault="005A115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952703" w14:textId="60996D91" w:rsidR="00E453AB" w:rsidRDefault="00E5210B" w:rsidP="00CD25E1">
    <w:pPr>
      <w:pStyle w:val="Footereven"/>
    </w:pPr>
    <w:r w:rsidRPr="004F458A">
      <w:rPr>
        <w:b/>
      </w:rPr>
      <w:fldChar w:fldCharType="begin"/>
    </w:r>
    <w:r w:rsidRPr="004F458A">
      <w:instrText xml:space="preserve"> PAGE </w:instrText>
    </w:r>
    <w:r w:rsidRPr="004F458A">
      <w:rPr>
        <w:b/>
      </w:rPr>
      <w:fldChar w:fldCharType="separate"/>
    </w:r>
    <w:r w:rsidR="005D3242">
      <w:rPr>
        <w:noProof/>
      </w:rPr>
      <w:t>8</w:t>
    </w:r>
    <w:r w:rsidRPr="004F458A">
      <w:rPr>
        <w:b/>
      </w:rPr>
      <w:fldChar w:fldCharType="end"/>
    </w:r>
    <w:r>
      <w:tab/>
    </w:r>
    <w:r w:rsidR="00CB6D89" w:rsidRPr="00CB6D89">
      <w:t>Improving our understanding of the effects of water use on river flows</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2E79EC" w14:textId="0FAC06A5" w:rsidR="00E453AB" w:rsidRDefault="00E5210B" w:rsidP="00CD25E1">
    <w:pPr>
      <w:pStyle w:val="Footerodd"/>
    </w:pPr>
    <w:r>
      <w:tab/>
    </w:r>
    <w:r w:rsidR="00CB6D89" w:rsidRPr="00CB6D89">
      <w:t>Improving our understanding of the effects of water use on river flows</w:t>
    </w:r>
    <w:r>
      <w:tab/>
    </w:r>
    <w:r w:rsidR="008540A6">
      <w:fldChar w:fldCharType="begin"/>
    </w:r>
    <w:r w:rsidR="008540A6">
      <w:instrText xml:space="preserve"> PAGE   \* MERGEFORMAT </w:instrText>
    </w:r>
    <w:r w:rsidR="008540A6">
      <w:fldChar w:fldCharType="separate"/>
    </w:r>
    <w:r w:rsidR="005D3242">
      <w:rPr>
        <w:noProof/>
      </w:rPr>
      <w:t>7</w:t>
    </w:r>
    <w:r w:rsidR="008540A6">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9C26E1" w14:textId="77777777" w:rsidR="00F644B8" w:rsidRDefault="00F644B8" w:rsidP="00CB5C5F">
      <w:pPr>
        <w:spacing w:before="0" w:after="80" w:line="240" w:lineRule="auto"/>
      </w:pPr>
      <w:r>
        <w:separator/>
      </w:r>
    </w:p>
  </w:footnote>
  <w:footnote w:type="continuationSeparator" w:id="0">
    <w:p w14:paraId="62D02229" w14:textId="77777777" w:rsidR="00F644B8" w:rsidRDefault="00F644B8" w:rsidP="0080531E">
      <w:pPr>
        <w:spacing w:before="0" w:after="0" w:line="240" w:lineRule="auto"/>
      </w:pPr>
      <w:r>
        <w:continuationSeparator/>
      </w:r>
    </w:p>
    <w:p w14:paraId="65BB6FBC" w14:textId="77777777" w:rsidR="00F644B8" w:rsidRDefault="00F644B8"/>
  </w:footnote>
  <w:footnote w:type="continuationNotice" w:id="1">
    <w:p w14:paraId="252500EB" w14:textId="77777777" w:rsidR="00F644B8" w:rsidRDefault="00F644B8">
      <w:pPr>
        <w:spacing w:before="0" w:after="0" w:line="240" w:lineRule="auto"/>
      </w:pPr>
    </w:p>
  </w:footnote>
  <w:footnote w:id="2">
    <w:p w14:paraId="29690C3E" w14:textId="2DEBEDC2" w:rsidR="006C4B2E" w:rsidRDefault="006C4B2E" w:rsidP="006C4B2E">
      <w:pPr>
        <w:pStyle w:val="FootnoteText"/>
      </w:pPr>
      <w:r>
        <w:rPr>
          <w:rStyle w:val="FootnoteReference"/>
        </w:rPr>
        <w:footnoteRef/>
      </w:r>
      <w:r>
        <w:t xml:space="preserve"> </w:t>
      </w:r>
      <w:r w:rsidR="00E55C72">
        <w:tab/>
      </w:r>
      <w:r>
        <w:t>Consumptive hydroelectricity generation describes hydro schemes that remove water from a river system without later returning it to the same river system (for example, diversion schemes that remove flow from a river catchment and discharge it into another river catchment).</w:t>
      </w:r>
    </w:p>
  </w:footnote>
  <w:footnote w:id="3">
    <w:p w14:paraId="3E076B75" w14:textId="200E6D21" w:rsidR="006C4B2E" w:rsidRDefault="006C4B2E" w:rsidP="006C4B2E">
      <w:pPr>
        <w:pStyle w:val="FootnoteText"/>
      </w:pPr>
      <w:r>
        <w:rPr>
          <w:rStyle w:val="FootnoteReference"/>
        </w:rPr>
        <w:footnoteRef/>
      </w:r>
      <w:r>
        <w:t xml:space="preserve"> </w:t>
      </w:r>
      <w:r w:rsidR="00E55C72">
        <w:tab/>
      </w:r>
      <w:r>
        <w:t>Best available estimates of median streamflow in the absence of major abstractions (Booker &amp; Woods, 2014)</w:t>
      </w:r>
      <w:r w:rsidR="00E55C72">
        <w:t>.</w:t>
      </w:r>
    </w:p>
  </w:footnote>
  <w:footnote w:id="4">
    <w:p w14:paraId="038DD9D2" w14:textId="1440B6CB" w:rsidR="002855FE" w:rsidRDefault="002855FE" w:rsidP="002855FE">
      <w:pPr>
        <w:pStyle w:val="FootnoteText"/>
      </w:pPr>
      <w:r>
        <w:rPr>
          <w:rStyle w:val="FootnoteReference"/>
        </w:rPr>
        <w:footnoteRef/>
      </w:r>
      <w:r>
        <w:t xml:space="preserve"> </w:t>
      </w:r>
      <w:r w:rsidR="00BB23FF">
        <w:tab/>
      </w:r>
      <w:r>
        <w:t xml:space="preserve">Hydro diversion occurs on the Moawhango River, which is a tributary of the </w:t>
      </w:r>
      <w:r w:rsidR="00641FEB">
        <w:t xml:space="preserve">upper </w:t>
      </w:r>
      <w:r>
        <w:t>Rangit</w:t>
      </w:r>
      <w:r w:rsidRPr="006A597E">
        <w:t>ī</w:t>
      </w:r>
      <w:r>
        <w:t>kei River.</w:t>
      </w:r>
    </w:p>
  </w:footnote>
  <w:footnote w:id="5">
    <w:p w14:paraId="73EA08EE" w14:textId="5D47B74D" w:rsidR="002855FE" w:rsidRDefault="002855FE" w:rsidP="002855FE">
      <w:pPr>
        <w:pStyle w:val="FootnoteText"/>
      </w:pPr>
      <w:r>
        <w:rPr>
          <w:rStyle w:val="FootnoteReference"/>
        </w:rPr>
        <w:footnoteRef/>
      </w:r>
      <w:r>
        <w:t xml:space="preserve"> </w:t>
      </w:r>
      <w:r w:rsidR="00BB23FF">
        <w:tab/>
      </w:r>
      <w:r>
        <w:t>Based on approximated diversion rate of 29 cubic metres per second (m</w:t>
      </w:r>
      <w:r w:rsidRPr="000601B7">
        <w:rPr>
          <w:vertAlign w:val="superscript"/>
        </w:rPr>
        <w:t>3</w:t>
      </w:r>
      <w:r>
        <w:t>/sec) (Horizons Regional Council, 2019)</w:t>
      </w:r>
      <w:r w:rsidR="00BB23FF">
        <w:t>.</w:t>
      </w:r>
    </w:p>
  </w:footnote>
  <w:footnote w:id="6">
    <w:p w14:paraId="74A80ADC" w14:textId="44EA3177" w:rsidR="005669EA" w:rsidRDefault="005669EA" w:rsidP="005669EA">
      <w:pPr>
        <w:pStyle w:val="FootnoteText"/>
      </w:pPr>
      <w:r>
        <w:rPr>
          <w:rStyle w:val="FootnoteReference"/>
        </w:rPr>
        <w:footnoteRef/>
      </w:r>
      <w:r>
        <w:t xml:space="preserve"> </w:t>
      </w:r>
      <w:r>
        <w:tab/>
        <w:t>Based on approximated diversion rate of 29 cubic metres per second (m</w:t>
      </w:r>
      <w:r w:rsidRPr="000601B7">
        <w:rPr>
          <w:vertAlign w:val="superscript"/>
        </w:rPr>
        <w:t>3</w:t>
      </w:r>
      <w:r>
        <w:t>/sec) (Horizons Regional Council, 2019).</w:t>
      </w:r>
    </w:p>
  </w:footnote>
  <w:footnote w:id="7">
    <w:p w14:paraId="4E1E1370" w14:textId="2DAE8F11" w:rsidR="00C77D4B" w:rsidRDefault="00C77D4B" w:rsidP="00C77D4B">
      <w:pPr>
        <w:pStyle w:val="FootnoteText"/>
      </w:pPr>
      <w:r>
        <w:rPr>
          <w:rStyle w:val="FootnoteReference"/>
        </w:rPr>
        <w:footnoteRef/>
      </w:r>
      <w:r>
        <w:t xml:space="preserve"> </w:t>
      </w:r>
      <w:r>
        <w:tab/>
        <w:t>Figure excludes the catchment areas upstream of the gauging sites on the Huangarua River and the Otakura and Parkvale Streams.</w:t>
      </w:r>
    </w:p>
  </w:footnote>
  <w:footnote w:id="8">
    <w:p w14:paraId="72DC973C" w14:textId="2792FE51" w:rsidR="00C77D4B" w:rsidRDefault="00C77D4B" w:rsidP="00C77D4B">
      <w:pPr>
        <w:pStyle w:val="FootnoteText"/>
      </w:pPr>
      <w:r>
        <w:rPr>
          <w:rStyle w:val="FootnoteReference"/>
        </w:rPr>
        <w:footnoteRef/>
      </w:r>
      <w:r>
        <w:tab/>
        <w:t>Figure excludes the catchment area upstream of the uppermost gauging site on the Manawatū River.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5E874D" w14:textId="77777777" w:rsidR="005A115E" w:rsidRDefault="005A115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D5F10" w14:textId="77777777" w:rsidR="005A115E" w:rsidRDefault="005A115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D910F8" w14:textId="77777777" w:rsidR="005A115E" w:rsidRDefault="005A115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5286D"/>
    <w:multiLevelType w:val="hybridMultilevel"/>
    <w:tmpl w:val="2A1AAA1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 w15:restartNumberingAfterBreak="0">
    <w:nsid w:val="00F43E72"/>
    <w:multiLevelType w:val="hybridMultilevel"/>
    <w:tmpl w:val="C2107B1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15:restartNumberingAfterBreak="0">
    <w:nsid w:val="06907348"/>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0AA937C0"/>
    <w:multiLevelType w:val="hybridMultilevel"/>
    <w:tmpl w:val="6B0C318C"/>
    <w:lvl w:ilvl="0" w:tplc="1409000F">
      <w:start w:val="1"/>
      <w:numFmt w:val="decimal"/>
      <w:lvlText w:val="%1."/>
      <w:lvlJc w:val="left"/>
      <w:pPr>
        <w:ind w:left="720" w:hanging="360"/>
      </w:pPr>
    </w:lvl>
    <w:lvl w:ilvl="1" w:tplc="32CAB862">
      <w:start w:val="1"/>
      <w:numFmt w:val="lowerLetter"/>
      <w:pStyle w:val="Boxa"/>
      <w:lvlText w:val="%2."/>
      <w:lvlJc w:val="left"/>
      <w:pPr>
        <w:ind w:left="1440" w:hanging="360"/>
      </w:pPr>
    </w:lvl>
    <w:lvl w:ilvl="2" w:tplc="1409001B">
      <w:start w:val="1"/>
      <w:numFmt w:val="decimal"/>
      <w:lvlText w:val="%3."/>
      <w:lvlJc w:val="left"/>
      <w:pPr>
        <w:tabs>
          <w:tab w:val="num" w:pos="2160"/>
        </w:tabs>
        <w:ind w:left="2160" w:hanging="360"/>
      </w:pPr>
    </w:lvl>
    <w:lvl w:ilvl="3" w:tplc="1409000F">
      <w:start w:val="1"/>
      <w:numFmt w:val="decimal"/>
      <w:lvlText w:val="%4."/>
      <w:lvlJc w:val="left"/>
      <w:pPr>
        <w:tabs>
          <w:tab w:val="num" w:pos="2880"/>
        </w:tabs>
        <w:ind w:left="2880" w:hanging="360"/>
      </w:pPr>
    </w:lvl>
    <w:lvl w:ilvl="4" w:tplc="14090019">
      <w:start w:val="1"/>
      <w:numFmt w:val="decimal"/>
      <w:lvlText w:val="%5."/>
      <w:lvlJc w:val="left"/>
      <w:pPr>
        <w:tabs>
          <w:tab w:val="num" w:pos="3600"/>
        </w:tabs>
        <w:ind w:left="3600" w:hanging="360"/>
      </w:pPr>
    </w:lvl>
    <w:lvl w:ilvl="5" w:tplc="1409001B">
      <w:start w:val="1"/>
      <w:numFmt w:val="decimal"/>
      <w:lvlText w:val="%6."/>
      <w:lvlJc w:val="left"/>
      <w:pPr>
        <w:tabs>
          <w:tab w:val="num" w:pos="4320"/>
        </w:tabs>
        <w:ind w:left="4320" w:hanging="360"/>
      </w:pPr>
    </w:lvl>
    <w:lvl w:ilvl="6" w:tplc="1409000F">
      <w:start w:val="1"/>
      <w:numFmt w:val="decimal"/>
      <w:lvlText w:val="%7."/>
      <w:lvlJc w:val="left"/>
      <w:pPr>
        <w:tabs>
          <w:tab w:val="num" w:pos="5040"/>
        </w:tabs>
        <w:ind w:left="5040" w:hanging="360"/>
      </w:pPr>
    </w:lvl>
    <w:lvl w:ilvl="7" w:tplc="14090019">
      <w:start w:val="1"/>
      <w:numFmt w:val="decimal"/>
      <w:lvlText w:val="%8."/>
      <w:lvlJc w:val="left"/>
      <w:pPr>
        <w:tabs>
          <w:tab w:val="num" w:pos="5760"/>
        </w:tabs>
        <w:ind w:left="5760" w:hanging="360"/>
      </w:pPr>
    </w:lvl>
    <w:lvl w:ilvl="8" w:tplc="1409001B">
      <w:start w:val="1"/>
      <w:numFmt w:val="decimal"/>
      <w:lvlText w:val="%9."/>
      <w:lvlJc w:val="left"/>
      <w:pPr>
        <w:tabs>
          <w:tab w:val="num" w:pos="6480"/>
        </w:tabs>
        <w:ind w:left="6480" w:hanging="360"/>
      </w:pPr>
    </w:lvl>
  </w:abstractNum>
  <w:abstractNum w:abstractNumId="4" w15:restartNumberingAfterBreak="0">
    <w:nsid w:val="0B0F5F0E"/>
    <w:multiLevelType w:val="multilevel"/>
    <w:tmpl w:val="6D4C952A"/>
    <w:lvl w:ilvl="0">
      <w:start w:val="1"/>
      <w:numFmt w:val="bullet"/>
      <w:pStyle w:val="Greenbullet-casestudytables"/>
      <w:lvlText w:val=""/>
      <w:lvlJc w:val="left"/>
      <w:pPr>
        <w:ind w:left="680" w:hanging="396"/>
      </w:pPr>
      <w:rPr>
        <w:rFonts w:ascii="Symbol" w:hAnsi="Symbol" w:hint="default"/>
        <w:color w:val="0F7B7D"/>
        <w:sz w:val="20"/>
        <w:szCs w:val="20"/>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5" w15:restartNumberingAfterBreak="0">
    <w:nsid w:val="0FE45643"/>
    <w:multiLevelType w:val="hybridMultilevel"/>
    <w:tmpl w:val="1BC806DA"/>
    <w:lvl w:ilvl="0" w:tplc="14090011">
      <w:start w:val="1"/>
      <w:numFmt w:val="decimal"/>
      <w:lvlText w:val="%1)"/>
      <w:lvlJc w:val="left"/>
      <w:pPr>
        <w:ind w:left="720" w:hanging="360"/>
      </w:pPr>
      <w:rPr>
        <w:rFonts w:hint="default"/>
      </w:rPr>
    </w:lvl>
    <w:lvl w:ilvl="1" w:tplc="14090019">
      <w:start w:val="1"/>
      <w:numFmt w:val="lowerLetter"/>
      <w:lvlText w:val="%2."/>
      <w:lvlJc w:val="left"/>
      <w:pPr>
        <w:ind w:left="1440" w:hanging="360"/>
      </w:pPr>
    </w:lvl>
    <w:lvl w:ilvl="2" w:tplc="1409001B">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 w15:restartNumberingAfterBreak="0">
    <w:nsid w:val="11757409"/>
    <w:multiLevelType w:val="hybridMultilevel"/>
    <w:tmpl w:val="9296EFD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 w15:restartNumberingAfterBreak="0">
    <w:nsid w:val="1CC2683A"/>
    <w:multiLevelType w:val="singleLevel"/>
    <w:tmpl w:val="14090001"/>
    <w:lvl w:ilvl="0">
      <w:start w:val="1"/>
      <w:numFmt w:val="bullet"/>
      <w:lvlText w:val=""/>
      <w:lvlJc w:val="left"/>
      <w:pPr>
        <w:tabs>
          <w:tab w:val="num" w:pos="397"/>
        </w:tabs>
        <w:ind w:left="0" w:firstLine="0"/>
      </w:pPr>
      <w:rPr>
        <w:rFonts w:ascii="Symbol" w:hAnsi="Symbol" w:hint="default"/>
      </w:rPr>
    </w:lvl>
  </w:abstractNum>
  <w:abstractNum w:abstractNumId="8" w15:restartNumberingAfterBreak="0">
    <w:nsid w:val="20115441"/>
    <w:multiLevelType w:val="multilevel"/>
    <w:tmpl w:val="45DECC76"/>
    <w:lvl w:ilvl="0">
      <w:start w:val="1"/>
      <w:numFmt w:val="decimal"/>
      <w:lvlText w:val="%1."/>
      <w:lvlJc w:val="left"/>
      <w:pPr>
        <w:ind w:left="0" w:firstLine="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9" w15:restartNumberingAfterBreak="0">
    <w:nsid w:val="204F1D2E"/>
    <w:multiLevelType w:val="multilevel"/>
    <w:tmpl w:val="7CB0E0AA"/>
    <w:lvl w:ilvl="0">
      <w:start w:val="1"/>
      <w:numFmt w:val="bullet"/>
      <w:pStyle w:val="Boxsub-bullet"/>
      <w:lvlText w:val="‒"/>
      <w:lvlJc w:val="left"/>
      <w:pPr>
        <w:ind w:left="1077" w:hanging="397"/>
      </w:p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10" w15:restartNumberingAfterBreak="0">
    <w:nsid w:val="208C5CF5"/>
    <w:multiLevelType w:val="hybridMultilevel"/>
    <w:tmpl w:val="ACAA7994"/>
    <w:lvl w:ilvl="0" w:tplc="FBE648D6">
      <w:start w:val="1"/>
      <w:numFmt w:val="lowerLetter"/>
      <w:pStyle w:val="Sub-lista"/>
      <w:lvlText w:val="%1)"/>
      <w:lvlJc w:val="left"/>
      <w:pPr>
        <w:ind w:left="757" w:hanging="360"/>
      </w:pPr>
      <w:rPr>
        <w:rFonts w:ascii="Calibri" w:hAnsi="Calibri" w:hint="default"/>
        <w:b w:val="0"/>
        <w:i w:val="0"/>
        <w:sz w:val="22"/>
        <w:szCs w:val="22"/>
      </w:rPr>
    </w:lvl>
    <w:lvl w:ilvl="1" w:tplc="14090019" w:tentative="1">
      <w:start w:val="1"/>
      <w:numFmt w:val="lowerLetter"/>
      <w:lvlText w:val="%2."/>
      <w:lvlJc w:val="left"/>
      <w:pPr>
        <w:tabs>
          <w:tab w:val="num" w:pos="1440"/>
        </w:tabs>
        <w:ind w:left="1440" w:hanging="360"/>
      </w:pPr>
    </w:lvl>
    <w:lvl w:ilvl="2" w:tplc="1409001B" w:tentative="1">
      <w:start w:val="1"/>
      <w:numFmt w:val="lowerRoman"/>
      <w:lvlText w:val="%3."/>
      <w:lvlJc w:val="right"/>
      <w:pPr>
        <w:tabs>
          <w:tab w:val="num" w:pos="2160"/>
        </w:tabs>
        <w:ind w:left="2160" w:hanging="180"/>
      </w:pPr>
    </w:lvl>
    <w:lvl w:ilvl="3" w:tplc="1409000F" w:tentative="1">
      <w:start w:val="1"/>
      <w:numFmt w:val="decimal"/>
      <w:lvlText w:val="%4."/>
      <w:lvlJc w:val="left"/>
      <w:pPr>
        <w:tabs>
          <w:tab w:val="num" w:pos="2880"/>
        </w:tabs>
        <w:ind w:left="2880" w:hanging="360"/>
      </w:pPr>
    </w:lvl>
    <w:lvl w:ilvl="4" w:tplc="14090019" w:tentative="1">
      <w:start w:val="1"/>
      <w:numFmt w:val="lowerLetter"/>
      <w:lvlText w:val="%5."/>
      <w:lvlJc w:val="left"/>
      <w:pPr>
        <w:tabs>
          <w:tab w:val="num" w:pos="3600"/>
        </w:tabs>
        <w:ind w:left="3600" w:hanging="360"/>
      </w:pPr>
    </w:lvl>
    <w:lvl w:ilvl="5" w:tplc="1409001B" w:tentative="1">
      <w:start w:val="1"/>
      <w:numFmt w:val="lowerRoman"/>
      <w:lvlText w:val="%6."/>
      <w:lvlJc w:val="right"/>
      <w:pPr>
        <w:tabs>
          <w:tab w:val="num" w:pos="4320"/>
        </w:tabs>
        <w:ind w:left="4320" w:hanging="180"/>
      </w:pPr>
    </w:lvl>
    <w:lvl w:ilvl="6" w:tplc="1409000F" w:tentative="1">
      <w:start w:val="1"/>
      <w:numFmt w:val="decimal"/>
      <w:lvlText w:val="%7."/>
      <w:lvlJc w:val="left"/>
      <w:pPr>
        <w:tabs>
          <w:tab w:val="num" w:pos="5040"/>
        </w:tabs>
        <w:ind w:left="5040" w:hanging="360"/>
      </w:pPr>
    </w:lvl>
    <w:lvl w:ilvl="7" w:tplc="14090019" w:tentative="1">
      <w:start w:val="1"/>
      <w:numFmt w:val="lowerLetter"/>
      <w:lvlText w:val="%8."/>
      <w:lvlJc w:val="left"/>
      <w:pPr>
        <w:tabs>
          <w:tab w:val="num" w:pos="5760"/>
        </w:tabs>
        <w:ind w:left="5760" w:hanging="360"/>
      </w:pPr>
    </w:lvl>
    <w:lvl w:ilvl="8" w:tplc="1409001B" w:tentative="1">
      <w:start w:val="1"/>
      <w:numFmt w:val="lowerRoman"/>
      <w:lvlText w:val="%9."/>
      <w:lvlJc w:val="right"/>
      <w:pPr>
        <w:tabs>
          <w:tab w:val="num" w:pos="6480"/>
        </w:tabs>
        <w:ind w:left="6480" w:hanging="180"/>
      </w:pPr>
    </w:lvl>
  </w:abstractNum>
  <w:abstractNum w:abstractNumId="11" w15:restartNumberingAfterBreak="0">
    <w:nsid w:val="26B41433"/>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26DA454E"/>
    <w:multiLevelType w:val="multilevel"/>
    <w:tmpl w:val="8F2AD7BA"/>
    <w:styleLink w:val="Style3"/>
    <w:lvl w:ilvl="0">
      <w:start w:val="1"/>
      <w:numFmt w:val="bullet"/>
      <w:lvlText w:val=""/>
      <w:lvlJc w:val="left"/>
      <w:pPr>
        <w:tabs>
          <w:tab w:val="num" w:pos="56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27FD4B90"/>
    <w:multiLevelType w:val="hybridMultilevel"/>
    <w:tmpl w:val="E1563FA6"/>
    <w:lvl w:ilvl="0" w:tplc="1409000F">
      <w:start w:val="1"/>
      <w:numFmt w:val="decimal"/>
      <w:lvlText w:val="%1."/>
      <w:lvlJc w:val="left"/>
      <w:pPr>
        <w:ind w:left="360" w:hanging="360"/>
      </w:pPr>
    </w:lvl>
    <w:lvl w:ilvl="1" w:tplc="14090019">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14" w15:restartNumberingAfterBreak="0">
    <w:nsid w:val="29E02047"/>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2CD7703E"/>
    <w:multiLevelType w:val="multilevel"/>
    <w:tmpl w:val="DCDEB9D0"/>
    <w:styleLink w:val="Style1"/>
    <w:lvl w:ilvl="0">
      <w:start w:val="1"/>
      <w:numFmt w:val="bullet"/>
      <w:lvlText w:val=""/>
      <w:lvlJc w:val="left"/>
      <w:pPr>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2D1A6BE2"/>
    <w:multiLevelType w:val="multilevel"/>
    <w:tmpl w:val="20FCAAE4"/>
    <w:lvl w:ilvl="0">
      <w:start w:val="1"/>
      <w:numFmt w:val="decimal"/>
      <w:pStyle w:val="Numberedparagraph"/>
      <w:lvlText w:val="%1."/>
      <w:lvlJc w:val="left"/>
      <w:pPr>
        <w:ind w:left="397" w:hanging="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17" w15:restartNumberingAfterBreak="0">
    <w:nsid w:val="2E6F201E"/>
    <w:multiLevelType w:val="multilevel"/>
    <w:tmpl w:val="C7440BB4"/>
    <w:numStyleLink w:val="Style2"/>
  </w:abstractNum>
  <w:abstractNum w:abstractNumId="18" w15:restartNumberingAfterBreak="0">
    <w:nsid w:val="32C14B48"/>
    <w:multiLevelType w:val="multilevel"/>
    <w:tmpl w:val="4C18AA5C"/>
    <w:lvl w:ilvl="0">
      <w:start w:val="1"/>
      <w:numFmt w:val="decimal"/>
      <w:lvlRestart w:val="0"/>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3130"/>
        </w:tabs>
        <w:ind w:left="3130" w:hanging="862"/>
      </w:pPr>
      <w:rPr>
        <w:rFonts w:hint="default"/>
      </w:rPr>
    </w:lvl>
    <w:lvl w:ilvl="4">
      <w:start w:val="1"/>
      <w:numFmt w:val="decimal"/>
      <w:lvlText w:val="%1.%2.%3.%4.%5"/>
      <w:lvlJc w:val="left"/>
      <w:pPr>
        <w:tabs>
          <w:tab w:val="num" w:pos="3277"/>
        </w:tabs>
        <w:ind w:left="3277" w:hanging="1009"/>
      </w:pPr>
      <w:rPr>
        <w:rFonts w:hint="default"/>
      </w:rPr>
    </w:lvl>
    <w:lvl w:ilvl="5">
      <w:start w:val="1"/>
      <w:numFmt w:val="decimal"/>
      <w:pStyle w:val="Heading6"/>
      <w:lvlText w:val="%1.%2.%3.%4.%5.%6"/>
      <w:lvlJc w:val="left"/>
      <w:pPr>
        <w:tabs>
          <w:tab w:val="num" w:pos="3419"/>
        </w:tabs>
        <w:ind w:left="3419" w:hanging="1151"/>
      </w:pPr>
      <w:rPr>
        <w:rFonts w:hint="default"/>
      </w:rPr>
    </w:lvl>
    <w:lvl w:ilvl="6">
      <w:start w:val="1"/>
      <w:numFmt w:val="decimal"/>
      <w:pStyle w:val="Heading7"/>
      <w:lvlText w:val="%1.%2.%3.%4.%5.%6.%7"/>
      <w:lvlJc w:val="left"/>
      <w:pPr>
        <w:tabs>
          <w:tab w:val="num" w:pos="3566"/>
        </w:tabs>
        <w:ind w:left="3566" w:hanging="1298"/>
      </w:pPr>
      <w:rPr>
        <w:rFonts w:hint="default"/>
      </w:rPr>
    </w:lvl>
    <w:lvl w:ilvl="7">
      <w:start w:val="1"/>
      <w:numFmt w:val="decimal"/>
      <w:pStyle w:val="Heading8"/>
      <w:lvlText w:val="%1.%2.%3.%4.%5.%6.%7.%8"/>
      <w:lvlJc w:val="left"/>
      <w:pPr>
        <w:tabs>
          <w:tab w:val="num" w:pos="3708"/>
        </w:tabs>
        <w:ind w:left="3708" w:hanging="1440"/>
      </w:pPr>
      <w:rPr>
        <w:rFonts w:hint="default"/>
      </w:rPr>
    </w:lvl>
    <w:lvl w:ilvl="8">
      <w:start w:val="1"/>
      <w:numFmt w:val="decimal"/>
      <w:pStyle w:val="Heading9"/>
      <w:lvlText w:val="%1.%2.%3.%4.%5.%6.%7.%8.%9"/>
      <w:lvlJc w:val="left"/>
      <w:pPr>
        <w:tabs>
          <w:tab w:val="num" w:pos="3850"/>
        </w:tabs>
        <w:ind w:left="3850" w:hanging="1582"/>
      </w:pPr>
      <w:rPr>
        <w:rFonts w:hint="default"/>
      </w:rPr>
    </w:lvl>
  </w:abstractNum>
  <w:abstractNum w:abstractNumId="19" w15:restartNumberingAfterBreak="0">
    <w:nsid w:val="34B129E4"/>
    <w:multiLevelType w:val="multilevel"/>
    <w:tmpl w:val="14090001"/>
    <w:lvl w:ilvl="0">
      <w:start w:val="1"/>
      <w:numFmt w:val="bullet"/>
      <w:lvlText w:val=""/>
      <w:lvlJc w:val="left"/>
      <w:pPr>
        <w:tabs>
          <w:tab w:val="num" w:pos="397"/>
        </w:tabs>
        <w:ind w:left="0" w:firstLine="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395B04BD"/>
    <w:multiLevelType w:val="multilevel"/>
    <w:tmpl w:val="DB22692C"/>
    <w:lvl w:ilvl="0">
      <w:start w:val="1"/>
      <w:numFmt w:val="bullet"/>
      <w:lvlText w:val=""/>
      <w:lvlJc w:val="left"/>
      <w:pPr>
        <w:tabs>
          <w:tab w:val="num" w:pos="56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3C857CC9"/>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3D465A16"/>
    <w:multiLevelType w:val="multilevel"/>
    <w:tmpl w:val="EA8CA7B0"/>
    <w:lvl w:ilvl="0">
      <w:start w:val="1"/>
      <w:numFmt w:val="bullet"/>
      <w:pStyle w:val="Bullet"/>
      <w:lvlText w:val=""/>
      <w:lvlJc w:val="left"/>
      <w:pPr>
        <w:tabs>
          <w:tab w:val="num" w:pos="39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427701FB"/>
    <w:multiLevelType w:val="hybridMultilevel"/>
    <w:tmpl w:val="0BA89340"/>
    <w:lvl w:ilvl="0" w:tplc="C04A679E">
      <w:start w:val="1"/>
      <w:numFmt w:val="bullet"/>
      <w:pStyle w:val="Sub-list"/>
      <w:lvlText w:val=""/>
      <w:lvlJc w:val="left"/>
      <w:pPr>
        <w:tabs>
          <w:tab w:val="num" w:pos="397"/>
        </w:tabs>
        <w:ind w:left="397" w:firstLine="0"/>
      </w:pPr>
      <w:rPr>
        <w:rFonts w:ascii="Symbol" w:hAnsi="Symbol" w:hint="default"/>
      </w:rPr>
    </w:lvl>
    <w:lvl w:ilvl="1" w:tplc="14090003">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32C3D35"/>
    <w:multiLevelType w:val="hybridMultilevel"/>
    <w:tmpl w:val="93E6894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5" w15:restartNumberingAfterBreak="0">
    <w:nsid w:val="43914A79"/>
    <w:multiLevelType w:val="hybridMultilevel"/>
    <w:tmpl w:val="A890466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6" w15:restartNumberingAfterBreak="0">
    <w:nsid w:val="440B17DC"/>
    <w:multiLevelType w:val="hybridMultilevel"/>
    <w:tmpl w:val="7B165F02"/>
    <w:lvl w:ilvl="0" w:tplc="37E6EBC0">
      <w:start w:val="1"/>
      <w:numFmt w:val="bullet"/>
      <w:pStyle w:val="TableBullet"/>
      <w:lvlText w:val=""/>
      <w:lvlJc w:val="left"/>
      <w:pPr>
        <w:tabs>
          <w:tab w:val="num" w:pos="284"/>
        </w:tabs>
        <w:ind w:left="284" w:hanging="284"/>
      </w:pPr>
      <w:rPr>
        <w:rFonts w:ascii="Symbol" w:hAnsi="Symbol" w:hint="default"/>
        <w:sz w:val="16"/>
        <w:szCs w:val="16"/>
      </w:rPr>
    </w:lvl>
    <w:lvl w:ilvl="1" w:tplc="14090003">
      <w:numFmt w:val="bullet"/>
      <w:lvlText w:val="-"/>
      <w:lvlJc w:val="left"/>
      <w:pPr>
        <w:ind w:left="1440" w:hanging="360"/>
      </w:pPr>
      <w:rPr>
        <w:rFonts w:ascii="Calibri" w:eastAsiaTheme="minorEastAsia" w:hAnsi="Calibri" w:cstheme="minorBidi"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4786C32"/>
    <w:multiLevelType w:val="multilevel"/>
    <w:tmpl w:val="6A72FDE8"/>
    <w:lvl w:ilvl="0">
      <w:start w:val="1"/>
      <w:numFmt w:val="decimal"/>
      <w:lvlText w:val="%1."/>
      <w:lvlJc w:val="left"/>
      <w:pPr>
        <w:tabs>
          <w:tab w:val="num" w:pos="397"/>
        </w:tabs>
        <w:ind w:left="397" w:hanging="397"/>
      </w:pPr>
      <w:rPr>
        <w:rFonts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463D6104"/>
    <w:multiLevelType w:val="hybridMultilevel"/>
    <w:tmpl w:val="291EE830"/>
    <w:lvl w:ilvl="0" w:tplc="3A426DC2">
      <w:start w:val="1"/>
      <w:numFmt w:val="lowerRoman"/>
      <w:pStyle w:val="Sub-listi"/>
      <w:lvlText w:val="%1."/>
      <w:lvlJc w:val="left"/>
      <w:pPr>
        <w:tabs>
          <w:tab w:val="num" w:pos="794"/>
        </w:tabs>
        <w:ind w:left="794" w:hanging="397"/>
      </w:pPr>
      <w:rPr>
        <w:rFonts w:ascii="Times New Roman" w:hAnsi="Times New Roman" w:cs="Arial" w:hint="default"/>
        <w:b w:val="0"/>
        <w:i w:val="0"/>
        <w:sz w:val="22"/>
        <w:szCs w:val="22"/>
      </w:rPr>
    </w:lvl>
    <w:lvl w:ilvl="1" w:tplc="14090019" w:tentative="1">
      <w:start w:val="1"/>
      <w:numFmt w:val="lowerLetter"/>
      <w:lvlText w:val="%2."/>
      <w:lvlJc w:val="left"/>
      <w:pPr>
        <w:tabs>
          <w:tab w:val="num" w:pos="1043"/>
        </w:tabs>
        <w:ind w:left="1043" w:hanging="360"/>
      </w:pPr>
    </w:lvl>
    <w:lvl w:ilvl="2" w:tplc="1409001B" w:tentative="1">
      <w:start w:val="1"/>
      <w:numFmt w:val="lowerRoman"/>
      <w:lvlText w:val="%3."/>
      <w:lvlJc w:val="right"/>
      <w:pPr>
        <w:tabs>
          <w:tab w:val="num" w:pos="1763"/>
        </w:tabs>
        <w:ind w:left="1763" w:hanging="180"/>
      </w:pPr>
    </w:lvl>
    <w:lvl w:ilvl="3" w:tplc="1409000F" w:tentative="1">
      <w:start w:val="1"/>
      <w:numFmt w:val="decimal"/>
      <w:lvlText w:val="%4."/>
      <w:lvlJc w:val="left"/>
      <w:pPr>
        <w:tabs>
          <w:tab w:val="num" w:pos="2483"/>
        </w:tabs>
        <w:ind w:left="2483" w:hanging="360"/>
      </w:pPr>
    </w:lvl>
    <w:lvl w:ilvl="4" w:tplc="14090019" w:tentative="1">
      <w:start w:val="1"/>
      <w:numFmt w:val="lowerLetter"/>
      <w:lvlText w:val="%5."/>
      <w:lvlJc w:val="left"/>
      <w:pPr>
        <w:tabs>
          <w:tab w:val="num" w:pos="3203"/>
        </w:tabs>
        <w:ind w:left="3203" w:hanging="360"/>
      </w:pPr>
    </w:lvl>
    <w:lvl w:ilvl="5" w:tplc="1409001B" w:tentative="1">
      <w:start w:val="1"/>
      <w:numFmt w:val="lowerRoman"/>
      <w:lvlText w:val="%6."/>
      <w:lvlJc w:val="right"/>
      <w:pPr>
        <w:tabs>
          <w:tab w:val="num" w:pos="3923"/>
        </w:tabs>
        <w:ind w:left="3923" w:hanging="180"/>
      </w:pPr>
    </w:lvl>
    <w:lvl w:ilvl="6" w:tplc="1409000F" w:tentative="1">
      <w:start w:val="1"/>
      <w:numFmt w:val="decimal"/>
      <w:lvlText w:val="%7."/>
      <w:lvlJc w:val="left"/>
      <w:pPr>
        <w:tabs>
          <w:tab w:val="num" w:pos="4643"/>
        </w:tabs>
        <w:ind w:left="4643" w:hanging="360"/>
      </w:pPr>
    </w:lvl>
    <w:lvl w:ilvl="7" w:tplc="14090019" w:tentative="1">
      <w:start w:val="1"/>
      <w:numFmt w:val="lowerLetter"/>
      <w:lvlText w:val="%8."/>
      <w:lvlJc w:val="left"/>
      <w:pPr>
        <w:tabs>
          <w:tab w:val="num" w:pos="5363"/>
        </w:tabs>
        <w:ind w:left="5363" w:hanging="360"/>
      </w:pPr>
    </w:lvl>
    <w:lvl w:ilvl="8" w:tplc="1409001B" w:tentative="1">
      <w:start w:val="1"/>
      <w:numFmt w:val="lowerRoman"/>
      <w:lvlText w:val="%9."/>
      <w:lvlJc w:val="right"/>
      <w:pPr>
        <w:tabs>
          <w:tab w:val="num" w:pos="6083"/>
        </w:tabs>
        <w:ind w:left="6083" w:hanging="180"/>
      </w:pPr>
    </w:lvl>
  </w:abstractNum>
  <w:abstractNum w:abstractNumId="29" w15:restartNumberingAfterBreak="0">
    <w:nsid w:val="4C2567DC"/>
    <w:multiLevelType w:val="multilevel"/>
    <w:tmpl w:val="6A72FDE8"/>
    <w:lvl w:ilvl="0">
      <w:start w:val="1"/>
      <w:numFmt w:val="decimal"/>
      <w:lvlText w:val="%1."/>
      <w:lvlJc w:val="left"/>
      <w:pPr>
        <w:tabs>
          <w:tab w:val="num" w:pos="397"/>
        </w:tabs>
        <w:ind w:left="397" w:hanging="397"/>
      </w:pPr>
      <w:rPr>
        <w:rFonts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4D643F5D"/>
    <w:multiLevelType w:val="multilevel"/>
    <w:tmpl w:val="14090001"/>
    <w:lvl w:ilvl="0">
      <w:start w:val="1"/>
      <w:numFmt w:val="bullet"/>
      <w:lvlText w:val=""/>
      <w:lvlJc w:val="left"/>
      <w:pPr>
        <w:tabs>
          <w:tab w:val="num" w:pos="397"/>
        </w:tabs>
        <w:ind w:left="0" w:firstLine="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15:restartNumberingAfterBreak="0">
    <w:nsid w:val="53535234"/>
    <w:multiLevelType w:val="singleLevel"/>
    <w:tmpl w:val="DE5AE08C"/>
    <w:lvl w:ilvl="0">
      <w:start w:val="1"/>
      <w:numFmt w:val="bullet"/>
      <w:pStyle w:val="Boxbullet"/>
      <w:lvlText w:val=""/>
      <w:lvlJc w:val="left"/>
      <w:pPr>
        <w:ind w:left="644" w:hanging="360"/>
      </w:pPr>
      <w:rPr>
        <w:rFonts w:ascii="Symbol" w:hAnsi="Symbol" w:hint="default"/>
        <w:color w:val="1B556B"/>
        <w:sz w:val="16"/>
      </w:rPr>
    </w:lvl>
  </w:abstractNum>
  <w:abstractNum w:abstractNumId="32" w15:restartNumberingAfterBreak="0">
    <w:nsid w:val="57A6321C"/>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15:restartNumberingAfterBreak="0">
    <w:nsid w:val="57B9219E"/>
    <w:multiLevelType w:val="hybridMultilevel"/>
    <w:tmpl w:val="DBFAC2B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4" w15:restartNumberingAfterBreak="0">
    <w:nsid w:val="5A3B4A45"/>
    <w:multiLevelType w:val="hybridMultilevel"/>
    <w:tmpl w:val="E4A429C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5" w15:restartNumberingAfterBreak="0">
    <w:nsid w:val="63B60280"/>
    <w:multiLevelType w:val="multilevel"/>
    <w:tmpl w:val="9FFC14DE"/>
    <w:lvl w:ilvl="0">
      <w:start w:val="1"/>
      <w:numFmt w:val="decimal"/>
      <w:lvlText w:val="%1)"/>
      <w:lvlJc w:val="left"/>
      <w:pPr>
        <w:tabs>
          <w:tab w:val="num" w:pos="397"/>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6" w15:restartNumberingAfterBreak="0">
    <w:nsid w:val="678A6316"/>
    <w:multiLevelType w:val="hybridMultilevel"/>
    <w:tmpl w:val="F8BC0826"/>
    <w:lvl w:ilvl="0" w:tplc="2AF4521A">
      <w:start w:val="1"/>
      <w:numFmt w:val="bullet"/>
      <w:lvlText w:val=""/>
      <w:lvlJc w:val="left"/>
      <w:pPr>
        <w:ind w:left="720" w:hanging="360"/>
      </w:pPr>
      <w:rPr>
        <w:rFonts w:ascii="Symbol" w:hAnsi="Symbol" w:hint="default"/>
      </w:rPr>
    </w:lvl>
    <w:lvl w:ilvl="1" w:tplc="326CB890" w:tentative="1">
      <w:start w:val="1"/>
      <w:numFmt w:val="bullet"/>
      <w:lvlText w:val="o"/>
      <w:lvlJc w:val="left"/>
      <w:pPr>
        <w:ind w:left="1440" w:hanging="360"/>
      </w:pPr>
      <w:rPr>
        <w:rFonts w:ascii="Courier New" w:hAnsi="Courier New" w:cs="Courier New" w:hint="default"/>
      </w:rPr>
    </w:lvl>
    <w:lvl w:ilvl="2" w:tplc="03926F58" w:tentative="1">
      <w:start w:val="1"/>
      <w:numFmt w:val="bullet"/>
      <w:lvlText w:val=""/>
      <w:lvlJc w:val="left"/>
      <w:pPr>
        <w:ind w:left="2160" w:hanging="360"/>
      </w:pPr>
      <w:rPr>
        <w:rFonts w:ascii="Wingdings" w:hAnsi="Wingdings" w:hint="default"/>
      </w:rPr>
    </w:lvl>
    <w:lvl w:ilvl="3" w:tplc="F5ECFB66" w:tentative="1">
      <w:start w:val="1"/>
      <w:numFmt w:val="bullet"/>
      <w:lvlText w:val=""/>
      <w:lvlJc w:val="left"/>
      <w:pPr>
        <w:ind w:left="2880" w:hanging="360"/>
      </w:pPr>
      <w:rPr>
        <w:rFonts w:ascii="Symbol" w:hAnsi="Symbol" w:hint="default"/>
      </w:rPr>
    </w:lvl>
    <w:lvl w:ilvl="4" w:tplc="20B07310" w:tentative="1">
      <w:start w:val="1"/>
      <w:numFmt w:val="bullet"/>
      <w:lvlText w:val="o"/>
      <w:lvlJc w:val="left"/>
      <w:pPr>
        <w:ind w:left="3600" w:hanging="360"/>
      </w:pPr>
      <w:rPr>
        <w:rFonts w:ascii="Courier New" w:hAnsi="Courier New" w:cs="Courier New" w:hint="default"/>
      </w:rPr>
    </w:lvl>
    <w:lvl w:ilvl="5" w:tplc="94B42C86" w:tentative="1">
      <w:start w:val="1"/>
      <w:numFmt w:val="bullet"/>
      <w:lvlText w:val=""/>
      <w:lvlJc w:val="left"/>
      <w:pPr>
        <w:ind w:left="4320" w:hanging="360"/>
      </w:pPr>
      <w:rPr>
        <w:rFonts w:ascii="Wingdings" w:hAnsi="Wingdings" w:hint="default"/>
      </w:rPr>
    </w:lvl>
    <w:lvl w:ilvl="6" w:tplc="551A5E58" w:tentative="1">
      <w:start w:val="1"/>
      <w:numFmt w:val="bullet"/>
      <w:lvlText w:val=""/>
      <w:lvlJc w:val="left"/>
      <w:pPr>
        <w:ind w:left="5040" w:hanging="360"/>
      </w:pPr>
      <w:rPr>
        <w:rFonts w:ascii="Symbol" w:hAnsi="Symbol" w:hint="default"/>
      </w:rPr>
    </w:lvl>
    <w:lvl w:ilvl="7" w:tplc="DBBA094A" w:tentative="1">
      <w:start w:val="1"/>
      <w:numFmt w:val="bullet"/>
      <w:lvlText w:val="o"/>
      <w:lvlJc w:val="left"/>
      <w:pPr>
        <w:ind w:left="5760" w:hanging="360"/>
      </w:pPr>
      <w:rPr>
        <w:rFonts w:ascii="Courier New" w:hAnsi="Courier New" w:cs="Courier New" w:hint="default"/>
      </w:rPr>
    </w:lvl>
    <w:lvl w:ilvl="8" w:tplc="A3546D6C" w:tentative="1">
      <w:start w:val="1"/>
      <w:numFmt w:val="bullet"/>
      <w:lvlText w:val=""/>
      <w:lvlJc w:val="left"/>
      <w:pPr>
        <w:ind w:left="6480" w:hanging="360"/>
      </w:pPr>
      <w:rPr>
        <w:rFonts w:ascii="Wingdings" w:hAnsi="Wingdings" w:hint="default"/>
      </w:rPr>
    </w:lvl>
  </w:abstractNum>
  <w:abstractNum w:abstractNumId="37" w15:restartNumberingAfterBreak="0">
    <w:nsid w:val="684850E7"/>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8" w15:restartNumberingAfterBreak="0">
    <w:nsid w:val="6C042717"/>
    <w:multiLevelType w:val="multilevel"/>
    <w:tmpl w:val="DCDEB9D0"/>
    <w:numStyleLink w:val="Style1"/>
  </w:abstractNum>
  <w:abstractNum w:abstractNumId="39" w15:restartNumberingAfterBreak="0">
    <w:nsid w:val="6F393427"/>
    <w:multiLevelType w:val="multilevel"/>
    <w:tmpl w:val="C7440BB4"/>
    <w:styleLink w:val="Style2"/>
    <w:lvl w:ilvl="0">
      <w:start w:val="1"/>
      <w:numFmt w:val="decimal"/>
      <w:lvlText w:val="%1)"/>
      <w:lvlJc w:val="left"/>
      <w:pPr>
        <w:tabs>
          <w:tab w:val="num" w:pos="397"/>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 w15:restartNumberingAfterBreak="0">
    <w:nsid w:val="6FCB13B0"/>
    <w:multiLevelType w:val="hybridMultilevel"/>
    <w:tmpl w:val="46B4C580"/>
    <w:lvl w:ilvl="0" w:tplc="535C6468">
      <w:start w:val="1"/>
      <w:numFmt w:val="bullet"/>
      <w:pStyle w:val="Greensub-bullet-casestudytables"/>
      <w:lvlText w:val="‒"/>
      <w:lvlJc w:val="left"/>
      <w:pPr>
        <w:ind w:left="1004" w:hanging="360"/>
      </w:pPr>
      <w:rPr>
        <w:rFonts w:ascii="Calibri" w:hAnsi="Calibri" w:cs="Times New Roman" w:hint="default"/>
        <w:color w:val="0F7B7D"/>
        <w:sz w:val="20"/>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41" w15:restartNumberingAfterBreak="0">
    <w:nsid w:val="71BC1776"/>
    <w:multiLevelType w:val="multilevel"/>
    <w:tmpl w:val="14090001"/>
    <w:lvl w:ilvl="0">
      <w:start w:val="1"/>
      <w:numFmt w:val="bullet"/>
      <w:lvlText w:val=""/>
      <w:lvlJc w:val="left"/>
      <w:pPr>
        <w:tabs>
          <w:tab w:val="num" w:pos="397"/>
        </w:tabs>
        <w:ind w:left="0" w:firstLine="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2" w15:restartNumberingAfterBreak="0">
    <w:nsid w:val="75811DDE"/>
    <w:multiLevelType w:val="hybridMultilevel"/>
    <w:tmpl w:val="C38A23EA"/>
    <w:lvl w:ilvl="0" w:tplc="528AF70E">
      <w:start w:val="1"/>
      <w:numFmt w:val="bullet"/>
      <w:pStyle w:val="TableDash"/>
      <w:lvlText w:val=""/>
      <w:lvlJc w:val="left"/>
      <w:pPr>
        <w:tabs>
          <w:tab w:val="num" w:pos="567"/>
        </w:tabs>
        <w:ind w:left="567" w:hanging="283"/>
      </w:pPr>
      <w:rPr>
        <w:rFonts w:ascii="Symbol" w:hAnsi="Symbol" w:hint="default"/>
        <w:color w:val="auto"/>
        <w:sz w:val="16"/>
        <w:szCs w:val="16"/>
      </w:rPr>
    </w:lvl>
    <w:lvl w:ilvl="1" w:tplc="66624CCE">
      <w:start w:val="1"/>
      <w:numFmt w:val="bullet"/>
      <w:lvlText w:val="o"/>
      <w:lvlJc w:val="left"/>
      <w:pPr>
        <w:tabs>
          <w:tab w:val="num" w:pos="1440"/>
        </w:tabs>
        <w:ind w:left="1440" w:hanging="360"/>
      </w:pPr>
      <w:rPr>
        <w:rFonts w:ascii="Courier New" w:hAnsi="Courier New" w:cs="Courier New" w:hint="default"/>
      </w:rPr>
    </w:lvl>
    <w:lvl w:ilvl="2" w:tplc="F50EB80C" w:tentative="1">
      <w:start w:val="1"/>
      <w:numFmt w:val="bullet"/>
      <w:lvlText w:val=""/>
      <w:lvlJc w:val="left"/>
      <w:pPr>
        <w:tabs>
          <w:tab w:val="num" w:pos="2160"/>
        </w:tabs>
        <w:ind w:left="2160" w:hanging="360"/>
      </w:pPr>
      <w:rPr>
        <w:rFonts w:ascii="Wingdings" w:hAnsi="Wingdings" w:hint="default"/>
      </w:rPr>
    </w:lvl>
    <w:lvl w:ilvl="3" w:tplc="3662DCF6" w:tentative="1">
      <w:start w:val="1"/>
      <w:numFmt w:val="bullet"/>
      <w:lvlText w:val=""/>
      <w:lvlJc w:val="left"/>
      <w:pPr>
        <w:tabs>
          <w:tab w:val="num" w:pos="2880"/>
        </w:tabs>
        <w:ind w:left="2880" w:hanging="360"/>
      </w:pPr>
      <w:rPr>
        <w:rFonts w:ascii="Symbol" w:hAnsi="Symbol" w:hint="default"/>
      </w:rPr>
    </w:lvl>
    <w:lvl w:ilvl="4" w:tplc="4F909F22" w:tentative="1">
      <w:start w:val="1"/>
      <w:numFmt w:val="bullet"/>
      <w:lvlText w:val="o"/>
      <w:lvlJc w:val="left"/>
      <w:pPr>
        <w:tabs>
          <w:tab w:val="num" w:pos="3600"/>
        </w:tabs>
        <w:ind w:left="3600" w:hanging="360"/>
      </w:pPr>
      <w:rPr>
        <w:rFonts w:ascii="Courier New" w:hAnsi="Courier New" w:cs="Courier New" w:hint="default"/>
      </w:rPr>
    </w:lvl>
    <w:lvl w:ilvl="5" w:tplc="6D8E5B5C" w:tentative="1">
      <w:start w:val="1"/>
      <w:numFmt w:val="bullet"/>
      <w:lvlText w:val=""/>
      <w:lvlJc w:val="left"/>
      <w:pPr>
        <w:tabs>
          <w:tab w:val="num" w:pos="4320"/>
        </w:tabs>
        <w:ind w:left="4320" w:hanging="360"/>
      </w:pPr>
      <w:rPr>
        <w:rFonts w:ascii="Wingdings" w:hAnsi="Wingdings" w:hint="default"/>
      </w:rPr>
    </w:lvl>
    <w:lvl w:ilvl="6" w:tplc="430447C8" w:tentative="1">
      <w:start w:val="1"/>
      <w:numFmt w:val="bullet"/>
      <w:lvlText w:val=""/>
      <w:lvlJc w:val="left"/>
      <w:pPr>
        <w:tabs>
          <w:tab w:val="num" w:pos="5040"/>
        </w:tabs>
        <w:ind w:left="5040" w:hanging="360"/>
      </w:pPr>
      <w:rPr>
        <w:rFonts w:ascii="Symbol" w:hAnsi="Symbol" w:hint="default"/>
      </w:rPr>
    </w:lvl>
    <w:lvl w:ilvl="7" w:tplc="489CDFD4" w:tentative="1">
      <w:start w:val="1"/>
      <w:numFmt w:val="bullet"/>
      <w:lvlText w:val="o"/>
      <w:lvlJc w:val="left"/>
      <w:pPr>
        <w:tabs>
          <w:tab w:val="num" w:pos="5760"/>
        </w:tabs>
        <w:ind w:left="5760" w:hanging="360"/>
      </w:pPr>
      <w:rPr>
        <w:rFonts w:ascii="Courier New" w:hAnsi="Courier New" w:cs="Courier New" w:hint="default"/>
      </w:rPr>
    </w:lvl>
    <w:lvl w:ilvl="8" w:tplc="5FD01C96"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7E4D254A"/>
    <w:multiLevelType w:val="singleLevel"/>
    <w:tmpl w:val="4BDCAC54"/>
    <w:lvl w:ilvl="0">
      <w:start w:val="1"/>
      <w:numFmt w:val="bullet"/>
      <w:lvlText w:val=""/>
      <w:lvlJc w:val="left"/>
      <w:pPr>
        <w:tabs>
          <w:tab w:val="num" w:pos="567"/>
        </w:tabs>
        <w:ind w:left="567" w:hanging="567"/>
      </w:pPr>
      <w:rPr>
        <w:rFonts w:ascii="Symbol" w:hAnsi="Symbol" w:hint="default"/>
        <w:color w:val="auto"/>
        <w:sz w:val="18"/>
        <w:szCs w:val="20"/>
      </w:rPr>
    </w:lvl>
  </w:abstractNum>
  <w:num w:numId="1">
    <w:abstractNumId w:val="18"/>
  </w:num>
  <w:num w:numId="2">
    <w:abstractNumId w:val="31"/>
  </w:num>
  <w:num w:numId="3">
    <w:abstractNumId w:val="43"/>
  </w:num>
  <w:num w:numId="4">
    <w:abstractNumId w:val="23"/>
  </w:num>
  <w:num w:numId="5">
    <w:abstractNumId w:val="16"/>
  </w:num>
  <w:num w:numId="6">
    <w:abstractNumId w:val="10"/>
  </w:num>
  <w:num w:numId="7">
    <w:abstractNumId w:val="28"/>
  </w:num>
  <w:num w:numId="8">
    <w:abstractNumId w:val="26"/>
  </w:num>
  <w:num w:numId="9">
    <w:abstractNumId w:val="42"/>
  </w:num>
  <w:num w:numId="1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
  </w:num>
  <w:num w:numId="12">
    <w:abstractNumId w:val="36"/>
  </w:num>
  <w:num w:numId="13">
    <w:abstractNumId w:val="15"/>
  </w:num>
  <w:num w:numId="14">
    <w:abstractNumId w:val="38"/>
  </w:num>
  <w:num w:numId="15">
    <w:abstractNumId w:val="24"/>
  </w:num>
  <w:num w:numId="16">
    <w:abstractNumId w:val="14"/>
  </w:num>
  <w:num w:numId="17">
    <w:abstractNumId w:val="37"/>
  </w:num>
  <w:num w:numId="18">
    <w:abstractNumId w:val="32"/>
  </w:num>
  <w:num w:numId="19">
    <w:abstractNumId w:val="39"/>
  </w:num>
  <w:num w:numId="20">
    <w:abstractNumId w:val="17"/>
  </w:num>
  <w:num w:numId="21">
    <w:abstractNumId w:val="34"/>
  </w:num>
  <w:num w:numId="22">
    <w:abstractNumId w:val="7"/>
  </w:num>
  <w:num w:numId="23">
    <w:abstractNumId w:val="30"/>
  </w:num>
  <w:num w:numId="24">
    <w:abstractNumId w:val="19"/>
  </w:num>
  <w:num w:numId="25">
    <w:abstractNumId w:val="41"/>
  </w:num>
  <w:num w:numId="26">
    <w:abstractNumId w:val="35"/>
  </w:num>
  <w:num w:numId="27">
    <w:abstractNumId w:val="2"/>
  </w:num>
  <w:num w:numId="28">
    <w:abstractNumId w:val="21"/>
  </w:num>
  <w:num w:numId="29">
    <w:abstractNumId w:val="11"/>
  </w:num>
  <w:num w:numId="30">
    <w:abstractNumId w:val="6"/>
  </w:num>
  <w:num w:numId="31">
    <w:abstractNumId w:val="4"/>
  </w:num>
  <w:num w:numId="32">
    <w:abstractNumId w:val="8"/>
  </w:num>
  <w:num w:numId="33">
    <w:abstractNumId w:val="12"/>
  </w:num>
  <w:num w:numId="34">
    <w:abstractNumId w:val="22"/>
  </w:num>
  <w:num w:numId="35">
    <w:abstractNumId w:val="20"/>
  </w:num>
  <w:num w:numId="36">
    <w:abstractNumId w:val="9"/>
  </w:num>
  <w:num w:numId="37">
    <w:abstractNumId w:val="40"/>
  </w:num>
  <w:num w:numId="38">
    <w:abstractNumId w:val="29"/>
  </w:num>
  <w:num w:numId="3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3"/>
  </w:num>
  <w:num w:numId="4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0"/>
    <w:lvlOverride w:ilvl="0">
      <w:startOverride w:val="1"/>
    </w:lvlOverride>
  </w:num>
  <w:num w:numId="43">
    <w:abstractNumId w:val="27"/>
  </w:num>
  <w:num w:numId="4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
  </w:num>
  <w:num w:numId="46">
    <w:abstractNumId w:val="5"/>
  </w:num>
  <w:num w:numId="47">
    <w:abstractNumId w:val="33"/>
  </w:num>
  <w:num w:numId="48">
    <w:abstractNumId w:val="0"/>
  </w:num>
  <w:num w:numId="49">
    <w:abstractNumId w:val="25"/>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removeDateAndTime/>
  <w:displayBackgroundShape/>
  <w:attachedTemplate r:id="rId1"/>
  <w:defaultTabStop w:val="397"/>
  <w:evenAndOddHeaders/>
  <w:drawingGridHorizontalSpacing w:val="110"/>
  <w:displayHorizontalDrawingGridEvery w:val="2"/>
  <w:characterSpacingControl w:val="doNotCompress"/>
  <w:hdrShapeDefaults>
    <o:shapedefaults v:ext="edit" spidmax="2050" fill="f" fillcolor="white" stroke="f">
      <v:fill color="white" on="f"/>
      <v:stroke on="f"/>
    </o:shapedefaults>
  </w:hdrShapeDefaults>
  <w:footnotePr>
    <w:footnote w:id="-1"/>
    <w:footnote w:id="0"/>
    <w:footnote w:id="1"/>
  </w:footnotePr>
  <w:endnotePr>
    <w:endnote w:id="-1"/>
    <w:endnote w:id="0"/>
    <w:endnote w:id="1"/>
  </w:endnotePr>
  <w:compat>
    <w:suppressBottom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108D"/>
    <w:rsid w:val="00000792"/>
    <w:rsid w:val="00000F04"/>
    <w:rsid w:val="000023A3"/>
    <w:rsid w:val="00003C4F"/>
    <w:rsid w:val="00004E0A"/>
    <w:rsid w:val="00004FD3"/>
    <w:rsid w:val="00005473"/>
    <w:rsid w:val="00006DF5"/>
    <w:rsid w:val="00006F95"/>
    <w:rsid w:val="00007023"/>
    <w:rsid w:val="0000709F"/>
    <w:rsid w:val="000071D6"/>
    <w:rsid w:val="00007F2D"/>
    <w:rsid w:val="00007FAC"/>
    <w:rsid w:val="00010A9C"/>
    <w:rsid w:val="00010ABA"/>
    <w:rsid w:val="00010E15"/>
    <w:rsid w:val="00010F57"/>
    <w:rsid w:val="0001100C"/>
    <w:rsid w:val="00011188"/>
    <w:rsid w:val="00012555"/>
    <w:rsid w:val="00014236"/>
    <w:rsid w:val="000148F6"/>
    <w:rsid w:val="00015043"/>
    <w:rsid w:val="00015217"/>
    <w:rsid w:val="000159D2"/>
    <w:rsid w:val="00016264"/>
    <w:rsid w:val="00016993"/>
    <w:rsid w:val="00016CAB"/>
    <w:rsid w:val="00016E5B"/>
    <w:rsid w:val="0001749B"/>
    <w:rsid w:val="00017D75"/>
    <w:rsid w:val="00017FE5"/>
    <w:rsid w:val="000215C9"/>
    <w:rsid w:val="00021910"/>
    <w:rsid w:val="00022D35"/>
    <w:rsid w:val="00022E8D"/>
    <w:rsid w:val="0002348A"/>
    <w:rsid w:val="00023BDA"/>
    <w:rsid w:val="00024708"/>
    <w:rsid w:val="00024EE7"/>
    <w:rsid w:val="00025F96"/>
    <w:rsid w:val="00025FAB"/>
    <w:rsid w:val="00026E89"/>
    <w:rsid w:val="000275A3"/>
    <w:rsid w:val="00030558"/>
    <w:rsid w:val="00030699"/>
    <w:rsid w:val="00030725"/>
    <w:rsid w:val="00030DB8"/>
    <w:rsid w:val="00031A83"/>
    <w:rsid w:val="0003213A"/>
    <w:rsid w:val="00032A81"/>
    <w:rsid w:val="000340D8"/>
    <w:rsid w:val="0003427D"/>
    <w:rsid w:val="00034DFA"/>
    <w:rsid w:val="000357ED"/>
    <w:rsid w:val="00035E15"/>
    <w:rsid w:val="0003640E"/>
    <w:rsid w:val="0003688A"/>
    <w:rsid w:val="000368FC"/>
    <w:rsid w:val="00036DA3"/>
    <w:rsid w:val="000379BF"/>
    <w:rsid w:val="00037BEC"/>
    <w:rsid w:val="000400D9"/>
    <w:rsid w:val="0004035C"/>
    <w:rsid w:val="00040742"/>
    <w:rsid w:val="00040860"/>
    <w:rsid w:val="00040CED"/>
    <w:rsid w:val="00040EA1"/>
    <w:rsid w:val="00040FC3"/>
    <w:rsid w:val="0004205F"/>
    <w:rsid w:val="000423C6"/>
    <w:rsid w:val="00042EDB"/>
    <w:rsid w:val="00044A50"/>
    <w:rsid w:val="00044C65"/>
    <w:rsid w:val="000458C7"/>
    <w:rsid w:val="00045991"/>
    <w:rsid w:val="00045E5C"/>
    <w:rsid w:val="00046288"/>
    <w:rsid w:val="00047941"/>
    <w:rsid w:val="00050A22"/>
    <w:rsid w:val="00050E27"/>
    <w:rsid w:val="0005144F"/>
    <w:rsid w:val="00051AF1"/>
    <w:rsid w:val="00051D42"/>
    <w:rsid w:val="00053027"/>
    <w:rsid w:val="000538A1"/>
    <w:rsid w:val="00054600"/>
    <w:rsid w:val="00055375"/>
    <w:rsid w:val="00056319"/>
    <w:rsid w:val="000564E7"/>
    <w:rsid w:val="00056770"/>
    <w:rsid w:val="00056D18"/>
    <w:rsid w:val="00057386"/>
    <w:rsid w:val="00057EEF"/>
    <w:rsid w:val="0006108D"/>
    <w:rsid w:val="000619CB"/>
    <w:rsid w:val="00062387"/>
    <w:rsid w:val="0006341E"/>
    <w:rsid w:val="000640F0"/>
    <w:rsid w:val="0006434D"/>
    <w:rsid w:val="000643A1"/>
    <w:rsid w:val="00064679"/>
    <w:rsid w:val="00064A13"/>
    <w:rsid w:val="00064AF4"/>
    <w:rsid w:val="00064DB1"/>
    <w:rsid w:val="00065BA3"/>
    <w:rsid w:val="00065D3B"/>
    <w:rsid w:val="000667E9"/>
    <w:rsid w:val="00067128"/>
    <w:rsid w:val="000675CD"/>
    <w:rsid w:val="00067872"/>
    <w:rsid w:val="000678AC"/>
    <w:rsid w:val="000700B3"/>
    <w:rsid w:val="000703B2"/>
    <w:rsid w:val="00070FBF"/>
    <w:rsid w:val="000711EE"/>
    <w:rsid w:val="0007180E"/>
    <w:rsid w:val="00071AE4"/>
    <w:rsid w:val="00071CB5"/>
    <w:rsid w:val="00071CCB"/>
    <w:rsid w:val="00071D03"/>
    <w:rsid w:val="0007232B"/>
    <w:rsid w:val="000735A2"/>
    <w:rsid w:val="0007517E"/>
    <w:rsid w:val="00075FE1"/>
    <w:rsid w:val="000764EC"/>
    <w:rsid w:val="00076667"/>
    <w:rsid w:val="00077473"/>
    <w:rsid w:val="00077481"/>
    <w:rsid w:val="000776F9"/>
    <w:rsid w:val="00077EE0"/>
    <w:rsid w:val="000802F9"/>
    <w:rsid w:val="0008145A"/>
    <w:rsid w:val="0008162D"/>
    <w:rsid w:val="000831C8"/>
    <w:rsid w:val="00083F5E"/>
    <w:rsid w:val="00084FDB"/>
    <w:rsid w:val="0008505C"/>
    <w:rsid w:val="00085C46"/>
    <w:rsid w:val="0008686A"/>
    <w:rsid w:val="00087175"/>
    <w:rsid w:val="00087D35"/>
    <w:rsid w:val="00091796"/>
    <w:rsid w:val="000917F1"/>
    <w:rsid w:val="00091BA2"/>
    <w:rsid w:val="00091CB0"/>
    <w:rsid w:val="00094344"/>
    <w:rsid w:val="000953C6"/>
    <w:rsid w:val="000953F4"/>
    <w:rsid w:val="0009590C"/>
    <w:rsid w:val="000959E7"/>
    <w:rsid w:val="00095C45"/>
    <w:rsid w:val="00095E7D"/>
    <w:rsid w:val="0009641F"/>
    <w:rsid w:val="000964DE"/>
    <w:rsid w:val="000972AB"/>
    <w:rsid w:val="00097B40"/>
    <w:rsid w:val="00097D0E"/>
    <w:rsid w:val="000A17EA"/>
    <w:rsid w:val="000A1C7A"/>
    <w:rsid w:val="000A2345"/>
    <w:rsid w:val="000A2394"/>
    <w:rsid w:val="000A250A"/>
    <w:rsid w:val="000A2EF8"/>
    <w:rsid w:val="000A31C1"/>
    <w:rsid w:val="000A32C5"/>
    <w:rsid w:val="000A3411"/>
    <w:rsid w:val="000A34CA"/>
    <w:rsid w:val="000A426F"/>
    <w:rsid w:val="000A4559"/>
    <w:rsid w:val="000A45FD"/>
    <w:rsid w:val="000A477B"/>
    <w:rsid w:val="000A544D"/>
    <w:rsid w:val="000A558D"/>
    <w:rsid w:val="000A5611"/>
    <w:rsid w:val="000A563C"/>
    <w:rsid w:val="000A59C5"/>
    <w:rsid w:val="000A5DEA"/>
    <w:rsid w:val="000A5EBD"/>
    <w:rsid w:val="000A7658"/>
    <w:rsid w:val="000A7F0F"/>
    <w:rsid w:val="000A7F4C"/>
    <w:rsid w:val="000B02BC"/>
    <w:rsid w:val="000B0498"/>
    <w:rsid w:val="000B0F36"/>
    <w:rsid w:val="000B1942"/>
    <w:rsid w:val="000B1BED"/>
    <w:rsid w:val="000B2240"/>
    <w:rsid w:val="000B2477"/>
    <w:rsid w:val="000B2600"/>
    <w:rsid w:val="000B36F9"/>
    <w:rsid w:val="000B4074"/>
    <w:rsid w:val="000B4732"/>
    <w:rsid w:val="000B4BCD"/>
    <w:rsid w:val="000B4C3B"/>
    <w:rsid w:val="000B66DC"/>
    <w:rsid w:val="000B6D1F"/>
    <w:rsid w:val="000C062F"/>
    <w:rsid w:val="000C1249"/>
    <w:rsid w:val="000C17E7"/>
    <w:rsid w:val="000C1D34"/>
    <w:rsid w:val="000C3270"/>
    <w:rsid w:val="000C577E"/>
    <w:rsid w:val="000D04BA"/>
    <w:rsid w:val="000D0B6E"/>
    <w:rsid w:val="000D0D65"/>
    <w:rsid w:val="000D0F2C"/>
    <w:rsid w:val="000D12E0"/>
    <w:rsid w:val="000D1944"/>
    <w:rsid w:val="000D1DD9"/>
    <w:rsid w:val="000D2172"/>
    <w:rsid w:val="000D293C"/>
    <w:rsid w:val="000D2BC1"/>
    <w:rsid w:val="000D32C8"/>
    <w:rsid w:val="000D337B"/>
    <w:rsid w:val="000D385A"/>
    <w:rsid w:val="000D38C2"/>
    <w:rsid w:val="000D3CA7"/>
    <w:rsid w:val="000D5B16"/>
    <w:rsid w:val="000D5FD6"/>
    <w:rsid w:val="000D6201"/>
    <w:rsid w:val="000D6488"/>
    <w:rsid w:val="000D7088"/>
    <w:rsid w:val="000D770B"/>
    <w:rsid w:val="000D788E"/>
    <w:rsid w:val="000D7947"/>
    <w:rsid w:val="000E0B4D"/>
    <w:rsid w:val="000E1056"/>
    <w:rsid w:val="000E12B0"/>
    <w:rsid w:val="000E1BC8"/>
    <w:rsid w:val="000E1D32"/>
    <w:rsid w:val="000E26D8"/>
    <w:rsid w:val="000E2B94"/>
    <w:rsid w:val="000E3134"/>
    <w:rsid w:val="000E3156"/>
    <w:rsid w:val="000E35B6"/>
    <w:rsid w:val="000E3BB8"/>
    <w:rsid w:val="000E3D9B"/>
    <w:rsid w:val="000E3DFD"/>
    <w:rsid w:val="000E4261"/>
    <w:rsid w:val="000E4697"/>
    <w:rsid w:val="000E5653"/>
    <w:rsid w:val="000E58C5"/>
    <w:rsid w:val="000E6203"/>
    <w:rsid w:val="000E64CB"/>
    <w:rsid w:val="000E722C"/>
    <w:rsid w:val="000E755B"/>
    <w:rsid w:val="000E786F"/>
    <w:rsid w:val="000E7DA7"/>
    <w:rsid w:val="000E7FA0"/>
    <w:rsid w:val="000F00BA"/>
    <w:rsid w:val="000F02F8"/>
    <w:rsid w:val="000F0409"/>
    <w:rsid w:val="000F049F"/>
    <w:rsid w:val="000F0642"/>
    <w:rsid w:val="000F07FA"/>
    <w:rsid w:val="000F0B5E"/>
    <w:rsid w:val="000F1B80"/>
    <w:rsid w:val="000F1D43"/>
    <w:rsid w:val="000F1FFF"/>
    <w:rsid w:val="000F20AA"/>
    <w:rsid w:val="000F2245"/>
    <w:rsid w:val="000F2651"/>
    <w:rsid w:val="000F348D"/>
    <w:rsid w:val="000F369A"/>
    <w:rsid w:val="000F4463"/>
    <w:rsid w:val="000F5285"/>
    <w:rsid w:val="000F52E0"/>
    <w:rsid w:val="000F53A9"/>
    <w:rsid w:val="000F6464"/>
    <w:rsid w:val="000F6628"/>
    <w:rsid w:val="000F6C25"/>
    <w:rsid w:val="000F76EB"/>
    <w:rsid w:val="000F78AE"/>
    <w:rsid w:val="000F7E25"/>
    <w:rsid w:val="001007EE"/>
    <w:rsid w:val="00100F76"/>
    <w:rsid w:val="0010148E"/>
    <w:rsid w:val="0010184D"/>
    <w:rsid w:val="0010253C"/>
    <w:rsid w:val="00102BD1"/>
    <w:rsid w:val="0010486A"/>
    <w:rsid w:val="0010561C"/>
    <w:rsid w:val="00105C0F"/>
    <w:rsid w:val="00105C47"/>
    <w:rsid w:val="00105E39"/>
    <w:rsid w:val="00106561"/>
    <w:rsid w:val="00106D63"/>
    <w:rsid w:val="001075F3"/>
    <w:rsid w:val="00107A01"/>
    <w:rsid w:val="00107C23"/>
    <w:rsid w:val="00110307"/>
    <w:rsid w:val="00110C7F"/>
    <w:rsid w:val="00110EE2"/>
    <w:rsid w:val="0011106C"/>
    <w:rsid w:val="00111A88"/>
    <w:rsid w:val="0011221A"/>
    <w:rsid w:val="00112EE9"/>
    <w:rsid w:val="00113283"/>
    <w:rsid w:val="001137AE"/>
    <w:rsid w:val="00113B20"/>
    <w:rsid w:val="001147B3"/>
    <w:rsid w:val="001148F7"/>
    <w:rsid w:val="001149B2"/>
    <w:rsid w:val="00114C2D"/>
    <w:rsid w:val="00115125"/>
    <w:rsid w:val="001152F2"/>
    <w:rsid w:val="001157D7"/>
    <w:rsid w:val="00116382"/>
    <w:rsid w:val="00116484"/>
    <w:rsid w:val="00116ACF"/>
    <w:rsid w:val="00116D5C"/>
    <w:rsid w:val="001172B2"/>
    <w:rsid w:val="00117ED9"/>
    <w:rsid w:val="00117F9B"/>
    <w:rsid w:val="00121211"/>
    <w:rsid w:val="00121628"/>
    <w:rsid w:val="0012167D"/>
    <w:rsid w:val="00122189"/>
    <w:rsid w:val="00122280"/>
    <w:rsid w:val="00122D42"/>
    <w:rsid w:val="00123345"/>
    <w:rsid w:val="00123C46"/>
    <w:rsid w:val="0012470B"/>
    <w:rsid w:val="00125206"/>
    <w:rsid w:val="00125C75"/>
    <w:rsid w:val="00125C7E"/>
    <w:rsid w:val="0012685D"/>
    <w:rsid w:val="00127945"/>
    <w:rsid w:val="00127D94"/>
    <w:rsid w:val="00127E90"/>
    <w:rsid w:val="001302C1"/>
    <w:rsid w:val="001306D3"/>
    <w:rsid w:val="001310BF"/>
    <w:rsid w:val="00133E73"/>
    <w:rsid w:val="00133FDB"/>
    <w:rsid w:val="00134F4A"/>
    <w:rsid w:val="001351E9"/>
    <w:rsid w:val="00135E4E"/>
    <w:rsid w:val="00136246"/>
    <w:rsid w:val="001364D4"/>
    <w:rsid w:val="001371C8"/>
    <w:rsid w:val="001372ED"/>
    <w:rsid w:val="00142B50"/>
    <w:rsid w:val="00143873"/>
    <w:rsid w:val="001439E9"/>
    <w:rsid w:val="00143C55"/>
    <w:rsid w:val="00143F38"/>
    <w:rsid w:val="001447E8"/>
    <w:rsid w:val="00144C6F"/>
    <w:rsid w:val="00145089"/>
    <w:rsid w:val="001451E7"/>
    <w:rsid w:val="001462E3"/>
    <w:rsid w:val="0014720C"/>
    <w:rsid w:val="001472C2"/>
    <w:rsid w:val="00147458"/>
    <w:rsid w:val="00147566"/>
    <w:rsid w:val="00147E21"/>
    <w:rsid w:val="00150BA8"/>
    <w:rsid w:val="00150D19"/>
    <w:rsid w:val="0015181B"/>
    <w:rsid w:val="00151A9F"/>
    <w:rsid w:val="00152B87"/>
    <w:rsid w:val="00153A96"/>
    <w:rsid w:val="00153D1C"/>
    <w:rsid w:val="00153D27"/>
    <w:rsid w:val="001543E2"/>
    <w:rsid w:val="00155B43"/>
    <w:rsid w:val="00155CE0"/>
    <w:rsid w:val="001565A2"/>
    <w:rsid w:val="001567C3"/>
    <w:rsid w:val="00156A12"/>
    <w:rsid w:val="00157B3F"/>
    <w:rsid w:val="00157F8A"/>
    <w:rsid w:val="00160C3D"/>
    <w:rsid w:val="00161B24"/>
    <w:rsid w:val="00161C41"/>
    <w:rsid w:val="00161DD5"/>
    <w:rsid w:val="00162066"/>
    <w:rsid w:val="001633A4"/>
    <w:rsid w:val="001634D6"/>
    <w:rsid w:val="001648DD"/>
    <w:rsid w:val="0016547D"/>
    <w:rsid w:val="00165705"/>
    <w:rsid w:val="00166389"/>
    <w:rsid w:val="001667A9"/>
    <w:rsid w:val="00166E03"/>
    <w:rsid w:val="00167E4C"/>
    <w:rsid w:val="00171449"/>
    <w:rsid w:val="0017199C"/>
    <w:rsid w:val="00171C7E"/>
    <w:rsid w:val="00171F35"/>
    <w:rsid w:val="00172552"/>
    <w:rsid w:val="00172873"/>
    <w:rsid w:val="00172CF7"/>
    <w:rsid w:val="0017319E"/>
    <w:rsid w:val="00173A1F"/>
    <w:rsid w:val="00173BC3"/>
    <w:rsid w:val="001740F2"/>
    <w:rsid w:val="00174128"/>
    <w:rsid w:val="00175C34"/>
    <w:rsid w:val="00175F9A"/>
    <w:rsid w:val="00176E98"/>
    <w:rsid w:val="00177387"/>
    <w:rsid w:val="00177996"/>
    <w:rsid w:val="00177CA9"/>
    <w:rsid w:val="00180B3F"/>
    <w:rsid w:val="00180C83"/>
    <w:rsid w:val="00180CE5"/>
    <w:rsid w:val="0018175B"/>
    <w:rsid w:val="001820A3"/>
    <w:rsid w:val="00182B13"/>
    <w:rsid w:val="0018332A"/>
    <w:rsid w:val="00183D80"/>
    <w:rsid w:val="001842C8"/>
    <w:rsid w:val="00185044"/>
    <w:rsid w:val="001850DB"/>
    <w:rsid w:val="0018599C"/>
    <w:rsid w:val="001869EE"/>
    <w:rsid w:val="00186D00"/>
    <w:rsid w:val="0018743A"/>
    <w:rsid w:val="00190A57"/>
    <w:rsid w:val="00190B3F"/>
    <w:rsid w:val="0019122C"/>
    <w:rsid w:val="00191908"/>
    <w:rsid w:val="00192DF3"/>
    <w:rsid w:val="0019301F"/>
    <w:rsid w:val="00193286"/>
    <w:rsid w:val="001937B8"/>
    <w:rsid w:val="00194BB7"/>
    <w:rsid w:val="00194CC5"/>
    <w:rsid w:val="001951B2"/>
    <w:rsid w:val="0019565D"/>
    <w:rsid w:val="00196422"/>
    <w:rsid w:val="00197564"/>
    <w:rsid w:val="00197EC2"/>
    <w:rsid w:val="00197ECE"/>
    <w:rsid w:val="001A1CED"/>
    <w:rsid w:val="001A279B"/>
    <w:rsid w:val="001A2DC3"/>
    <w:rsid w:val="001A2E87"/>
    <w:rsid w:val="001A3869"/>
    <w:rsid w:val="001A38C2"/>
    <w:rsid w:val="001A65C8"/>
    <w:rsid w:val="001A732E"/>
    <w:rsid w:val="001A7F30"/>
    <w:rsid w:val="001B06E2"/>
    <w:rsid w:val="001B103A"/>
    <w:rsid w:val="001B103D"/>
    <w:rsid w:val="001B1513"/>
    <w:rsid w:val="001B1767"/>
    <w:rsid w:val="001B195A"/>
    <w:rsid w:val="001B2453"/>
    <w:rsid w:val="001B2A6F"/>
    <w:rsid w:val="001B3D48"/>
    <w:rsid w:val="001B5AF9"/>
    <w:rsid w:val="001B5BBB"/>
    <w:rsid w:val="001B6600"/>
    <w:rsid w:val="001B6B9B"/>
    <w:rsid w:val="001B6C27"/>
    <w:rsid w:val="001B7144"/>
    <w:rsid w:val="001B7E91"/>
    <w:rsid w:val="001C147E"/>
    <w:rsid w:val="001C151B"/>
    <w:rsid w:val="001C19E5"/>
    <w:rsid w:val="001C19E9"/>
    <w:rsid w:val="001C3800"/>
    <w:rsid w:val="001C3C0B"/>
    <w:rsid w:val="001C3C7B"/>
    <w:rsid w:val="001C530B"/>
    <w:rsid w:val="001C6122"/>
    <w:rsid w:val="001C6587"/>
    <w:rsid w:val="001C69BE"/>
    <w:rsid w:val="001C6DB5"/>
    <w:rsid w:val="001C71AC"/>
    <w:rsid w:val="001C7316"/>
    <w:rsid w:val="001C7E5C"/>
    <w:rsid w:val="001D00CC"/>
    <w:rsid w:val="001D02B8"/>
    <w:rsid w:val="001D0494"/>
    <w:rsid w:val="001D07B7"/>
    <w:rsid w:val="001D1719"/>
    <w:rsid w:val="001D171B"/>
    <w:rsid w:val="001D1732"/>
    <w:rsid w:val="001D1E2E"/>
    <w:rsid w:val="001D2203"/>
    <w:rsid w:val="001D255C"/>
    <w:rsid w:val="001D2DEF"/>
    <w:rsid w:val="001D30BB"/>
    <w:rsid w:val="001D488C"/>
    <w:rsid w:val="001D4CDF"/>
    <w:rsid w:val="001D4F88"/>
    <w:rsid w:val="001D578D"/>
    <w:rsid w:val="001D5818"/>
    <w:rsid w:val="001D653A"/>
    <w:rsid w:val="001D706B"/>
    <w:rsid w:val="001D7DEE"/>
    <w:rsid w:val="001E02CB"/>
    <w:rsid w:val="001E0DF7"/>
    <w:rsid w:val="001E14FD"/>
    <w:rsid w:val="001E180F"/>
    <w:rsid w:val="001E1C64"/>
    <w:rsid w:val="001E1CEC"/>
    <w:rsid w:val="001E2ECB"/>
    <w:rsid w:val="001E4B64"/>
    <w:rsid w:val="001E4F93"/>
    <w:rsid w:val="001E552A"/>
    <w:rsid w:val="001E57B9"/>
    <w:rsid w:val="001E64CD"/>
    <w:rsid w:val="001E6E8D"/>
    <w:rsid w:val="001E7087"/>
    <w:rsid w:val="001E713B"/>
    <w:rsid w:val="001E7EE4"/>
    <w:rsid w:val="001E7F76"/>
    <w:rsid w:val="001F019B"/>
    <w:rsid w:val="001F0FAF"/>
    <w:rsid w:val="001F139F"/>
    <w:rsid w:val="001F16F3"/>
    <w:rsid w:val="001F2132"/>
    <w:rsid w:val="001F2805"/>
    <w:rsid w:val="001F2E79"/>
    <w:rsid w:val="001F2F07"/>
    <w:rsid w:val="001F3123"/>
    <w:rsid w:val="001F376D"/>
    <w:rsid w:val="001F418C"/>
    <w:rsid w:val="001F4B2D"/>
    <w:rsid w:val="001F4F40"/>
    <w:rsid w:val="001F50E0"/>
    <w:rsid w:val="001F594C"/>
    <w:rsid w:val="001F68CF"/>
    <w:rsid w:val="001F69FC"/>
    <w:rsid w:val="001F6D62"/>
    <w:rsid w:val="001F7675"/>
    <w:rsid w:val="001F7AD1"/>
    <w:rsid w:val="00200FAE"/>
    <w:rsid w:val="0020102D"/>
    <w:rsid w:val="002010E2"/>
    <w:rsid w:val="00201B73"/>
    <w:rsid w:val="00202517"/>
    <w:rsid w:val="00202ADB"/>
    <w:rsid w:val="00202BB7"/>
    <w:rsid w:val="00202C95"/>
    <w:rsid w:val="00203EB2"/>
    <w:rsid w:val="0020435B"/>
    <w:rsid w:val="00204533"/>
    <w:rsid w:val="00204F2D"/>
    <w:rsid w:val="00205566"/>
    <w:rsid w:val="002063AA"/>
    <w:rsid w:val="00210549"/>
    <w:rsid w:val="0021069E"/>
    <w:rsid w:val="00210804"/>
    <w:rsid w:val="0021088F"/>
    <w:rsid w:val="002113FE"/>
    <w:rsid w:val="00211737"/>
    <w:rsid w:val="0021181B"/>
    <w:rsid w:val="0021230F"/>
    <w:rsid w:val="0021252D"/>
    <w:rsid w:val="002125B0"/>
    <w:rsid w:val="002125F6"/>
    <w:rsid w:val="00212A82"/>
    <w:rsid w:val="00214EA2"/>
    <w:rsid w:val="002160FA"/>
    <w:rsid w:val="002166DD"/>
    <w:rsid w:val="002168A2"/>
    <w:rsid w:val="00217867"/>
    <w:rsid w:val="002205E4"/>
    <w:rsid w:val="00220D67"/>
    <w:rsid w:val="00221310"/>
    <w:rsid w:val="002215F8"/>
    <w:rsid w:val="00221F80"/>
    <w:rsid w:val="0022273A"/>
    <w:rsid w:val="00222D28"/>
    <w:rsid w:val="00223CF4"/>
    <w:rsid w:val="00224220"/>
    <w:rsid w:val="00224398"/>
    <w:rsid w:val="00224A81"/>
    <w:rsid w:val="00224E91"/>
    <w:rsid w:val="00225B4C"/>
    <w:rsid w:val="00225E1E"/>
    <w:rsid w:val="00226129"/>
    <w:rsid w:val="0022614D"/>
    <w:rsid w:val="00226AA2"/>
    <w:rsid w:val="00227218"/>
    <w:rsid w:val="0022770A"/>
    <w:rsid w:val="00227788"/>
    <w:rsid w:val="00227BEE"/>
    <w:rsid w:val="00227FB4"/>
    <w:rsid w:val="0023057E"/>
    <w:rsid w:val="002312BC"/>
    <w:rsid w:val="002337E5"/>
    <w:rsid w:val="00233C06"/>
    <w:rsid w:val="00233CD3"/>
    <w:rsid w:val="00233F24"/>
    <w:rsid w:val="00234BBB"/>
    <w:rsid w:val="002356F4"/>
    <w:rsid w:val="00235F02"/>
    <w:rsid w:val="00236D28"/>
    <w:rsid w:val="00237FE4"/>
    <w:rsid w:val="00240656"/>
    <w:rsid w:val="00241610"/>
    <w:rsid w:val="00241AED"/>
    <w:rsid w:val="00243182"/>
    <w:rsid w:val="00243928"/>
    <w:rsid w:val="00243946"/>
    <w:rsid w:val="00243BC5"/>
    <w:rsid w:val="00243C7D"/>
    <w:rsid w:val="00243E9A"/>
    <w:rsid w:val="00244371"/>
    <w:rsid w:val="00244AF8"/>
    <w:rsid w:val="00244BC5"/>
    <w:rsid w:val="00244E68"/>
    <w:rsid w:val="002456C5"/>
    <w:rsid w:val="00245ABE"/>
    <w:rsid w:val="00245C0B"/>
    <w:rsid w:val="00246EAE"/>
    <w:rsid w:val="00247116"/>
    <w:rsid w:val="002471E5"/>
    <w:rsid w:val="00247FD3"/>
    <w:rsid w:val="002517A8"/>
    <w:rsid w:val="00251EEE"/>
    <w:rsid w:val="00253177"/>
    <w:rsid w:val="002538B8"/>
    <w:rsid w:val="0025396F"/>
    <w:rsid w:val="00253BA3"/>
    <w:rsid w:val="00253DC6"/>
    <w:rsid w:val="00254319"/>
    <w:rsid w:val="00255330"/>
    <w:rsid w:val="0025539F"/>
    <w:rsid w:val="00255CC8"/>
    <w:rsid w:val="00256388"/>
    <w:rsid w:val="00256762"/>
    <w:rsid w:val="00256E44"/>
    <w:rsid w:val="00260919"/>
    <w:rsid w:val="002612FD"/>
    <w:rsid w:val="002613DC"/>
    <w:rsid w:val="00261569"/>
    <w:rsid w:val="00261755"/>
    <w:rsid w:val="00261AAA"/>
    <w:rsid w:val="00262097"/>
    <w:rsid w:val="00262D20"/>
    <w:rsid w:val="002634AB"/>
    <w:rsid w:val="002638E0"/>
    <w:rsid w:val="00263C07"/>
    <w:rsid w:val="00263C19"/>
    <w:rsid w:val="00263E9F"/>
    <w:rsid w:val="00264F03"/>
    <w:rsid w:val="00264F8F"/>
    <w:rsid w:val="002655AE"/>
    <w:rsid w:val="0026591F"/>
    <w:rsid w:val="00265A65"/>
    <w:rsid w:val="002660F0"/>
    <w:rsid w:val="002675B6"/>
    <w:rsid w:val="00267A99"/>
    <w:rsid w:val="00270271"/>
    <w:rsid w:val="00272174"/>
    <w:rsid w:val="002721A6"/>
    <w:rsid w:val="002722E0"/>
    <w:rsid w:val="002730EC"/>
    <w:rsid w:val="00273100"/>
    <w:rsid w:val="002735CC"/>
    <w:rsid w:val="00273D98"/>
    <w:rsid w:val="00274588"/>
    <w:rsid w:val="00274A67"/>
    <w:rsid w:val="00274AA2"/>
    <w:rsid w:val="002756EF"/>
    <w:rsid w:val="00275708"/>
    <w:rsid w:val="002768CF"/>
    <w:rsid w:val="00276F82"/>
    <w:rsid w:val="002805DF"/>
    <w:rsid w:val="0028092D"/>
    <w:rsid w:val="002815D9"/>
    <w:rsid w:val="00282317"/>
    <w:rsid w:val="00282D25"/>
    <w:rsid w:val="00282DF9"/>
    <w:rsid w:val="002839C7"/>
    <w:rsid w:val="00283A44"/>
    <w:rsid w:val="0028529F"/>
    <w:rsid w:val="002853F7"/>
    <w:rsid w:val="002855FE"/>
    <w:rsid w:val="00285687"/>
    <w:rsid w:val="00287649"/>
    <w:rsid w:val="00287DAB"/>
    <w:rsid w:val="00287FB6"/>
    <w:rsid w:val="002900C5"/>
    <w:rsid w:val="002901E0"/>
    <w:rsid w:val="0029075B"/>
    <w:rsid w:val="00290BB1"/>
    <w:rsid w:val="00291BC1"/>
    <w:rsid w:val="002933CA"/>
    <w:rsid w:val="00293A8F"/>
    <w:rsid w:val="00295155"/>
    <w:rsid w:val="00295D51"/>
    <w:rsid w:val="00296203"/>
    <w:rsid w:val="00296428"/>
    <w:rsid w:val="0029643D"/>
    <w:rsid w:val="0029706A"/>
    <w:rsid w:val="002972EE"/>
    <w:rsid w:val="00297F01"/>
    <w:rsid w:val="002A052D"/>
    <w:rsid w:val="002A0DF8"/>
    <w:rsid w:val="002A1928"/>
    <w:rsid w:val="002A1F1F"/>
    <w:rsid w:val="002A21B5"/>
    <w:rsid w:val="002A2499"/>
    <w:rsid w:val="002A2631"/>
    <w:rsid w:val="002A2A0C"/>
    <w:rsid w:val="002A2BB6"/>
    <w:rsid w:val="002A30E0"/>
    <w:rsid w:val="002A310C"/>
    <w:rsid w:val="002A3453"/>
    <w:rsid w:val="002A3521"/>
    <w:rsid w:val="002A35C5"/>
    <w:rsid w:val="002A37E1"/>
    <w:rsid w:val="002A3B61"/>
    <w:rsid w:val="002A3EFC"/>
    <w:rsid w:val="002A402A"/>
    <w:rsid w:val="002A45AA"/>
    <w:rsid w:val="002A4B0B"/>
    <w:rsid w:val="002A4B6F"/>
    <w:rsid w:val="002A4FFF"/>
    <w:rsid w:val="002A512A"/>
    <w:rsid w:val="002A533C"/>
    <w:rsid w:val="002A56E1"/>
    <w:rsid w:val="002A59BD"/>
    <w:rsid w:val="002A75CA"/>
    <w:rsid w:val="002A7889"/>
    <w:rsid w:val="002A799A"/>
    <w:rsid w:val="002B05C7"/>
    <w:rsid w:val="002B097D"/>
    <w:rsid w:val="002B11B2"/>
    <w:rsid w:val="002B18F7"/>
    <w:rsid w:val="002B1EB3"/>
    <w:rsid w:val="002B3ED7"/>
    <w:rsid w:val="002B4778"/>
    <w:rsid w:val="002B4F80"/>
    <w:rsid w:val="002B75B2"/>
    <w:rsid w:val="002B7732"/>
    <w:rsid w:val="002B79B7"/>
    <w:rsid w:val="002C0E07"/>
    <w:rsid w:val="002C141D"/>
    <w:rsid w:val="002C19C0"/>
    <w:rsid w:val="002C2485"/>
    <w:rsid w:val="002C25E0"/>
    <w:rsid w:val="002C2A2D"/>
    <w:rsid w:val="002C36C0"/>
    <w:rsid w:val="002C3928"/>
    <w:rsid w:val="002C3B33"/>
    <w:rsid w:val="002C435E"/>
    <w:rsid w:val="002C43BB"/>
    <w:rsid w:val="002C44AB"/>
    <w:rsid w:val="002C5E39"/>
    <w:rsid w:val="002C5FA2"/>
    <w:rsid w:val="002C7A02"/>
    <w:rsid w:val="002C7BD4"/>
    <w:rsid w:val="002D0107"/>
    <w:rsid w:val="002D062E"/>
    <w:rsid w:val="002D0B67"/>
    <w:rsid w:val="002D0D43"/>
    <w:rsid w:val="002D1124"/>
    <w:rsid w:val="002D15C2"/>
    <w:rsid w:val="002D21DD"/>
    <w:rsid w:val="002D24B0"/>
    <w:rsid w:val="002D2AFF"/>
    <w:rsid w:val="002D2B10"/>
    <w:rsid w:val="002D386A"/>
    <w:rsid w:val="002D4100"/>
    <w:rsid w:val="002D477F"/>
    <w:rsid w:val="002D4F48"/>
    <w:rsid w:val="002D519B"/>
    <w:rsid w:val="002D58FD"/>
    <w:rsid w:val="002D621E"/>
    <w:rsid w:val="002D66DA"/>
    <w:rsid w:val="002D7027"/>
    <w:rsid w:val="002D70DC"/>
    <w:rsid w:val="002D758B"/>
    <w:rsid w:val="002D79BC"/>
    <w:rsid w:val="002D7E58"/>
    <w:rsid w:val="002E0D31"/>
    <w:rsid w:val="002E0EFA"/>
    <w:rsid w:val="002E1073"/>
    <w:rsid w:val="002E12EC"/>
    <w:rsid w:val="002E146D"/>
    <w:rsid w:val="002E1803"/>
    <w:rsid w:val="002E272B"/>
    <w:rsid w:val="002E29F8"/>
    <w:rsid w:val="002E2C52"/>
    <w:rsid w:val="002E342B"/>
    <w:rsid w:val="002E3B81"/>
    <w:rsid w:val="002E3D08"/>
    <w:rsid w:val="002E3DE2"/>
    <w:rsid w:val="002E3E1D"/>
    <w:rsid w:val="002E3EEA"/>
    <w:rsid w:val="002E49ED"/>
    <w:rsid w:val="002E4D08"/>
    <w:rsid w:val="002E4DA5"/>
    <w:rsid w:val="002E52B8"/>
    <w:rsid w:val="002E5DBF"/>
    <w:rsid w:val="002E5E01"/>
    <w:rsid w:val="002E60F5"/>
    <w:rsid w:val="002E6536"/>
    <w:rsid w:val="002E69F5"/>
    <w:rsid w:val="002E6CAA"/>
    <w:rsid w:val="002E714C"/>
    <w:rsid w:val="002E73EC"/>
    <w:rsid w:val="002F023D"/>
    <w:rsid w:val="002F10EC"/>
    <w:rsid w:val="002F1136"/>
    <w:rsid w:val="002F1231"/>
    <w:rsid w:val="002F1521"/>
    <w:rsid w:val="002F15EE"/>
    <w:rsid w:val="002F3632"/>
    <w:rsid w:val="002F3AFB"/>
    <w:rsid w:val="002F3C41"/>
    <w:rsid w:val="002F4C8E"/>
    <w:rsid w:val="002F5076"/>
    <w:rsid w:val="002F5839"/>
    <w:rsid w:val="002F64D9"/>
    <w:rsid w:val="002F651D"/>
    <w:rsid w:val="002F6648"/>
    <w:rsid w:val="002F6E44"/>
    <w:rsid w:val="002F74FD"/>
    <w:rsid w:val="002F787B"/>
    <w:rsid w:val="002F7974"/>
    <w:rsid w:val="002F7D01"/>
    <w:rsid w:val="0030005C"/>
    <w:rsid w:val="00300369"/>
    <w:rsid w:val="00300731"/>
    <w:rsid w:val="00301D0A"/>
    <w:rsid w:val="003027B8"/>
    <w:rsid w:val="0030293F"/>
    <w:rsid w:val="00302947"/>
    <w:rsid w:val="00302C50"/>
    <w:rsid w:val="003031C2"/>
    <w:rsid w:val="0030334F"/>
    <w:rsid w:val="00303861"/>
    <w:rsid w:val="00304FFF"/>
    <w:rsid w:val="00305557"/>
    <w:rsid w:val="0030561F"/>
    <w:rsid w:val="00305CA3"/>
    <w:rsid w:val="00306E5C"/>
    <w:rsid w:val="00307C19"/>
    <w:rsid w:val="0031058E"/>
    <w:rsid w:val="00310732"/>
    <w:rsid w:val="00310788"/>
    <w:rsid w:val="0031097B"/>
    <w:rsid w:val="00310BC9"/>
    <w:rsid w:val="00311762"/>
    <w:rsid w:val="00311E98"/>
    <w:rsid w:val="00312215"/>
    <w:rsid w:val="0031249C"/>
    <w:rsid w:val="003125C3"/>
    <w:rsid w:val="00312896"/>
    <w:rsid w:val="00312E32"/>
    <w:rsid w:val="00313EAC"/>
    <w:rsid w:val="003142F4"/>
    <w:rsid w:val="0031454E"/>
    <w:rsid w:val="00315564"/>
    <w:rsid w:val="0031611F"/>
    <w:rsid w:val="00316278"/>
    <w:rsid w:val="00316BE7"/>
    <w:rsid w:val="00317A33"/>
    <w:rsid w:val="00320339"/>
    <w:rsid w:val="00320C34"/>
    <w:rsid w:val="00321214"/>
    <w:rsid w:val="003213D5"/>
    <w:rsid w:val="00323737"/>
    <w:rsid w:val="00323AD6"/>
    <w:rsid w:val="00323F27"/>
    <w:rsid w:val="003242EF"/>
    <w:rsid w:val="00325339"/>
    <w:rsid w:val="003255AA"/>
    <w:rsid w:val="003265D5"/>
    <w:rsid w:val="00330CC0"/>
    <w:rsid w:val="003314B6"/>
    <w:rsid w:val="00331A20"/>
    <w:rsid w:val="00331E65"/>
    <w:rsid w:val="00333107"/>
    <w:rsid w:val="0033343B"/>
    <w:rsid w:val="0033393C"/>
    <w:rsid w:val="003357EE"/>
    <w:rsid w:val="00337368"/>
    <w:rsid w:val="00337B4D"/>
    <w:rsid w:val="003407A9"/>
    <w:rsid w:val="00340BA3"/>
    <w:rsid w:val="00340BAF"/>
    <w:rsid w:val="00340C2B"/>
    <w:rsid w:val="00340F9A"/>
    <w:rsid w:val="00341018"/>
    <w:rsid w:val="00341723"/>
    <w:rsid w:val="003420D9"/>
    <w:rsid w:val="003423E0"/>
    <w:rsid w:val="0034301A"/>
    <w:rsid w:val="00343D76"/>
    <w:rsid w:val="00344DFD"/>
    <w:rsid w:val="003451D3"/>
    <w:rsid w:val="00346631"/>
    <w:rsid w:val="00346AAD"/>
    <w:rsid w:val="00346D96"/>
    <w:rsid w:val="0034736A"/>
    <w:rsid w:val="0034747C"/>
    <w:rsid w:val="00347743"/>
    <w:rsid w:val="00347B6C"/>
    <w:rsid w:val="00350BF1"/>
    <w:rsid w:val="0035151C"/>
    <w:rsid w:val="00352254"/>
    <w:rsid w:val="003522A3"/>
    <w:rsid w:val="00353929"/>
    <w:rsid w:val="00353F9E"/>
    <w:rsid w:val="003540D1"/>
    <w:rsid w:val="003545BF"/>
    <w:rsid w:val="0035586A"/>
    <w:rsid w:val="0035611A"/>
    <w:rsid w:val="00356C3D"/>
    <w:rsid w:val="00357667"/>
    <w:rsid w:val="00357DFA"/>
    <w:rsid w:val="00360B75"/>
    <w:rsid w:val="0036151C"/>
    <w:rsid w:val="00361A9B"/>
    <w:rsid w:val="00362CCF"/>
    <w:rsid w:val="003631DB"/>
    <w:rsid w:val="00364524"/>
    <w:rsid w:val="00364B06"/>
    <w:rsid w:val="0036513A"/>
    <w:rsid w:val="00365237"/>
    <w:rsid w:val="0036559C"/>
    <w:rsid w:val="0036587E"/>
    <w:rsid w:val="003660CD"/>
    <w:rsid w:val="003661B8"/>
    <w:rsid w:val="00366AC2"/>
    <w:rsid w:val="00366B08"/>
    <w:rsid w:val="00367496"/>
    <w:rsid w:val="003678BE"/>
    <w:rsid w:val="003700F8"/>
    <w:rsid w:val="00370949"/>
    <w:rsid w:val="0037243B"/>
    <w:rsid w:val="0037251C"/>
    <w:rsid w:val="0037272C"/>
    <w:rsid w:val="00372B9A"/>
    <w:rsid w:val="003731BF"/>
    <w:rsid w:val="00373E82"/>
    <w:rsid w:val="00375287"/>
    <w:rsid w:val="00375791"/>
    <w:rsid w:val="00375826"/>
    <w:rsid w:val="00375994"/>
    <w:rsid w:val="00375C59"/>
    <w:rsid w:val="00375E05"/>
    <w:rsid w:val="00376BB7"/>
    <w:rsid w:val="00376EEE"/>
    <w:rsid w:val="00377BA1"/>
    <w:rsid w:val="00377FF0"/>
    <w:rsid w:val="00380616"/>
    <w:rsid w:val="00381022"/>
    <w:rsid w:val="003814B8"/>
    <w:rsid w:val="00382909"/>
    <w:rsid w:val="00382EE1"/>
    <w:rsid w:val="00384258"/>
    <w:rsid w:val="00385131"/>
    <w:rsid w:val="0038620B"/>
    <w:rsid w:val="003872E1"/>
    <w:rsid w:val="00387647"/>
    <w:rsid w:val="0038791A"/>
    <w:rsid w:val="00390056"/>
    <w:rsid w:val="0039055C"/>
    <w:rsid w:val="00390718"/>
    <w:rsid w:val="00390767"/>
    <w:rsid w:val="00390883"/>
    <w:rsid w:val="00391470"/>
    <w:rsid w:val="003920C4"/>
    <w:rsid w:val="00392184"/>
    <w:rsid w:val="00392652"/>
    <w:rsid w:val="00392B41"/>
    <w:rsid w:val="0039456F"/>
    <w:rsid w:val="003945C8"/>
    <w:rsid w:val="0039480D"/>
    <w:rsid w:val="00395446"/>
    <w:rsid w:val="00396725"/>
    <w:rsid w:val="00396B16"/>
    <w:rsid w:val="00397A28"/>
    <w:rsid w:val="00397E94"/>
    <w:rsid w:val="00397F05"/>
    <w:rsid w:val="00397FD1"/>
    <w:rsid w:val="003A0442"/>
    <w:rsid w:val="003A0899"/>
    <w:rsid w:val="003A1512"/>
    <w:rsid w:val="003A1EB7"/>
    <w:rsid w:val="003A23F3"/>
    <w:rsid w:val="003A2571"/>
    <w:rsid w:val="003A2D82"/>
    <w:rsid w:val="003A337C"/>
    <w:rsid w:val="003A36DA"/>
    <w:rsid w:val="003A38F1"/>
    <w:rsid w:val="003A3D1B"/>
    <w:rsid w:val="003A3F39"/>
    <w:rsid w:val="003A4296"/>
    <w:rsid w:val="003A4549"/>
    <w:rsid w:val="003A47DA"/>
    <w:rsid w:val="003A49B3"/>
    <w:rsid w:val="003A4DC7"/>
    <w:rsid w:val="003A55B4"/>
    <w:rsid w:val="003A55F6"/>
    <w:rsid w:val="003A61B6"/>
    <w:rsid w:val="003A623F"/>
    <w:rsid w:val="003A6C08"/>
    <w:rsid w:val="003A71AD"/>
    <w:rsid w:val="003A7D1D"/>
    <w:rsid w:val="003B1688"/>
    <w:rsid w:val="003B1CF1"/>
    <w:rsid w:val="003B1FA4"/>
    <w:rsid w:val="003B1FE6"/>
    <w:rsid w:val="003B3106"/>
    <w:rsid w:val="003B3974"/>
    <w:rsid w:val="003B39E0"/>
    <w:rsid w:val="003B3DAB"/>
    <w:rsid w:val="003B404D"/>
    <w:rsid w:val="003B4B34"/>
    <w:rsid w:val="003B4CDA"/>
    <w:rsid w:val="003B4F2D"/>
    <w:rsid w:val="003B5BD9"/>
    <w:rsid w:val="003B64A3"/>
    <w:rsid w:val="003B6DB8"/>
    <w:rsid w:val="003B6F59"/>
    <w:rsid w:val="003B72B9"/>
    <w:rsid w:val="003C0136"/>
    <w:rsid w:val="003C0887"/>
    <w:rsid w:val="003C08AF"/>
    <w:rsid w:val="003C2EDD"/>
    <w:rsid w:val="003C3220"/>
    <w:rsid w:val="003C3A47"/>
    <w:rsid w:val="003C3A79"/>
    <w:rsid w:val="003C3DA0"/>
    <w:rsid w:val="003C48F2"/>
    <w:rsid w:val="003C5177"/>
    <w:rsid w:val="003C52B0"/>
    <w:rsid w:val="003C5911"/>
    <w:rsid w:val="003C5CDB"/>
    <w:rsid w:val="003C6465"/>
    <w:rsid w:val="003C65E4"/>
    <w:rsid w:val="003C7712"/>
    <w:rsid w:val="003C7862"/>
    <w:rsid w:val="003C7ECD"/>
    <w:rsid w:val="003D007D"/>
    <w:rsid w:val="003D01A1"/>
    <w:rsid w:val="003D04B4"/>
    <w:rsid w:val="003D04D6"/>
    <w:rsid w:val="003D04F6"/>
    <w:rsid w:val="003D18CC"/>
    <w:rsid w:val="003D3379"/>
    <w:rsid w:val="003D3583"/>
    <w:rsid w:val="003D391E"/>
    <w:rsid w:val="003D3B6F"/>
    <w:rsid w:val="003D40E8"/>
    <w:rsid w:val="003D455E"/>
    <w:rsid w:val="003D5785"/>
    <w:rsid w:val="003D5A2D"/>
    <w:rsid w:val="003D5A9D"/>
    <w:rsid w:val="003D62C0"/>
    <w:rsid w:val="003D65F6"/>
    <w:rsid w:val="003D6911"/>
    <w:rsid w:val="003D7E4B"/>
    <w:rsid w:val="003E0035"/>
    <w:rsid w:val="003E0C14"/>
    <w:rsid w:val="003E0D6F"/>
    <w:rsid w:val="003E1591"/>
    <w:rsid w:val="003E1ACF"/>
    <w:rsid w:val="003E1B49"/>
    <w:rsid w:val="003E216C"/>
    <w:rsid w:val="003E236E"/>
    <w:rsid w:val="003E259D"/>
    <w:rsid w:val="003E26BA"/>
    <w:rsid w:val="003E2906"/>
    <w:rsid w:val="003E2969"/>
    <w:rsid w:val="003E2C1A"/>
    <w:rsid w:val="003E330F"/>
    <w:rsid w:val="003E3478"/>
    <w:rsid w:val="003E4E74"/>
    <w:rsid w:val="003E5F7D"/>
    <w:rsid w:val="003E6520"/>
    <w:rsid w:val="003E67E7"/>
    <w:rsid w:val="003E6B3C"/>
    <w:rsid w:val="003E6B95"/>
    <w:rsid w:val="003E70FF"/>
    <w:rsid w:val="003E7F1B"/>
    <w:rsid w:val="003F0B41"/>
    <w:rsid w:val="003F1E39"/>
    <w:rsid w:val="003F229D"/>
    <w:rsid w:val="003F25F0"/>
    <w:rsid w:val="003F2D5B"/>
    <w:rsid w:val="003F5AD2"/>
    <w:rsid w:val="003F5CA4"/>
    <w:rsid w:val="003F6D50"/>
    <w:rsid w:val="003F7006"/>
    <w:rsid w:val="003F7507"/>
    <w:rsid w:val="003F7C72"/>
    <w:rsid w:val="003F7D10"/>
    <w:rsid w:val="00401000"/>
    <w:rsid w:val="004016C6"/>
    <w:rsid w:val="0040179A"/>
    <w:rsid w:val="00401856"/>
    <w:rsid w:val="004018E3"/>
    <w:rsid w:val="004028A2"/>
    <w:rsid w:val="00402C40"/>
    <w:rsid w:val="00402FEB"/>
    <w:rsid w:val="00403344"/>
    <w:rsid w:val="00403C82"/>
    <w:rsid w:val="00404C44"/>
    <w:rsid w:val="00404EE8"/>
    <w:rsid w:val="0040510D"/>
    <w:rsid w:val="0040512D"/>
    <w:rsid w:val="0040602F"/>
    <w:rsid w:val="00406AFB"/>
    <w:rsid w:val="00407382"/>
    <w:rsid w:val="0040791B"/>
    <w:rsid w:val="00411958"/>
    <w:rsid w:val="00411B2A"/>
    <w:rsid w:val="00412973"/>
    <w:rsid w:val="00412D42"/>
    <w:rsid w:val="00412DA4"/>
    <w:rsid w:val="00412EB6"/>
    <w:rsid w:val="0041351F"/>
    <w:rsid w:val="004137C8"/>
    <w:rsid w:val="004139D2"/>
    <w:rsid w:val="00413BF9"/>
    <w:rsid w:val="00413C25"/>
    <w:rsid w:val="00415531"/>
    <w:rsid w:val="00416330"/>
    <w:rsid w:val="00416515"/>
    <w:rsid w:val="004176C7"/>
    <w:rsid w:val="00417877"/>
    <w:rsid w:val="00417C9B"/>
    <w:rsid w:val="00417D9F"/>
    <w:rsid w:val="00420229"/>
    <w:rsid w:val="00420A03"/>
    <w:rsid w:val="00420DBA"/>
    <w:rsid w:val="00421311"/>
    <w:rsid w:val="004225CF"/>
    <w:rsid w:val="00422E13"/>
    <w:rsid w:val="0042350F"/>
    <w:rsid w:val="00423599"/>
    <w:rsid w:val="0042384C"/>
    <w:rsid w:val="00423893"/>
    <w:rsid w:val="00423BC9"/>
    <w:rsid w:val="004255B4"/>
    <w:rsid w:val="00426766"/>
    <w:rsid w:val="004267D0"/>
    <w:rsid w:val="004279CA"/>
    <w:rsid w:val="00427A82"/>
    <w:rsid w:val="00427EA2"/>
    <w:rsid w:val="00430115"/>
    <w:rsid w:val="00430A4B"/>
    <w:rsid w:val="00431C46"/>
    <w:rsid w:val="004327E6"/>
    <w:rsid w:val="004329DC"/>
    <w:rsid w:val="00432AC6"/>
    <w:rsid w:val="00434C5E"/>
    <w:rsid w:val="00435765"/>
    <w:rsid w:val="004360B6"/>
    <w:rsid w:val="004362E5"/>
    <w:rsid w:val="00436356"/>
    <w:rsid w:val="00440722"/>
    <w:rsid w:val="004410F0"/>
    <w:rsid w:val="004425D9"/>
    <w:rsid w:val="004428F3"/>
    <w:rsid w:val="00443244"/>
    <w:rsid w:val="00444AF6"/>
    <w:rsid w:val="0044519D"/>
    <w:rsid w:val="00445544"/>
    <w:rsid w:val="00445C0B"/>
    <w:rsid w:val="00446195"/>
    <w:rsid w:val="00447CD0"/>
    <w:rsid w:val="00447FC2"/>
    <w:rsid w:val="004502F4"/>
    <w:rsid w:val="00450484"/>
    <w:rsid w:val="004506F4"/>
    <w:rsid w:val="004509D1"/>
    <w:rsid w:val="00450A42"/>
    <w:rsid w:val="004513A5"/>
    <w:rsid w:val="00451D50"/>
    <w:rsid w:val="00452948"/>
    <w:rsid w:val="00452EC4"/>
    <w:rsid w:val="00453340"/>
    <w:rsid w:val="00453775"/>
    <w:rsid w:val="00453890"/>
    <w:rsid w:val="00453B2F"/>
    <w:rsid w:val="00454380"/>
    <w:rsid w:val="0045470C"/>
    <w:rsid w:val="004552C8"/>
    <w:rsid w:val="0045536C"/>
    <w:rsid w:val="004553E2"/>
    <w:rsid w:val="00455A07"/>
    <w:rsid w:val="00455AEB"/>
    <w:rsid w:val="00455DE0"/>
    <w:rsid w:val="0045603C"/>
    <w:rsid w:val="00456053"/>
    <w:rsid w:val="00456068"/>
    <w:rsid w:val="00456896"/>
    <w:rsid w:val="00456ADA"/>
    <w:rsid w:val="00456B0D"/>
    <w:rsid w:val="00457135"/>
    <w:rsid w:val="0045770D"/>
    <w:rsid w:val="0045790F"/>
    <w:rsid w:val="00457D63"/>
    <w:rsid w:val="00457E21"/>
    <w:rsid w:val="0046007E"/>
    <w:rsid w:val="0046024B"/>
    <w:rsid w:val="004606AA"/>
    <w:rsid w:val="00460E36"/>
    <w:rsid w:val="00461155"/>
    <w:rsid w:val="0046218C"/>
    <w:rsid w:val="004623D4"/>
    <w:rsid w:val="00463944"/>
    <w:rsid w:val="0046512A"/>
    <w:rsid w:val="00465234"/>
    <w:rsid w:val="00465ADC"/>
    <w:rsid w:val="00465B24"/>
    <w:rsid w:val="00466858"/>
    <w:rsid w:val="00466D0F"/>
    <w:rsid w:val="0046752B"/>
    <w:rsid w:val="00467544"/>
    <w:rsid w:val="004676BA"/>
    <w:rsid w:val="0046784C"/>
    <w:rsid w:val="00467ECB"/>
    <w:rsid w:val="004710C3"/>
    <w:rsid w:val="00471459"/>
    <w:rsid w:val="00472274"/>
    <w:rsid w:val="004722D4"/>
    <w:rsid w:val="0047259D"/>
    <w:rsid w:val="00472AD0"/>
    <w:rsid w:val="00472D9C"/>
    <w:rsid w:val="00473B60"/>
    <w:rsid w:val="00475AFF"/>
    <w:rsid w:val="00475C05"/>
    <w:rsid w:val="00475D30"/>
    <w:rsid w:val="004765F4"/>
    <w:rsid w:val="00476B4D"/>
    <w:rsid w:val="00476CBC"/>
    <w:rsid w:val="00476E6C"/>
    <w:rsid w:val="00477282"/>
    <w:rsid w:val="00477947"/>
    <w:rsid w:val="004809BD"/>
    <w:rsid w:val="00480FA1"/>
    <w:rsid w:val="00481FD7"/>
    <w:rsid w:val="004822C4"/>
    <w:rsid w:val="00482A59"/>
    <w:rsid w:val="00482DE5"/>
    <w:rsid w:val="00483266"/>
    <w:rsid w:val="0048352E"/>
    <w:rsid w:val="004836A9"/>
    <w:rsid w:val="00483B23"/>
    <w:rsid w:val="004840D7"/>
    <w:rsid w:val="004846F4"/>
    <w:rsid w:val="0048494E"/>
    <w:rsid w:val="00485BFF"/>
    <w:rsid w:val="00485C26"/>
    <w:rsid w:val="00485EC0"/>
    <w:rsid w:val="004875E1"/>
    <w:rsid w:val="00487B37"/>
    <w:rsid w:val="00490636"/>
    <w:rsid w:val="00490FF0"/>
    <w:rsid w:val="004910FE"/>
    <w:rsid w:val="00491198"/>
    <w:rsid w:val="004917E0"/>
    <w:rsid w:val="00491A96"/>
    <w:rsid w:val="00491BF6"/>
    <w:rsid w:val="00491FEC"/>
    <w:rsid w:val="00491FED"/>
    <w:rsid w:val="00492F82"/>
    <w:rsid w:val="004943C2"/>
    <w:rsid w:val="00494918"/>
    <w:rsid w:val="00494C65"/>
    <w:rsid w:val="00494F0C"/>
    <w:rsid w:val="00495557"/>
    <w:rsid w:val="004955E5"/>
    <w:rsid w:val="0049618D"/>
    <w:rsid w:val="004965EF"/>
    <w:rsid w:val="0049719D"/>
    <w:rsid w:val="00497FCD"/>
    <w:rsid w:val="004A0D1E"/>
    <w:rsid w:val="004A0E66"/>
    <w:rsid w:val="004A0EEC"/>
    <w:rsid w:val="004A130F"/>
    <w:rsid w:val="004A1737"/>
    <w:rsid w:val="004A17EF"/>
    <w:rsid w:val="004A1BDA"/>
    <w:rsid w:val="004A22DA"/>
    <w:rsid w:val="004A2700"/>
    <w:rsid w:val="004A36C8"/>
    <w:rsid w:val="004A3721"/>
    <w:rsid w:val="004A3742"/>
    <w:rsid w:val="004A37B8"/>
    <w:rsid w:val="004A3ED3"/>
    <w:rsid w:val="004A47BC"/>
    <w:rsid w:val="004A4AC6"/>
    <w:rsid w:val="004A5708"/>
    <w:rsid w:val="004B0CD9"/>
    <w:rsid w:val="004B1199"/>
    <w:rsid w:val="004B16C4"/>
    <w:rsid w:val="004B1867"/>
    <w:rsid w:val="004B2A64"/>
    <w:rsid w:val="004B416B"/>
    <w:rsid w:val="004B41DA"/>
    <w:rsid w:val="004B470D"/>
    <w:rsid w:val="004B4764"/>
    <w:rsid w:val="004B4846"/>
    <w:rsid w:val="004B5394"/>
    <w:rsid w:val="004B5529"/>
    <w:rsid w:val="004B5BDD"/>
    <w:rsid w:val="004B6E9E"/>
    <w:rsid w:val="004B6F83"/>
    <w:rsid w:val="004B7C29"/>
    <w:rsid w:val="004C06E5"/>
    <w:rsid w:val="004C1B7D"/>
    <w:rsid w:val="004C1E3C"/>
    <w:rsid w:val="004C25F0"/>
    <w:rsid w:val="004C26DD"/>
    <w:rsid w:val="004C2B5D"/>
    <w:rsid w:val="004C2D68"/>
    <w:rsid w:val="004C2F56"/>
    <w:rsid w:val="004C339D"/>
    <w:rsid w:val="004C33E8"/>
    <w:rsid w:val="004C4307"/>
    <w:rsid w:val="004C4309"/>
    <w:rsid w:val="004C49E3"/>
    <w:rsid w:val="004C4E8A"/>
    <w:rsid w:val="004C514A"/>
    <w:rsid w:val="004C6572"/>
    <w:rsid w:val="004C6D4F"/>
    <w:rsid w:val="004C7541"/>
    <w:rsid w:val="004D1491"/>
    <w:rsid w:val="004D1AE8"/>
    <w:rsid w:val="004D1E71"/>
    <w:rsid w:val="004D28DB"/>
    <w:rsid w:val="004D2CDF"/>
    <w:rsid w:val="004D330D"/>
    <w:rsid w:val="004D33CE"/>
    <w:rsid w:val="004D4AAE"/>
    <w:rsid w:val="004D6EC8"/>
    <w:rsid w:val="004D7105"/>
    <w:rsid w:val="004D7C86"/>
    <w:rsid w:val="004E00C8"/>
    <w:rsid w:val="004E0181"/>
    <w:rsid w:val="004E0197"/>
    <w:rsid w:val="004E1122"/>
    <w:rsid w:val="004E1409"/>
    <w:rsid w:val="004E1A87"/>
    <w:rsid w:val="004E1BB0"/>
    <w:rsid w:val="004E3030"/>
    <w:rsid w:val="004E3311"/>
    <w:rsid w:val="004E38EC"/>
    <w:rsid w:val="004E3933"/>
    <w:rsid w:val="004E4549"/>
    <w:rsid w:val="004E4C83"/>
    <w:rsid w:val="004E4D53"/>
    <w:rsid w:val="004E4D84"/>
    <w:rsid w:val="004E4EBC"/>
    <w:rsid w:val="004E5104"/>
    <w:rsid w:val="004E54F2"/>
    <w:rsid w:val="004E5B06"/>
    <w:rsid w:val="004E5FA8"/>
    <w:rsid w:val="004E684C"/>
    <w:rsid w:val="004E6FF1"/>
    <w:rsid w:val="004E76D7"/>
    <w:rsid w:val="004E76DB"/>
    <w:rsid w:val="004F1F90"/>
    <w:rsid w:val="004F2401"/>
    <w:rsid w:val="004F2A44"/>
    <w:rsid w:val="004F2DAD"/>
    <w:rsid w:val="004F34F7"/>
    <w:rsid w:val="004F48E7"/>
    <w:rsid w:val="004F4A70"/>
    <w:rsid w:val="004F55D6"/>
    <w:rsid w:val="004F565A"/>
    <w:rsid w:val="004F571B"/>
    <w:rsid w:val="004F64EB"/>
    <w:rsid w:val="004F7612"/>
    <w:rsid w:val="004F7A74"/>
    <w:rsid w:val="00500250"/>
    <w:rsid w:val="00500264"/>
    <w:rsid w:val="00500824"/>
    <w:rsid w:val="00500DAB"/>
    <w:rsid w:val="00501144"/>
    <w:rsid w:val="005013EF"/>
    <w:rsid w:val="005019E0"/>
    <w:rsid w:val="0050211F"/>
    <w:rsid w:val="005022E7"/>
    <w:rsid w:val="00502A93"/>
    <w:rsid w:val="00504BBA"/>
    <w:rsid w:val="00506083"/>
    <w:rsid w:val="005068D6"/>
    <w:rsid w:val="00506B86"/>
    <w:rsid w:val="00506EEC"/>
    <w:rsid w:val="00506FD4"/>
    <w:rsid w:val="005107FF"/>
    <w:rsid w:val="00510CBC"/>
    <w:rsid w:val="0051102D"/>
    <w:rsid w:val="00511134"/>
    <w:rsid w:val="005112A5"/>
    <w:rsid w:val="00511F48"/>
    <w:rsid w:val="00512448"/>
    <w:rsid w:val="0051253A"/>
    <w:rsid w:val="0051266C"/>
    <w:rsid w:val="00513B72"/>
    <w:rsid w:val="00514D08"/>
    <w:rsid w:val="00515277"/>
    <w:rsid w:val="005158C2"/>
    <w:rsid w:val="005169DE"/>
    <w:rsid w:val="0051754D"/>
    <w:rsid w:val="0051785D"/>
    <w:rsid w:val="00517913"/>
    <w:rsid w:val="0052005F"/>
    <w:rsid w:val="00520200"/>
    <w:rsid w:val="00520E2D"/>
    <w:rsid w:val="00520F04"/>
    <w:rsid w:val="00521717"/>
    <w:rsid w:val="005224B2"/>
    <w:rsid w:val="00523B23"/>
    <w:rsid w:val="00523DFA"/>
    <w:rsid w:val="005254BC"/>
    <w:rsid w:val="005256FC"/>
    <w:rsid w:val="00526C27"/>
    <w:rsid w:val="00526DFF"/>
    <w:rsid w:val="00527473"/>
    <w:rsid w:val="00527EF9"/>
    <w:rsid w:val="005305FF"/>
    <w:rsid w:val="00530C9B"/>
    <w:rsid w:val="005318B9"/>
    <w:rsid w:val="00531F72"/>
    <w:rsid w:val="00532334"/>
    <w:rsid w:val="005324AF"/>
    <w:rsid w:val="0053402C"/>
    <w:rsid w:val="00534090"/>
    <w:rsid w:val="00534ABA"/>
    <w:rsid w:val="00535FFF"/>
    <w:rsid w:val="0053616F"/>
    <w:rsid w:val="005368AD"/>
    <w:rsid w:val="005370BC"/>
    <w:rsid w:val="00537B35"/>
    <w:rsid w:val="00537DE7"/>
    <w:rsid w:val="00537EC4"/>
    <w:rsid w:val="00537FE4"/>
    <w:rsid w:val="0054027D"/>
    <w:rsid w:val="00541222"/>
    <w:rsid w:val="00541A8D"/>
    <w:rsid w:val="00542C63"/>
    <w:rsid w:val="00544DA0"/>
    <w:rsid w:val="005454BD"/>
    <w:rsid w:val="005457E4"/>
    <w:rsid w:val="00545838"/>
    <w:rsid w:val="00546C49"/>
    <w:rsid w:val="0055010B"/>
    <w:rsid w:val="00550D59"/>
    <w:rsid w:val="0055110D"/>
    <w:rsid w:val="00551F81"/>
    <w:rsid w:val="0055210F"/>
    <w:rsid w:val="005529A2"/>
    <w:rsid w:val="00552CD7"/>
    <w:rsid w:val="005533BE"/>
    <w:rsid w:val="00554B30"/>
    <w:rsid w:val="00554FFB"/>
    <w:rsid w:val="00555918"/>
    <w:rsid w:val="005568DE"/>
    <w:rsid w:val="00557C50"/>
    <w:rsid w:val="005606B6"/>
    <w:rsid w:val="005608D6"/>
    <w:rsid w:val="00560F19"/>
    <w:rsid w:val="00561E6B"/>
    <w:rsid w:val="005621D2"/>
    <w:rsid w:val="005621E0"/>
    <w:rsid w:val="00562D90"/>
    <w:rsid w:val="00563A23"/>
    <w:rsid w:val="00563A5A"/>
    <w:rsid w:val="00563C61"/>
    <w:rsid w:val="00563ECB"/>
    <w:rsid w:val="00563F47"/>
    <w:rsid w:val="005640BB"/>
    <w:rsid w:val="00564C23"/>
    <w:rsid w:val="00565406"/>
    <w:rsid w:val="00565570"/>
    <w:rsid w:val="005657DD"/>
    <w:rsid w:val="00565B29"/>
    <w:rsid w:val="005664CC"/>
    <w:rsid w:val="0056664B"/>
    <w:rsid w:val="005669EA"/>
    <w:rsid w:val="00567588"/>
    <w:rsid w:val="00567992"/>
    <w:rsid w:val="005679FC"/>
    <w:rsid w:val="00567C3C"/>
    <w:rsid w:val="005702F8"/>
    <w:rsid w:val="00571231"/>
    <w:rsid w:val="00571767"/>
    <w:rsid w:val="00571E44"/>
    <w:rsid w:val="0057289C"/>
    <w:rsid w:val="00573D7A"/>
    <w:rsid w:val="00573E61"/>
    <w:rsid w:val="0057411B"/>
    <w:rsid w:val="00574525"/>
    <w:rsid w:val="00574778"/>
    <w:rsid w:val="0057498F"/>
    <w:rsid w:val="00574DE9"/>
    <w:rsid w:val="00575DF4"/>
    <w:rsid w:val="0057765D"/>
    <w:rsid w:val="005777FC"/>
    <w:rsid w:val="005808EB"/>
    <w:rsid w:val="00580D37"/>
    <w:rsid w:val="00581FA0"/>
    <w:rsid w:val="00582B90"/>
    <w:rsid w:val="005831A7"/>
    <w:rsid w:val="00583321"/>
    <w:rsid w:val="0058341E"/>
    <w:rsid w:val="00584F3A"/>
    <w:rsid w:val="005853AB"/>
    <w:rsid w:val="00585748"/>
    <w:rsid w:val="005859C5"/>
    <w:rsid w:val="00585C79"/>
    <w:rsid w:val="00586144"/>
    <w:rsid w:val="0058771B"/>
    <w:rsid w:val="00587785"/>
    <w:rsid w:val="0058788D"/>
    <w:rsid w:val="00587E29"/>
    <w:rsid w:val="00587FE6"/>
    <w:rsid w:val="00591698"/>
    <w:rsid w:val="00592B30"/>
    <w:rsid w:val="00593B87"/>
    <w:rsid w:val="00593C1C"/>
    <w:rsid w:val="00593E94"/>
    <w:rsid w:val="00594143"/>
    <w:rsid w:val="00594543"/>
    <w:rsid w:val="00594612"/>
    <w:rsid w:val="00595873"/>
    <w:rsid w:val="00595CDD"/>
    <w:rsid w:val="005964BB"/>
    <w:rsid w:val="00596A70"/>
    <w:rsid w:val="00596BD3"/>
    <w:rsid w:val="00596BE7"/>
    <w:rsid w:val="00596C3E"/>
    <w:rsid w:val="005977DD"/>
    <w:rsid w:val="005A04BD"/>
    <w:rsid w:val="005A0A3F"/>
    <w:rsid w:val="005A114F"/>
    <w:rsid w:val="005A115E"/>
    <w:rsid w:val="005A1F49"/>
    <w:rsid w:val="005A2364"/>
    <w:rsid w:val="005A2480"/>
    <w:rsid w:val="005A27A6"/>
    <w:rsid w:val="005A2B2C"/>
    <w:rsid w:val="005A2BCB"/>
    <w:rsid w:val="005A2D6B"/>
    <w:rsid w:val="005A3252"/>
    <w:rsid w:val="005A33F7"/>
    <w:rsid w:val="005A40CF"/>
    <w:rsid w:val="005A4A9C"/>
    <w:rsid w:val="005A4BAE"/>
    <w:rsid w:val="005A4F39"/>
    <w:rsid w:val="005A574D"/>
    <w:rsid w:val="005A5B5C"/>
    <w:rsid w:val="005A6E93"/>
    <w:rsid w:val="005A7027"/>
    <w:rsid w:val="005A707A"/>
    <w:rsid w:val="005A7340"/>
    <w:rsid w:val="005A7F93"/>
    <w:rsid w:val="005B07EA"/>
    <w:rsid w:val="005B0B20"/>
    <w:rsid w:val="005B0BD6"/>
    <w:rsid w:val="005B0EFB"/>
    <w:rsid w:val="005B1060"/>
    <w:rsid w:val="005B12B9"/>
    <w:rsid w:val="005B17C1"/>
    <w:rsid w:val="005B32DE"/>
    <w:rsid w:val="005B35C6"/>
    <w:rsid w:val="005B3737"/>
    <w:rsid w:val="005B3A42"/>
    <w:rsid w:val="005B3AAA"/>
    <w:rsid w:val="005B5D40"/>
    <w:rsid w:val="005B5EFC"/>
    <w:rsid w:val="005B6412"/>
    <w:rsid w:val="005B6698"/>
    <w:rsid w:val="005B68A7"/>
    <w:rsid w:val="005B6AC3"/>
    <w:rsid w:val="005C055E"/>
    <w:rsid w:val="005C0FA1"/>
    <w:rsid w:val="005C1615"/>
    <w:rsid w:val="005C1D98"/>
    <w:rsid w:val="005C1DA5"/>
    <w:rsid w:val="005C2559"/>
    <w:rsid w:val="005C2873"/>
    <w:rsid w:val="005C34FC"/>
    <w:rsid w:val="005C3B5C"/>
    <w:rsid w:val="005C3C7F"/>
    <w:rsid w:val="005C5143"/>
    <w:rsid w:val="005C5325"/>
    <w:rsid w:val="005C5639"/>
    <w:rsid w:val="005C5742"/>
    <w:rsid w:val="005C5C4A"/>
    <w:rsid w:val="005C6F82"/>
    <w:rsid w:val="005C760E"/>
    <w:rsid w:val="005C7E9E"/>
    <w:rsid w:val="005D18C9"/>
    <w:rsid w:val="005D1B72"/>
    <w:rsid w:val="005D2471"/>
    <w:rsid w:val="005D25A3"/>
    <w:rsid w:val="005D2779"/>
    <w:rsid w:val="005D3242"/>
    <w:rsid w:val="005D610C"/>
    <w:rsid w:val="005D6254"/>
    <w:rsid w:val="005D74E7"/>
    <w:rsid w:val="005D7F7B"/>
    <w:rsid w:val="005E0F8E"/>
    <w:rsid w:val="005E3BCD"/>
    <w:rsid w:val="005E4A87"/>
    <w:rsid w:val="005E4DA5"/>
    <w:rsid w:val="005E503E"/>
    <w:rsid w:val="005E59C7"/>
    <w:rsid w:val="005E5E7B"/>
    <w:rsid w:val="005E6095"/>
    <w:rsid w:val="005E6A3F"/>
    <w:rsid w:val="005E6DB8"/>
    <w:rsid w:val="005E7228"/>
    <w:rsid w:val="005E7284"/>
    <w:rsid w:val="005E7BAC"/>
    <w:rsid w:val="005F0E5C"/>
    <w:rsid w:val="005F134E"/>
    <w:rsid w:val="005F1365"/>
    <w:rsid w:val="005F252A"/>
    <w:rsid w:val="005F2C1F"/>
    <w:rsid w:val="005F2E44"/>
    <w:rsid w:val="005F3690"/>
    <w:rsid w:val="005F392A"/>
    <w:rsid w:val="005F3986"/>
    <w:rsid w:val="005F4C57"/>
    <w:rsid w:val="005F6774"/>
    <w:rsid w:val="005F6B00"/>
    <w:rsid w:val="005F790F"/>
    <w:rsid w:val="005F79AA"/>
    <w:rsid w:val="0060044B"/>
    <w:rsid w:val="006013D7"/>
    <w:rsid w:val="006014DB"/>
    <w:rsid w:val="00601587"/>
    <w:rsid w:val="00602079"/>
    <w:rsid w:val="006022F3"/>
    <w:rsid w:val="00602579"/>
    <w:rsid w:val="00602BA4"/>
    <w:rsid w:val="00602DA2"/>
    <w:rsid w:val="00602FF4"/>
    <w:rsid w:val="00603228"/>
    <w:rsid w:val="00604ACD"/>
    <w:rsid w:val="00604C15"/>
    <w:rsid w:val="00604DC2"/>
    <w:rsid w:val="00605082"/>
    <w:rsid w:val="006060C4"/>
    <w:rsid w:val="006065C5"/>
    <w:rsid w:val="00607C35"/>
    <w:rsid w:val="00611777"/>
    <w:rsid w:val="0061189F"/>
    <w:rsid w:val="0061219B"/>
    <w:rsid w:val="00612519"/>
    <w:rsid w:val="00612D05"/>
    <w:rsid w:val="00612E54"/>
    <w:rsid w:val="00613EC5"/>
    <w:rsid w:val="00613FB6"/>
    <w:rsid w:val="006140C6"/>
    <w:rsid w:val="00614134"/>
    <w:rsid w:val="00614241"/>
    <w:rsid w:val="0061428D"/>
    <w:rsid w:val="00615411"/>
    <w:rsid w:val="0061599E"/>
    <w:rsid w:val="00615AC7"/>
    <w:rsid w:val="006162E6"/>
    <w:rsid w:val="00616DFD"/>
    <w:rsid w:val="006171A5"/>
    <w:rsid w:val="00620309"/>
    <w:rsid w:val="0062159D"/>
    <w:rsid w:val="00621680"/>
    <w:rsid w:val="00621EC5"/>
    <w:rsid w:val="006223E0"/>
    <w:rsid w:val="00622457"/>
    <w:rsid w:val="006224D0"/>
    <w:rsid w:val="00622BCE"/>
    <w:rsid w:val="00622E29"/>
    <w:rsid w:val="00623643"/>
    <w:rsid w:val="00624018"/>
    <w:rsid w:val="006240C4"/>
    <w:rsid w:val="00624B3C"/>
    <w:rsid w:val="00625304"/>
    <w:rsid w:val="0062581B"/>
    <w:rsid w:val="00625E4C"/>
    <w:rsid w:val="006261F4"/>
    <w:rsid w:val="00626322"/>
    <w:rsid w:val="0063164E"/>
    <w:rsid w:val="0063191D"/>
    <w:rsid w:val="00633488"/>
    <w:rsid w:val="00633581"/>
    <w:rsid w:val="006339AF"/>
    <w:rsid w:val="00633C47"/>
    <w:rsid w:val="006348F7"/>
    <w:rsid w:val="0063512D"/>
    <w:rsid w:val="0063584C"/>
    <w:rsid w:val="006358FB"/>
    <w:rsid w:val="00635AE2"/>
    <w:rsid w:val="00635E1E"/>
    <w:rsid w:val="0063677C"/>
    <w:rsid w:val="00636972"/>
    <w:rsid w:val="00636B69"/>
    <w:rsid w:val="00636BC2"/>
    <w:rsid w:val="006404B1"/>
    <w:rsid w:val="006404D1"/>
    <w:rsid w:val="006404DE"/>
    <w:rsid w:val="00640F43"/>
    <w:rsid w:val="006412CA"/>
    <w:rsid w:val="00641FEB"/>
    <w:rsid w:val="006420DA"/>
    <w:rsid w:val="00642A0A"/>
    <w:rsid w:val="006437A6"/>
    <w:rsid w:val="00643AC1"/>
    <w:rsid w:val="00643D62"/>
    <w:rsid w:val="00644A51"/>
    <w:rsid w:val="00644A5E"/>
    <w:rsid w:val="00644A6C"/>
    <w:rsid w:val="00644D69"/>
    <w:rsid w:val="006457A8"/>
    <w:rsid w:val="00645EA0"/>
    <w:rsid w:val="00645F76"/>
    <w:rsid w:val="00646EB0"/>
    <w:rsid w:val="0064714D"/>
    <w:rsid w:val="0064727D"/>
    <w:rsid w:val="00647B32"/>
    <w:rsid w:val="00647C27"/>
    <w:rsid w:val="006519E6"/>
    <w:rsid w:val="00651CDE"/>
    <w:rsid w:val="00652326"/>
    <w:rsid w:val="00652477"/>
    <w:rsid w:val="006524F6"/>
    <w:rsid w:val="00652907"/>
    <w:rsid w:val="00652E06"/>
    <w:rsid w:val="00653F9E"/>
    <w:rsid w:val="00653FC4"/>
    <w:rsid w:val="00654F91"/>
    <w:rsid w:val="00655361"/>
    <w:rsid w:val="00656253"/>
    <w:rsid w:val="00656397"/>
    <w:rsid w:val="00656799"/>
    <w:rsid w:val="00656B39"/>
    <w:rsid w:val="00656B77"/>
    <w:rsid w:val="00656E72"/>
    <w:rsid w:val="006578A1"/>
    <w:rsid w:val="0066137B"/>
    <w:rsid w:val="0066174E"/>
    <w:rsid w:val="00661BBB"/>
    <w:rsid w:val="00661E57"/>
    <w:rsid w:val="006629E4"/>
    <w:rsid w:val="0066352E"/>
    <w:rsid w:val="00663783"/>
    <w:rsid w:val="00663E47"/>
    <w:rsid w:val="006644A7"/>
    <w:rsid w:val="00664BDE"/>
    <w:rsid w:val="0066565B"/>
    <w:rsid w:val="00665C44"/>
    <w:rsid w:val="00666284"/>
    <w:rsid w:val="006667F3"/>
    <w:rsid w:val="0066740F"/>
    <w:rsid w:val="00667AEA"/>
    <w:rsid w:val="006703C8"/>
    <w:rsid w:val="006704FA"/>
    <w:rsid w:val="00670687"/>
    <w:rsid w:val="00670DC5"/>
    <w:rsid w:val="00671652"/>
    <w:rsid w:val="00671FAA"/>
    <w:rsid w:val="00672ABF"/>
    <w:rsid w:val="00675DA5"/>
    <w:rsid w:val="00677713"/>
    <w:rsid w:val="00680482"/>
    <w:rsid w:val="006808DC"/>
    <w:rsid w:val="006816B6"/>
    <w:rsid w:val="006820EB"/>
    <w:rsid w:val="00682128"/>
    <w:rsid w:val="0068220C"/>
    <w:rsid w:val="00682AB1"/>
    <w:rsid w:val="00682E9F"/>
    <w:rsid w:val="00683252"/>
    <w:rsid w:val="0068343A"/>
    <w:rsid w:val="006834D4"/>
    <w:rsid w:val="0068413D"/>
    <w:rsid w:val="006844BA"/>
    <w:rsid w:val="006845A2"/>
    <w:rsid w:val="00684BF8"/>
    <w:rsid w:val="00684D9B"/>
    <w:rsid w:val="006858AA"/>
    <w:rsid w:val="00685BCF"/>
    <w:rsid w:val="006871D0"/>
    <w:rsid w:val="0068751F"/>
    <w:rsid w:val="006900D1"/>
    <w:rsid w:val="00690297"/>
    <w:rsid w:val="0069115A"/>
    <w:rsid w:val="006912F1"/>
    <w:rsid w:val="00691387"/>
    <w:rsid w:val="006927F2"/>
    <w:rsid w:val="006931E1"/>
    <w:rsid w:val="0069407A"/>
    <w:rsid w:val="00694310"/>
    <w:rsid w:val="00694700"/>
    <w:rsid w:val="00694803"/>
    <w:rsid w:val="00694CE8"/>
    <w:rsid w:val="0069569E"/>
    <w:rsid w:val="006956C6"/>
    <w:rsid w:val="00696EE3"/>
    <w:rsid w:val="0069715D"/>
    <w:rsid w:val="00697392"/>
    <w:rsid w:val="006973E5"/>
    <w:rsid w:val="00697664"/>
    <w:rsid w:val="00697681"/>
    <w:rsid w:val="0069770C"/>
    <w:rsid w:val="006A0214"/>
    <w:rsid w:val="006A08F2"/>
    <w:rsid w:val="006A151A"/>
    <w:rsid w:val="006A1E62"/>
    <w:rsid w:val="006A2294"/>
    <w:rsid w:val="006A2A12"/>
    <w:rsid w:val="006A2E9C"/>
    <w:rsid w:val="006A35E0"/>
    <w:rsid w:val="006A377F"/>
    <w:rsid w:val="006A384A"/>
    <w:rsid w:val="006A3875"/>
    <w:rsid w:val="006A3D40"/>
    <w:rsid w:val="006A44A1"/>
    <w:rsid w:val="006A561D"/>
    <w:rsid w:val="006A5A0C"/>
    <w:rsid w:val="006A5BA0"/>
    <w:rsid w:val="006A5BB1"/>
    <w:rsid w:val="006A5F88"/>
    <w:rsid w:val="006A7D95"/>
    <w:rsid w:val="006B120D"/>
    <w:rsid w:val="006B13C1"/>
    <w:rsid w:val="006B2CC7"/>
    <w:rsid w:val="006B3AF9"/>
    <w:rsid w:val="006B44C5"/>
    <w:rsid w:val="006B555F"/>
    <w:rsid w:val="006B6242"/>
    <w:rsid w:val="006B6C7C"/>
    <w:rsid w:val="006B6EA4"/>
    <w:rsid w:val="006B77BB"/>
    <w:rsid w:val="006B7F8F"/>
    <w:rsid w:val="006B7FC5"/>
    <w:rsid w:val="006C055E"/>
    <w:rsid w:val="006C0D13"/>
    <w:rsid w:val="006C187F"/>
    <w:rsid w:val="006C19BC"/>
    <w:rsid w:val="006C19D5"/>
    <w:rsid w:val="006C1B44"/>
    <w:rsid w:val="006C1F77"/>
    <w:rsid w:val="006C2211"/>
    <w:rsid w:val="006C3031"/>
    <w:rsid w:val="006C3607"/>
    <w:rsid w:val="006C3990"/>
    <w:rsid w:val="006C3ED2"/>
    <w:rsid w:val="006C4233"/>
    <w:rsid w:val="006C42E7"/>
    <w:rsid w:val="006C42EC"/>
    <w:rsid w:val="006C4422"/>
    <w:rsid w:val="006C4B2E"/>
    <w:rsid w:val="006C5A0B"/>
    <w:rsid w:val="006C5CCA"/>
    <w:rsid w:val="006C625F"/>
    <w:rsid w:val="006C78A6"/>
    <w:rsid w:val="006C7AB4"/>
    <w:rsid w:val="006D006B"/>
    <w:rsid w:val="006D105C"/>
    <w:rsid w:val="006D1DE2"/>
    <w:rsid w:val="006D27ED"/>
    <w:rsid w:val="006D30E7"/>
    <w:rsid w:val="006D48E7"/>
    <w:rsid w:val="006D4947"/>
    <w:rsid w:val="006D5F16"/>
    <w:rsid w:val="006D63AD"/>
    <w:rsid w:val="006D6764"/>
    <w:rsid w:val="006D67D9"/>
    <w:rsid w:val="006D6C93"/>
    <w:rsid w:val="006D7573"/>
    <w:rsid w:val="006D7EFC"/>
    <w:rsid w:val="006E0340"/>
    <w:rsid w:val="006E06F9"/>
    <w:rsid w:val="006E07A9"/>
    <w:rsid w:val="006E0D91"/>
    <w:rsid w:val="006E1706"/>
    <w:rsid w:val="006E1E5D"/>
    <w:rsid w:val="006E3CB2"/>
    <w:rsid w:val="006E3DA8"/>
    <w:rsid w:val="006E5DAA"/>
    <w:rsid w:val="006E69C3"/>
    <w:rsid w:val="006E7006"/>
    <w:rsid w:val="006F00E7"/>
    <w:rsid w:val="006F047E"/>
    <w:rsid w:val="006F04C6"/>
    <w:rsid w:val="006F0F6E"/>
    <w:rsid w:val="006F1B22"/>
    <w:rsid w:val="006F1BA4"/>
    <w:rsid w:val="006F2259"/>
    <w:rsid w:val="006F23E1"/>
    <w:rsid w:val="006F2F8F"/>
    <w:rsid w:val="006F2FDA"/>
    <w:rsid w:val="006F2FE5"/>
    <w:rsid w:val="006F3460"/>
    <w:rsid w:val="006F34FE"/>
    <w:rsid w:val="006F3615"/>
    <w:rsid w:val="006F3FA3"/>
    <w:rsid w:val="006F4506"/>
    <w:rsid w:val="006F48BA"/>
    <w:rsid w:val="006F4AF9"/>
    <w:rsid w:val="006F54EB"/>
    <w:rsid w:val="006F5CC1"/>
    <w:rsid w:val="006F67A5"/>
    <w:rsid w:val="006F762D"/>
    <w:rsid w:val="006F7B29"/>
    <w:rsid w:val="00700492"/>
    <w:rsid w:val="007009AC"/>
    <w:rsid w:val="0070167E"/>
    <w:rsid w:val="00701E1B"/>
    <w:rsid w:val="00702ED0"/>
    <w:rsid w:val="00703C09"/>
    <w:rsid w:val="0070434A"/>
    <w:rsid w:val="007048C4"/>
    <w:rsid w:val="00704CC4"/>
    <w:rsid w:val="00705345"/>
    <w:rsid w:val="0070638D"/>
    <w:rsid w:val="00706749"/>
    <w:rsid w:val="00706DBF"/>
    <w:rsid w:val="00707A59"/>
    <w:rsid w:val="0071046B"/>
    <w:rsid w:val="007106D6"/>
    <w:rsid w:val="00710AC6"/>
    <w:rsid w:val="00710C1D"/>
    <w:rsid w:val="007110A3"/>
    <w:rsid w:val="00711108"/>
    <w:rsid w:val="00711213"/>
    <w:rsid w:val="007112A1"/>
    <w:rsid w:val="00711996"/>
    <w:rsid w:val="00711B3B"/>
    <w:rsid w:val="00711BA3"/>
    <w:rsid w:val="00711C9D"/>
    <w:rsid w:val="00712B71"/>
    <w:rsid w:val="00712E55"/>
    <w:rsid w:val="00713023"/>
    <w:rsid w:val="0071322C"/>
    <w:rsid w:val="00713779"/>
    <w:rsid w:val="00713989"/>
    <w:rsid w:val="00713BF7"/>
    <w:rsid w:val="00713DCF"/>
    <w:rsid w:val="00714004"/>
    <w:rsid w:val="0071458E"/>
    <w:rsid w:val="007145C9"/>
    <w:rsid w:val="00714631"/>
    <w:rsid w:val="007147C7"/>
    <w:rsid w:val="00714B6E"/>
    <w:rsid w:val="007150E4"/>
    <w:rsid w:val="0071512F"/>
    <w:rsid w:val="00715C61"/>
    <w:rsid w:val="007169AC"/>
    <w:rsid w:val="007169DD"/>
    <w:rsid w:val="00717679"/>
    <w:rsid w:val="00717B67"/>
    <w:rsid w:val="007206A2"/>
    <w:rsid w:val="00720B38"/>
    <w:rsid w:val="00720CA7"/>
    <w:rsid w:val="0072147B"/>
    <w:rsid w:val="0072181E"/>
    <w:rsid w:val="00722267"/>
    <w:rsid w:val="0072285E"/>
    <w:rsid w:val="00722C62"/>
    <w:rsid w:val="0072321F"/>
    <w:rsid w:val="00723295"/>
    <w:rsid w:val="0072337E"/>
    <w:rsid w:val="007238E2"/>
    <w:rsid w:val="007239B4"/>
    <w:rsid w:val="00724446"/>
    <w:rsid w:val="00724584"/>
    <w:rsid w:val="00724AA1"/>
    <w:rsid w:val="00724D39"/>
    <w:rsid w:val="00725351"/>
    <w:rsid w:val="00725A19"/>
    <w:rsid w:val="00726356"/>
    <w:rsid w:val="007268C7"/>
    <w:rsid w:val="00726AAB"/>
    <w:rsid w:val="00726E46"/>
    <w:rsid w:val="00727077"/>
    <w:rsid w:val="00730EA6"/>
    <w:rsid w:val="00731C15"/>
    <w:rsid w:val="00732045"/>
    <w:rsid w:val="007322A0"/>
    <w:rsid w:val="00732B39"/>
    <w:rsid w:val="00732C1A"/>
    <w:rsid w:val="00733CDC"/>
    <w:rsid w:val="00734B9A"/>
    <w:rsid w:val="0073545B"/>
    <w:rsid w:val="00735695"/>
    <w:rsid w:val="007360CB"/>
    <w:rsid w:val="00737566"/>
    <w:rsid w:val="0074022F"/>
    <w:rsid w:val="00740384"/>
    <w:rsid w:val="0074110F"/>
    <w:rsid w:val="00741BA2"/>
    <w:rsid w:val="00741CF4"/>
    <w:rsid w:val="00741DCC"/>
    <w:rsid w:val="00741DE2"/>
    <w:rsid w:val="007421A1"/>
    <w:rsid w:val="00742516"/>
    <w:rsid w:val="007427FE"/>
    <w:rsid w:val="00742C51"/>
    <w:rsid w:val="00742D12"/>
    <w:rsid w:val="00743445"/>
    <w:rsid w:val="00744742"/>
    <w:rsid w:val="00745E01"/>
    <w:rsid w:val="0074666B"/>
    <w:rsid w:val="007468D6"/>
    <w:rsid w:val="0074690D"/>
    <w:rsid w:val="00746BFF"/>
    <w:rsid w:val="007473E1"/>
    <w:rsid w:val="0074769E"/>
    <w:rsid w:val="00747897"/>
    <w:rsid w:val="00747E47"/>
    <w:rsid w:val="00750192"/>
    <w:rsid w:val="007504E1"/>
    <w:rsid w:val="00750544"/>
    <w:rsid w:val="00750804"/>
    <w:rsid w:val="007509AB"/>
    <w:rsid w:val="00751176"/>
    <w:rsid w:val="00751689"/>
    <w:rsid w:val="007524AA"/>
    <w:rsid w:val="00753744"/>
    <w:rsid w:val="00753A93"/>
    <w:rsid w:val="00755663"/>
    <w:rsid w:val="00756386"/>
    <w:rsid w:val="00756603"/>
    <w:rsid w:val="007575C0"/>
    <w:rsid w:val="00757D2F"/>
    <w:rsid w:val="0076000E"/>
    <w:rsid w:val="00760C00"/>
    <w:rsid w:val="00760EA3"/>
    <w:rsid w:val="007610E9"/>
    <w:rsid w:val="00761728"/>
    <w:rsid w:val="00761C6C"/>
    <w:rsid w:val="00762B72"/>
    <w:rsid w:val="00763CCB"/>
    <w:rsid w:val="007642B4"/>
    <w:rsid w:val="00764C45"/>
    <w:rsid w:val="007650A9"/>
    <w:rsid w:val="00766277"/>
    <w:rsid w:val="0076656A"/>
    <w:rsid w:val="00766701"/>
    <w:rsid w:val="00766911"/>
    <w:rsid w:val="00767793"/>
    <w:rsid w:val="007679D8"/>
    <w:rsid w:val="00770803"/>
    <w:rsid w:val="00771319"/>
    <w:rsid w:val="007713E8"/>
    <w:rsid w:val="00771794"/>
    <w:rsid w:val="00771CCF"/>
    <w:rsid w:val="00771F7D"/>
    <w:rsid w:val="00772C3E"/>
    <w:rsid w:val="007736E8"/>
    <w:rsid w:val="00774400"/>
    <w:rsid w:val="00774ACE"/>
    <w:rsid w:val="00775823"/>
    <w:rsid w:val="00775F57"/>
    <w:rsid w:val="00776584"/>
    <w:rsid w:val="007769EF"/>
    <w:rsid w:val="00776D4F"/>
    <w:rsid w:val="00776DDC"/>
    <w:rsid w:val="007770F9"/>
    <w:rsid w:val="00777179"/>
    <w:rsid w:val="00777945"/>
    <w:rsid w:val="00777D40"/>
    <w:rsid w:val="00780B8D"/>
    <w:rsid w:val="00780B8E"/>
    <w:rsid w:val="00781649"/>
    <w:rsid w:val="007817E5"/>
    <w:rsid w:val="007823D6"/>
    <w:rsid w:val="0078254E"/>
    <w:rsid w:val="00782628"/>
    <w:rsid w:val="007826AB"/>
    <w:rsid w:val="007840E2"/>
    <w:rsid w:val="0078569F"/>
    <w:rsid w:val="00785803"/>
    <w:rsid w:val="00785EB4"/>
    <w:rsid w:val="0078609A"/>
    <w:rsid w:val="00786E7B"/>
    <w:rsid w:val="00786F85"/>
    <w:rsid w:val="0078731A"/>
    <w:rsid w:val="00787487"/>
    <w:rsid w:val="007906F1"/>
    <w:rsid w:val="00790EDA"/>
    <w:rsid w:val="00791349"/>
    <w:rsid w:val="00791D85"/>
    <w:rsid w:val="00791DAF"/>
    <w:rsid w:val="007924CA"/>
    <w:rsid w:val="00794CBF"/>
    <w:rsid w:val="0079523D"/>
    <w:rsid w:val="00795365"/>
    <w:rsid w:val="0079567E"/>
    <w:rsid w:val="007961D5"/>
    <w:rsid w:val="00796A6F"/>
    <w:rsid w:val="00796C5D"/>
    <w:rsid w:val="00797B06"/>
    <w:rsid w:val="00797B9C"/>
    <w:rsid w:val="007A01A5"/>
    <w:rsid w:val="007A0483"/>
    <w:rsid w:val="007A1065"/>
    <w:rsid w:val="007A1D86"/>
    <w:rsid w:val="007A2A97"/>
    <w:rsid w:val="007A2CDC"/>
    <w:rsid w:val="007A2EA4"/>
    <w:rsid w:val="007A371B"/>
    <w:rsid w:val="007A3832"/>
    <w:rsid w:val="007A3A0F"/>
    <w:rsid w:val="007A3E60"/>
    <w:rsid w:val="007A407D"/>
    <w:rsid w:val="007A42C3"/>
    <w:rsid w:val="007A4433"/>
    <w:rsid w:val="007A464F"/>
    <w:rsid w:val="007A6196"/>
    <w:rsid w:val="007A63D5"/>
    <w:rsid w:val="007A689A"/>
    <w:rsid w:val="007A68EA"/>
    <w:rsid w:val="007A6B7D"/>
    <w:rsid w:val="007A7629"/>
    <w:rsid w:val="007B1027"/>
    <w:rsid w:val="007B1691"/>
    <w:rsid w:val="007B174F"/>
    <w:rsid w:val="007B1863"/>
    <w:rsid w:val="007B22E0"/>
    <w:rsid w:val="007B28CA"/>
    <w:rsid w:val="007B358D"/>
    <w:rsid w:val="007B5271"/>
    <w:rsid w:val="007B5401"/>
    <w:rsid w:val="007B5FB4"/>
    <w:rsid w:val="007B6B2B"/>
    <w:rsid w:val="007B7906"/>
    <w:rsid w:val="007B7949"/>
    <w:rsid w:val="007B7D30"/>
    <w:rsid w:val="007C06A1"/>
    <w:rsid w:val="007C0FA9"/>
    <w:rsid w:val="007C2413"/>
    <w:rsid w:val="007C25AE"/>
    <w:rsid w:val="007C3152"/>
    <w:rsid w:val="007C333B"/>
    <w:rsid w:val="007C3914"/>
    <w:rsid w:val="007C3CEA"/>
    <w:rsid w:val="007C3D92"/>
    <w:rsid w:val="007C3E98"/>
    <w:rsid w:val="007C5A8F"/>
    <w:rsid w:val="007C5B38"/>
    <w:rsid w:val="007C76E8"/>
    <w:rsid w:val="007D01E6"/>
    <w:rsid w:val="007D035E"/>
    <w:rsid w:val="007D0396"/>
    <w:rsid w:val="007D0644"/>
    <w:rsid w:val="007D1801"/>
    <w:rsid w:val="007D1FE0"/>
    <w:rsid w:val="007D20BB"/>
    <w:rsid w:val="007D261E"/>
    <w:rsid w:val="007D2F61"/>
    <w:rsid w:val="007D3004"/>
    <w:rsid w:val="007D3D0E"/>
    <w:rsid w:val="007D3D33"/>
    <w:rsid w:val="007D41C2"/>
    <w:rsid w:val="007D4F02"/>
    <w:rsid w:val="007D5701"/>
    <w:rsid w:val="007D674C"/>
    <w:rsid w:val="007D6B7B"/>
    <w:rsid w:val="007D6CF1"/>
    <w:rsid w:val="007D7131"/>
    <w:rsid w:val="007D7BEC"/>
    <w:rsid w:val="007D7CE3"/>
    <w:rsid w:val="007E051A"/>
    <w:rsid w:val="007E0798"/>
    <w:rsid w:val="007E1B72"/>
    <w:rsid w:val="007E3EE3"/>
    <w:rsid w:val="007E57DE"/>
    <w:rsid w:val="007E5902"/>
    <w:rsid w:val="007E6719"/>
    <w:rsid w:val="007E68ED"/>
    <w:rsid w:val="007E69ED"/>
    <w:rsid w:val="007E7B2D"/>
    <w:rsid w:val="007F0221"/>
    <w:rsid w:val="007F034B"/>
    <w:rsid w:val="007F07B9"/>
    <w:rsid w:val="007F0928"/>
    <w:rsid w:val="007F0C90"/>
    <w:rsid w:val="007F15CE"/>
    <w:rsid w:val="007F1E88"/>
    <w:rsid w:val="007F2CD7"/>
    <w:rsid w:val="007F3568"/>
    <w:rsid w:val="007F422D"/>
    <w:rsid w:val="007F4C33"/>
    <w:rsid w:val="007F4DBA"/>
    <w:rsid w:val="007F519C"/>
    <w:rsid w:val="007F534D"/>
    <w:rsid w:val="007F54A2"/>
    <w:rsid w:val="007F54FE"/>
    <w:rsid w:val="007F5535"/>
    <w:rsid w:val="007F5D32"/>
    <w:rsid w:val="007F5F64"/>
    <w:rsid w:val="007F700E"/>
    <w:rsid w:val="007F72DC"/>
    <w:rsid w:val="007F795F"/>
    <w:rsid w:val="0080069C"/>
    <w:rsid w:val="008006FD"/>
    <w:rsid w:val="0080148D"/>
    <w:rsid w:val="0080156B"/>
    <w:rsid w:val="00801A3A"/>
    <w:rsid w:val="00804114"/>
    <w:rsid w:val="00804634"/>
    <w:rsid w:val="008047E8"/>
    <w:rsid w:val="0080531E"/>
    <w:rsid w:val="00805C3D"/>
    <w:rsid w:val="0080656A"/>
    <w:rsid w:val="00806F1D"/>
    <w:rsid w:val="008077ED"/>
    <w:rsid w:val="00807885"/>
    <w:rsid w:val="00807B6F"/>
    <w:rsid w:val="00807E93"/>
    <w:rsid w:val="00810172"/>
    <w:rsid w:val="00810762"/>
    <w:rsid w:val="00810858"/>
    <w:rsid w:val="00810EFF"/>
    <w:rsid w:val="00811314"/>
    <w:rsid w:val="00811A39"/>
    <w:rsid w:val="00811C5F"/>
    <w:rsid w:val="008124A6"/>
    <w:rsid w:val="0081291B"/>
    <w:rsid w:val="00813622"/>
    <w:rsid w:val="00813DCF"/>
    <w:rsid w:val="00813FAB"/>
    <w:rsid w:val="0081498C"/>
    <w:rsid w:val="00814AE1"/>
    <w:rsid w:val="00815D31"/>
    <w:rsid w:val="0081601F"/>
    <w:rsid w:val="00816064"/>
    <w:rsid w:val="008174B2"/>
    <w:rsid w:val="00817CFF"/>
    <w:rsid w:val="0082000D"/>
    <w:rsid w:val="0082037E"/>
    <w:rsid w:val="00820C9C"/>
    <w:rsid w:val="00820F55"/>
    <w:rsid w:val="00821572"/>
    <w:rsid w:val="00822310"/>
    <w:rsid w:val="00823794"/>
    <w:rsid w:val="008237F4"/>
    <w:rsid w:val="00823F67"/>
    <w:rsid w:val="00824022"/>
    <w:rsid w:val="0082483A"/>
    <w:rsid w:val="00824A81"/>
    <w:rsid w:val="008257B8"/>
    <w:rsid w:val="00825E3A"/>
    <w:rsid w:val="008260ED"/>
    <w:rsid w:val="0082699D"/>
    <w:rsid w:val="00826E6B"/>
    <w:rsid w:val="008275FD"/>
    <w:rsid w:val="008279BB"/>
    <w:rsid w:val="008303FA"/>
    <w:rsid w:val="00830BA1"/>
    <w:rsid w:val="00830EB2"/>
    <w:rsid w:val="00831652"/>
    <w:rsid w:val="0083202E"/>
    <w:rsid w:val="0083304F"/>
    <w:rsid w:val="008334C9"/>
    <w:rsid w:val="00834122"/>
    <w:rsid w:val="008352C5"/>
    <w:rsid w:val="008358A6"/>
    <w:rsid w:val="008359FB"/>
    <w:rsid w:val="00835C56"/>
    <w:rsid w:val="008360FC"/>
    <w:rsid w:val="00836E81"/>
    <w:rsid w:val="008377C1"/>
    <w:rsid w:val="00837C90"/>
    <w:rsid w:val="00837EB1"/>
    <w:rsid w:val="0084042B"/>
    <w:rsid w:val="008409BB"/>
    <w:rsid w:val="0084184A"/>
    <w:rsid w:val="008423F2"/>
    <w:rsid w:val="00842A30"/>
    <w:rsid w:val="00842F71"/>
    <w:rsid w:val="00843179"/>
    <w:rsid w:val="0084386A"/>
    <w:rsid w:val="00843E0E"/>
    <w:rsid w:val="008442EA"/>
    <w:rsid w:val="00844589"/>
    <w:rsid w:val="00844794"/>
    <w:rsid w:val="00844FE7"/>
    <w:rsid w:val="00845969"/>
    <w:rsid w:val="00845F37"/>
    <w:rsid w:val="00845FF5"/>
    <w:rsid w:val="00846001"/>
    <w:rsid w:val="0084615D"/>
    <w:rsid w:val="0084642A"/>
    <w:rsid w:val="008465C4"/>
    <w:rsid w:val="00846710"/>
    <w:rsid w:val="008478ED"/>
    <w:rsid w:val="00851728"/>
    <w:rsid w:val="00851DFF"/>
    <w:rsid w:val="00853084"/>
    <w:rsid w:val="00853142"/>
    <w:rsid w:val="008540A6"/>
    <w:rsid w:val="00854420"/>
    <w:rsid w:val="00854481"/>
    <w:rsid w:val="0085525B"/>
    <w:rsid w:val="008555EF"/>
    <w:rsid w:val="00857591"/>
    <w:rsid w:val="00857E88"/>
    <w:rsid w:val="00860C85"/>
    <w:rsid w:val="008612DB"/>
    <w:rsid w:val="00861B57"/>
    <w:rsid w:val="00862AC4"/>
    <w:rsid w:val="008633AC"/>
    <w:rsid w:val="008634E3"/>
    <w:rsid w:val="00864627"/>
    <w:rsid w:val="00864635"/>
    <w:rsid w:val="00864678"/>
    <w:rsid w:val="00864C1A"/>
    <w:rsid w:val="00865217"/>
    <w:rsid w:val="008658AA"/>
    <w:rsid w:val="00865CBD"/>
    <w:rsid w:val="00866E37"/>
    <w:rsid w:val="00866F9E"/>
    <w:rsid w:val="008672E2"/>
    <w:rsid w:val="0086793D"/>
    <w:rsid w:val="00867B1C"/>
    <w:rsid w:val="008713D6"/>
    <w:rsid w:val="00871643"/>
    <w:rsid w:val="0087281D"/>
    <w:rsid w:val="008732D8"/>
    <w:rsid w:val="00873377"/>
    <w:rsid w:val="00873577"/>
    <w:rsid w:val="00873E52"/>
    <w:rsid w:val="0087409F"/>
    <w:rsid w:val="00874D58"/>
    <w:rsid w:val="008750D2"/>
    <w:rsid w:val="008753A5"/>
    <w:rsid w:val="00875AB5"/>
    <w:rsid w:val="00875C85"/>
    <w:rsid w:val="00875C91"/>
    <w:rsid w:val="00875F85"/>
    <w:rsid w:val="00876C6B"/>
    <w:rsid w:val="00876DC9"/>
    <w:rsid w:val="0087708A"/>
    <w:rsid w:val="00877125"/>
    <w:rsid w:val="008777C2"/>
    <w:rsid w:val="00881511"/>
    <w:rsid w:val="00882448"/>
    <w:rsid w:val="00882479"/>
    <w:rsid w:val="00882517"/>
    <w:rsid w:val="008826BE"/>
    <w:rsid w:val="00882960"/>
    <w:rsid w:val="00882F1D"/>
    <w:rsid w:val="00883A4D"/>
    <w:rsid w:val="00883B21"/>
    <w:rsid w:val="00883F8F"/>
    <w:rsid w:val="00884235"/>
    <w:rsid w:val="00885285"/>
    <w:rsid w:val="00885985"/>
    <w:rsid w:val="0088631E"/>
    <w:rsid w:val="00886699"/>
    <w:rsid w:val="0088709A"/>
    <w:rsid w:val="00890F1E"/>
    <w:rsid w:val="0089199F"/>
    <w:rsid w:val="00891C32"/>
    <w:rsid w:val="00891D7F"/>
    <w:rsid w:val="00892265"/>
    <w:rsid w:val="0089233E"/>
    <w:rsid w:val="0089330E"/>
    <w:rsid w:val="00893357"/>
    <w:rsid w:val="00893A8E"/>
    <w:rsid w:val="00893E27"/>
    <w:rsid w:val="008945F7"/>
    <w:rsid w:val="0089463D"/>
    <w:rsid w:val="00894EA0"/>
    <w:rsid w:val="0089554F"/>
    <w:rsid w:val="008955E6"/>
    <w:rsid w:val="00895B5F"/>
    <w:rsid w:val="0089637C"/>
    <w:rsid w:val="00896712"/>
    <w:rsid w:val="00896870"/>
    <w:rsid w:val="008969BD"/>
    <w:rsid w:val="008A13BD"/>
    <w:rsid w:val="008A1596"/>
    <w:rsid w:val="008A1EDF"/>
    <w:rsid w:val="008A2695"/>
    <w:rsid w:val="008A2DC9"/>
    <w:rsid w:val="008A2FF1"/>
    <w:rsid w:val="008A32D4"/>
    <w:rsid w:val="008A367F"/>
    <w:rsid w:val="008A37AF"/>
    <w:rsid w:val="008A3D62"/>
    <w:rsid w:val="008A448D"/>
    <w:rsid w:val="008A4A55"/>
    <w:rsid w:val="008A506F"/>
    <w:rsid w:val="008A528A"/>
    <w:rsid w:val="008A5298"/>
    <w:rsid w:val="008A535A"/>
    <w:rsid w:val="008A720F"/>
    <w:rsid w:val="008A7498"/>
    <w:rsid w:val="008A7C72"/>
    <w:rsid w:val="008B04F2"/>
    <w:rsid w:val="008B0B04"/>
    <w:rsid w:val="008B0D0E"/>
    <w:rsid w:val="008B12BB"/>
    <w:rsid w:val="008B1411"/>
    <w:rsid w:val="008B17A2"/>
    <w:rsid w:val="008B25F2"/>
    <w:rsid w:val="008B2643"/>
    <w:rsid w:val="008B2FAE"/>
    <w:rsid w:val="008B3317"/>
    <w:rsid w:val="008B414B"/>
    <w:rsid w:val="008B45F2"/>
    <w:rsid w:val="008B4E0E"/>
    <w:rsid w:val="008B4FB9"/>
    <w:rsid w:val="008B5715"/>
    <w:rsid w:val="008B5A2D"/>
    <w:rsid w:val="008B5BC2"/>
    <w:rsid w:val="008B5E54"/>
    <w:rsid w:val="008B60BB"/>
    <w:rsid w:val="008B6732"/>
    <w:rsid w:val="008B68EC"/>
    <w:rsid w:val="008B711E"/>
    <w:rsid w:val="008C042F"/>
    <w:rsid w:val="008C057B"/>
    <w:rsid w:val="008C0CAC"/>
    <w:rsid w:val="008C0E1B"/>
    <w:rsid w:val="008C13B4"/>
    <w:rsid w:val="008C1557"/>
    <w:rsid w:val="008C1B8C"/>
    <w:rsid w:val="008C2306"/>
    <w:rsid w:val="008C26D1"/>
    <w:rsid w:val="008C2791"/>
    <w:rsid w:val="008C2B7F"/>
    <w:rsid w:val="008C36AC"/>
    <w:rsid w:val="008C4953"/>
    <w:rsid w:val="008C4E44"/>
    <w:rsid w:val="008C6255"/>
    <w:rsid w:val="008C684B"/>
    <w:rsid w:val="008C6ABD"/>
    <w:rsid w:val="008C6F18"/>
    <w:rsid w:val="008C7685"/>
    <w:rsid w:val="008D007A"/>
    <w:rsid w:val="008D07DE"/>
    <w:rsid w:val="008D0831"/>
    <w:rsid w:val="008D0E40"/>
    <w:rsid w:val="008D1E7F"/>
    <w:rsid w:val="008D2367"/>
    <w:rsid w:val="008D3338"/>
    <w:rsid w:val="008D427A"/>
    <w:rsid w:val="008D43B6"/>
    <w:rsid w:val="008D4DD5"/>
    <w:rsid w:val="008D5657"/>
    <w:rsid w:val="008D59B8"/>
    <w:rsid w:val="008D5E3C"/>
    <w:rsid w:val="008D62E0"/>
    <w:rsid w:val="008D6752"/>
    <w:rsid w:val="008D69E7"/>
    <w:rsid w:val="008D6FC1"/>
    <w:rsid w:val="008E0140"/>
    <w:rsid w:val="008E0688"/>
    <w:rsid w:val="008E0BEF"/>
    <w:rsid w:val="008E105E"/>
    <w:rsid w:val="008E266D"/>
    <w:rsid w:val="008E2F0C"/>
    <w:rsid w:val="008E3E23"/>
    <w:rsid w:val="008E547B"/>
    <w:rsid w:val="008E5A51"/>
    <w:rsid w:val="008E5DED"/>
    <w:rsid w:val="008E5DF8"/>
    <w:rsid w:val="008E7E47"/>
    <w:rsid w:val="008F0250"/>
    <w:rsid w:val="008F11F4"/>
    <w:rsid w:val="008F1952"/>
    <w:rsid w:val="008F254D"/>
    <w:rsid w:val="008F310B"/>
    <w:rsid w:val="008F322B"/>
    <w:rsid w:val="008F34BD"/>
    <w:rsid w:val="008F34CB"/>
    <w:rsid w:val="008F3519"/>
    <w:rsid w:val="008F3AD3"/>
    <w:rsid w:val="008F3CA7"/>
    <w:rsid w:val="008F443F"/>
    <w:rsid w:val="008F4D69"/>
    <w:rsid w:val="008F5DE5"/>
    <w:rsid w:val="008F5E42"/>
    <w:rsid w:val="008F63B1"/>
    <w:rsid w:val="008F6973"/>
    <w:rsid w:val="008F6E6A"/>
    <w:rsid w:val="008F6F7D"/>
    <w:rsid w:val="008F7AA7"/>
    <w:rsid w:val="00900947"/>
    <w:rsid w:val="00900EB8"/>
    <w:rsid w:val="00900FBA"/>
    <w:rsid w:val="00902E5B"/>
    <w:rsid w:val="00903CC3"/>
    <w:rsid w:val="00903FD9"/>
    <w:rsid w:val="00904404"/>
    <w:rsid w:val="00904CF5"/>
    <w:rsid w:val="00905259"/>
    <w:rsid w:val="0090556C"/>
    <w:rsid w:val="00905633"/>
    <w:rsid w:val="00905EAE"/>
    <w:rsid w:val="00906048"/>
    <w:rsid w:val="009060C4"/>
    <w:rsid w:val="00906C91"/>
    <w:rsid w:val="00906C95"/>
    <w:rsid w:val="00907656"/>
    <w:rsid w:val="00907E47"/>
    <w:rsid w:val="009115EF"/>
    <w:rsid w:val="009116DD"/>
    <w:rsid w:val="00912D1C"/>
    <w:rsid w:val="00913019"/>
    <w:rsid w:val="00913F1E"/>
    <w:rsid w:val="00913FB2"/>
    <w:rsid w:val="009140C4"/>
    <w:rsid w:val="009144A9"/>
    <w:rsid w:val="0091468B"/>
    <w:rsid w:val="0091526F"/>
    <w:rsid w:val="009153D2"/>
    <w:rsid w:val="00915774"/>
    <w:rsid w:val="00915C0E"/>
    <w:rsid w:val="00916286"/>
    <w:rsid w:val="00916595"/>
    <w:rsid w:val="00916C47"/>
    <w:rsid w:val="009171AD"/>
    <w:rsid w:val="00917569"/>
    <w:rsid w:val="009177E0"/>
    <w:rsid w:val="00920174"/>
    <w:rsid w:val="009219D2"/>
    <w:rsid w:val="00921A4E"/>
    <w:rsid w:val="00921E37"/>
    <w:rsid w:val="00922511"/>
    <w:rsid w:val="00922791"/>
    <w:rsid w:val="00922F07"/>
    <w:rsid w:val="00923463"/>
    <w:rsid w:val="009234A7"/>
    <w:rsid w:val="00924DC3"/>
    <w:rsid w:val="00925238"/>
    <w:rsid w:val="00925ACF"/>
    <w:rsid w:val="0092615D"/>
    <w:rsid w:val="00926546"/>
    <w:rsid w:val="009265A1"/>
    <w:rsid w:val="00927700"/>
    <w:rsid w:val="0093036E"/>
    <w:rsid w:val="00931224"/>
    <w:rsid w:val="0093264C"/>
    <w:rsid w:val="009332B5"/>
    <w:rsid w:val="009333D3"/>
    <w:rsid w:val="009339B6"/>
    <w:rsid w:val="00933B4C"/>
    <w:rsid w:val="00933DC4"/>
    <w:rsid w:val="0093431B"/>
    <w:rsid w:val="009346D6"/>
    <w:rsid w:val="00934743"/>
    <w:rsid w:val="0093487E"/>
    <w:rsid w:val="00934FFE"/>
    <w:rsid w:val="009353CC"/>
    <w:rsid w:val="00936405"/>
    <w:rsid w:val="00936B64"/>
    <w:rsid w:val="009379C4"/>
    <w:rsid w:val="0094041A"/>
    <w:rsid w:val="00940D32"/>
    <w:rsid w:val="0094190D"/>
    <w:rsid w:val="0094197F"/>
    <w:rsid w:val="00942354"/>
    <w:rsid w:val="00942681"/>
    <w:rsid w:val="00943A7E"/>
    <w:rsid w:val="00943E42"/>
    <w:rsid w:val="00943E5D"/>
    <w:rsid w:val="00944728"/>
    <w:rsid w:val="0094477C"/>
    <w:rsid w:val="009453E8"/>
    <w:rsid w:val="00945664"/>
    <w:rsid w:val="00945AD1"/>
    <w:rsid w:val="00946D6C"/>
    <w:rsid w:val="00946ECB"/>
    <w:rsid w:val="00947268"/>
    <w:rsid w:val="0094750E"/>
    <w:rsid w:val="00947C94"/>
    <w:rsid w:val="009507C8"/>
    <w:rsid w:val="00950BDF"/>
    <w:rsid w:val="0095115E"/>
    <w:rsid w:val="0095118A"/>
    <w:rsid w:val="00952468"/>
    <w:rsid w:val="00954767"/>
    <w:rsid w:val="0095487A"/>
    <w:rsid w:val="009548FB"/>
    <w:rsid w:val="0095538B"/>
    <w:rsid w:val="00957AF7"/>
    <w:rsid w:val="00960ACA"/>
    <w:rsid w:val="00960C4F"/>
    <w:rsid w:val="0096217C"/>
    <w:rsid w:val="00962441"/>
    <w:rsid w:val="00963277"/>
    <w:rsid w:val="00964B53"/>
    <w:rsid w:val="00964C3F"/>
    <w:rsid w:val="00964C6C"/>
    <w:rsid w:val="00965176"/>
    <w:rsid w:val="00965240"/>
    <w:rsid w:val="00965648"/>
    <w:rsid w:val="00965847"/>
    <w:rsid w:val="00965A3E"/>
    <w:rsid w:val="00965C48"/>
    <w:rsid w:val="00966D9D"/>
    <w:rsid w:val="00966E4A"/>
    <w:rsid w:val="00967041"/>
    <w:rsid w:val="009676E9"/>
    <w:rsid w:val="00967F6A"/>
    <w:rsid w:val="00970918"/>
    <w:rsid w:val="0097099E"/>
    <w:rsid w:val="009710ED"/>
    <w:rsid w:val="00971761"/>
    <w:rsid w:val="0097216F"/>
    <w:rsid w:val="00972C3B"/>
    <w:rsid w:val="00973057"/>
    <w:rsid w:val="00974D50"/>
    <w:rsid w:val="009751AF"/>
    <w:rsid w:val="00975326"/>
    <w:rsid w:val="00975DEA"/>
    <w:rsid w:val="00975E45"/>
    <w:rsid w:val="00977CDF"/>
    <w:rsid w:val="0098043F"/>
    <w:rsid w:val="00981038"/>
    <w:rsid w:val="0098106E"/>
    <w:rsid w:val="009814F9"/>
    <w:rsid w:val="00981511"/>
    <w:rsid w:val="00981C52"/>
    <w:rsid w:val="00981D1C"/>
    <w:rsid w:val="00981E1C"/>
    <w:rsid w:val="00982118"/>
    <w:rsid w:val="00982C62"/>
    <w:rsid w:val="00982C91"/>
    <w:rsid w:val="00982F76"/>
    <w:rsid w:val="00982FA3"/>
    <w:rsid w:val="00983632"/>
    <w:rsid w:val="00983F49"/>
    <w:rsid w:val="009840FD"/>
    <w:rsid w:val="00984701"/>
    <w:rsid w:val="00984847"/>
    <w:rsid w:val="00984BEC"/>
    <w:rsid w:val="00985718"/>
    <w:rsid w:val="00985EB8"/>
    <w:rsid w:val="00985FB3"/>
    <w:rsid w:val="00986566"/>
    <w:rsid w:val="00986CC1"/>
    <w:rsid w:val="00986F4E"/>
    <w:rsid w:val="00987191"/>
    <w:rsid w:val="00987A5A"/>
    <w:rsid w:val="00987CB4"/>
    <w:rsid w:val="0099097E"/>
    <w:rsid w:val="00990C84"/>
    <w:rsid w:val="009921FC"/>
    <w:rsid w:val="0099272B"/>
    <w:rsid w:val="00992A0E"/>
    <w:rsid w:val="0099399E"/>
    <w:rsid w:val="0099413C"/>
    <w:rsid w:val="00994230"/>
    <w:rsid w:val="0099479E"/>
    <w:rsid w:val="009951D8"/>
    <w:rsid w:val="00995355"/>
    <w:rsid w:val="0099586F"/>
    <w:rsid w:val="00996CB5"/>
    <w:rsid w:val="0099719E"/>
    <w:rsid w:val="009A0169"/>
    <w:rsid w:val="009A1B56"/>
    <w:rsid w:val="009A3C93"/>
    <w:rsid w:val="009A3FD0"/>
    <w:rsid w:val="009A51C7"/>
    <w:rsid w:val="009A59EC"/>
    <w:rsid w:val="009A5C56"/>
    <w:rsid w:val="009A5CA8"/>
    <w:rsid w:val="009A6ED0"/>
    <w:rsid w:val="009A706A"/>
    <w:rsid w:val="009A71AB"/>
    <w:rsid w:val="009A7745"/>
    <w:rsid w:val="009A7C3D"/>
    <w:rsid w:val="009B0156"/>
    <w:rsid w:val="009B021C"/>
    <w:rsid w:val="009B0295"/>
    <w:rsid w:val="009B05BA"/>
    <w:rsid w:val="009B1B0E"/>
    <w:rsid w:val="009B2596"/>
    <w:rsid w:val="009B42B6"/>
    <w:rsid w:val="009B42CC"/>
    <w:rsid w:val="009B43D6"/>
    <w:rsid w:val="009B5081"/>
    <w:rsid w:val="009B6985"/>
    <w:rsid w:val="009B69B3"/>
    <w:rsid w:val="009B7011"/>
    <w:rsid w:val="009B71E4"/>
    <w:rsid w:val="009C04EE"/>
    <w:rsid w:val="009C0CD4"/>
    <w:rsid w:val="009C15E7"/>
    <w:rsid w:val="009C17C8"/>
    <w:rsid w:val="009C385B"/>
    <w:rsid w:val="009C3E3C"/>
    <w:rsid w:val="009C4353"/>
    <w:rsid w:val="009C49C2"/>
    <w:rsid w:val="009C4E2D"/>
    <w:rsid w:val="009C62C0"/>
    <w:rsid w:val="009C6A88"/>
    <w:rsid w:val="009C765D"/>
    <w:rsid w:val="009C7ADA"/>
    <w:rsid w:val="009C7BB6"/>
    <w:rsid w:val="009D000A"/>
    <w:rsid w:val="009D1272"/>
    <w:rsid w:val="009D1A86"/>
    <w:rsid w:val="009D1E12"/>
    <w:rsid w:val="009D2DA9"/>
    <w:rsid w:val="009D2E93"/>
    <w:rsid w:val="009D2EA9"/>
    <w:rsid w:val="009D3038"/>
    <w:rsid w:val="009D34C0"/>
    <w:rsid w:val="009D35FB"/>
    <w:rsid w:val="009D4BBE"/>
    <w:rsid w:val="009D4E16"/>
    <w:rsid w:val="009D5893"/>
    <w:rsid w:val="009D6620"/>
    <w:rsid w:val="009D6C54"/>
    <w:rsid w:val="009D72B0"/>
    <w:rsid w:val="009D77CE"/>
    <w:rsid w:val="009D7DE3"/>
    <w:rsid w:val="009E004A"/>
    <w:rsid w:val="009E066B"/>
    <w:rsid w:val="009E1515"/>
    <w:rsid w:val="009E1CFF"/>
    <w:rsid w:val="009E1FEE"/>
    <w:rsid w:val="009E23EA"/>
    <w:rsid w:val="009E2D24"/>
    <w:rsid w:val="009E2EA0"/>
    <w:rsid w:val="009E305F"/>
    <w:rsid w:val="009E36FF"/>
    <w:rsid w:val="009E37D3"/>
    <w:rsid w:val="009E5028"/>
    <w:rsid w:val="009E50FB"/>
    <w:rsid w:val="009E5280"/>
    <w:rsid w:val="009E5386"/>
    <w:rsid w:val="009E5DD1"/>
    <w:rsid w:val="009E60AD"/>
    <w:rsid w:val="009E62F0"/>
    <w:rsid w:val="009E68C8"/>
    <w:rsid w:val="009E6AB5"/>
    <w:rsid w:val="009E6DAB"/>
    <w:rsid w:val="009E6F4B"/>
    <w:rsid w:val="009E703C"/>
    <w:rsid w:val="009E7E4C"/>
    <w:rsid w:val="009F08F5"/>
    <w:rsid w:val="009F0956"/>
    <w:rsid w:val="009F0EE5"/>
    <w:rsid w:val="009F1264"/>
    <w:rsid w:val="009F1D7F"/>
    <w:rsid w:val="009F245B"/>
    <w:rsid w:val="009F25E6"/>
    <w:rsid w:val="009F2BE8"/>
    <w:rsid w:val="009F2F09"/>
    <w:rsid w:val="009F39A7"/>
    <w:rsid w:val="009F40B7"/>
    <w:rsid w:val="009F4188"/>
    <w:rsid w:val="009F4302"/>
    <w:rsid w:val="009F4393"/>
    <w:rsid w:val="009F4BE9"/>
    <w:rsid w:val="009F62D3"/>
    <w:rsid w:val="00A00112"/>
    <w:rsid w:val="00A008B5"/>
    <w:rsid w:val="00A017B4"/>
    <w:rsid w:val="00A01C53"/>
    <w:rsid w:val="00A01D38"/>
    <w:rsid w:val="00A02414"/>
    <w:rsid w:val="00A025B9"/>
    <w:rsid w:val="00A0355C"/>
    <w:rsid w:val="00A03A13"/>
    <w:rsid w:val="00A040CD"/>
    <w:rsid w:val="00A04429"/>
    <w:rsid w:val="00A05C84"/>
    <w:rsid w:val="00A06446"/>
    <w:rsid w:val="00A06697"/>
    <w:rsid w:val="00A06C40"/>
    <w:rsid w:val="00A10586"/>
    <w:rsid w:val="00A10A48"/>
    <w:rsid w:val="00A110DA"/>
    <w:rsid w:val="00A1132B"/>
    <w:rsid w:val="00A11930"/>
    <w:rsid w:val="00A11B54"/>
    <w:rsid w:val="00A11CDC"/>
    <w:rsid w:val="00A1238C"/>
    <w:rsid w:val="00A1263D"/>
    <w:rsid w:val="00A12AF2"/>
    <w:rsid w:val="00A12D8A"/>
    <w:rsid w:val="00A12E6C"/>
    <w:rsid w:val="00A136D0"/>
    <w:rsid w:val="00A13D1A"/>
    <w:rsid w:val="00A14DC2"/>
    <w:rsid w:val="00A14DD6"/>
    <w:rsid w:val="00A15D5E"/>
    <w:rsid w:val="00A161F8"/>
    <w:rsid w:val="00A169FA"/>
    <w:rsid w:val="00A1766A"/>
    <w:rsid w:val="00A200F4"/>
    <w:rsid w:val="00A206C9"/>
    <w:rsid w:val="00A20C27"/>
    <w:rsid w:val="00A20E7D"/>
    <w:rsid w:val="00A216BC"/>
    <w:rsid w:val="00A23931"/>
    <w:rsid w:val="00A23FD6"/>
    <w:rsid w:val="00A25317"/>
    <w:rsid w:val="00A25706"/>
    <w:rsid w:val="00A25D84"/>
    <w:rsid w:val="00A26029"/>
    <w:rsid w:val="00A262E4"/>
    <w:rsid w:val="00A26516"/>
    <w:rsid w:val="00A268EA"/>
    <w:rsid w:val="00A276D2"/>
    <w:rsid w:val="00A31CE0"/>
    <w:rsid w:val="00A31FA9"/>
    <w:rsid w:val="00A321CB"/>
    <w:rsid w:val="00A333BF"/>
    <w:rsid w:val="00A33464"/>
    <w:rsid w:val="00A33825"/>
    <w:rsid w:val="00A3398F"/>
    <w:rsid w:val="00A35583"/>
    <w:rsid w:val="00A363EF"/>
    <w:rsid w:val="00A36DFE"/>
    <w:rsid w:val="00A370FD"/>
    <w:rsid w:val="00A3798C"/>
    <w:rsid w:val="00A37DD9"/>
    <w:rsid w:val="00A405CE"/>
    <w:rsid w:val="00A40ED7"/>
    <w:rsid w:val="00A40F83"/>
    <w:rsid w:val="00A412BA"/>
    <w:rsid w:val="00A41416"/>
    <w:rsid w:val="00A4200D"/>
    <w:rsid w:val="00A424BF"/>
    <w:rsid w:val="00A4258E"/>
    <w:rsid w:val="00A432D1"/>
    <w:rsid w:val="00A43716"/>
    <w:rsid w:val="00A442C5"/>
    <w:rsid w:val="00A44712"/>
    <w:rsid w:val="00A44AF5"/>
    <w:rsid w:val="00A44B8B"/>
    <w:rsid w:val="00A45EC4"/>
    <w:rsid w:val="00A47212"/>
    <w:rsid w:val="00A474EA"/>
    <w:rsid w:val="00A501B2"/>
    <w:rsid w:val="00A501EF"/>
    <w:rsid w:val="00A5034A"/>
    <w:rsid w:val="00A50FFA"/>
    <w:rsid w:val="00A539D1"/>
    <w:rsid w:val="00A54DAE"/>
    <w:rsid w:val="00A56D3B"/>
    <w:rsid w:val="00A57450"/>
    <w:rsid w:val="00A57479"/>
    <w:rsid w:val="00A577BB"/>
    <w:rsid w:val="00A57C08"/>
    <w:rsid w:val="00A600D9"/>
    <w:rsid w:val="00A604CD"/>
    <w:rsid w:val="00A637A0"/>
    <w:rsid w:val="00A63ECD"/>
    <w:rsid w:val="00A64093"/>
    <w:rsid w:val="00A640EB"/>
    <w:rsid w:val="00A64815"/>
    <w:rsid w:val="00A65043"/>
    <w:rsid w:val="00A660A8"/>
    <w:rsid w:val="00A66DF9"/>
    <w:rsid w:val="00A704E4"/>
    <w:rsid w:val="00A7136A"/>
    <w:rsid w:val="00A71C44"/>
    <w:rsid w:val="00A72296"/>
    <w:rsid w:val="00A7388E"/>
    <w:rsid w:val="00A74544"/>
    <w:rsid w:val="00A74548"/>
    <w:rsid w:val="00A74DF2"/>
    <w:rsid w:val="00A74E4D"/>
    <w:rsid w:val="00A7592E"/>
    <w:rsid w:val="00A76C1F"/>
    <w:rsid w:val="00A76FE3"/>
    <w:rsid w:val="00A803FC"/>
    <w:rsid w:val="00A8071A"/>
    <w:rsid w:val="00A80DD9"/>
    <w:rsid w:val="00A80FCA"/>
    <w:rsid w:val="00A81CBC"/>
    <w:rsid w:val="00A82506"/>
    <w:rsid w:val="00A837CE"/>
    <w:rsid w:val="00A83DB5"/>
    <w:rsid w:val="00A83FBA"/>
    <w:rsid w:val="00A84636"/>
    <w:rsid w:val="00A84FE1"/>
    <w:rsid w:val="00A85080"/>
    <w:rsid w:val="00A85337"/>
    <w:rsid w:val="00A86406"/>
    <w:rsid w:val="00A86853"/>
    <w:rsid w:val="00A86B75"/>
    <w:rsid w:val="00A86E75"/>
    <w:rsid w:val="00A86F33"/>
    <w:rsid w:val="00A90507"/>
    <w:rsid w:val="00A9065F"/>
    <w:rsid w:val="00A90B0E"/>
    <w:rsid w:val="00A9193A"/>
    <w:rsid w:val="00A91AA1"/>
    <w:rsid w:val="00A91C8C"/>
    <w:rsid w:val="00A91F0D"/>
    <w:rsid w:val="00A92328"/>
    <w:rsid w:val="00A9235A"/>
    <w:rsid w:val="00A92FF7"/>
    <w:rsid w:val="00A93069"/>
    <w:rsid w:val="00A93102"/>
    <w:rsid w:val="00A93396"/>
    <w:rsid w:val="00A9468F"/>
    <w:rsid w:val="00A9498D"/>
    <w:rsid w:val="00A95335"/>
    <w:rsid w:val="00A9566B"/>
    <w:rsid w:val="00A9657F"/>
    <w:rsid w:val="00A975A2"/>
    <w:rsid w:val="00A977AA"/>
    <w:rsid w:val="00A9797D"/>
    <w:rsid w:val="00AA015F"/>
    <w:rsid w:val="00AA0C3A"/>
    <w:rsid w:val="00AA1723"/>
    <w:rsid w:val="00AA190D"/>
    <w:rsid w:val="00AA1FDD"/>
    <w:rsid w:val="00AA22C3"/>
    <w:rsid w:val="00AA230D"/>
    <w:rsid w:val="00AA37A7"/>
    <w:rsid w:val="00AA4941"/>
    <w:rsid w:val="00AA49E9"/>
    <w:rsid w:val="00AA5475"/>
    <w:rsid w:val="00AA5876"/>
    <w:rsid w:val="00AA5BBA"/>
    <w:rsid w:val="00AA6A8A"/>
    <w:rsid w:val="00AA6DD8"/>
    <w:rsid w:val="00AA6FA3"/>
    <w:rsid w:val="00AA70BB"/>
    <w:rsid w:val="00AA71B5"/>
    <w:rsid w:val="00AA757C"/>
    <w:rsid w:val="00AA7D74"/>
    <w:rsid w:val="00AA7F10"/>
    <w:rsid w:val="00AB0391"/>
    <w:rsid w:val="00AB2151"/>
    <w:rsid w:val="00AB2C59"/>
    <w:rsid w:val="00AB2C8A"/>
    <w:rsid w:val="00AB42B6"/>
    <w:rsid w:val="00AB4D67"/>
    <w:rsid w:val="00AB545D"/>
    <w:rsid w:val="00AB54D7"/>
    <w:rsid w:val="00AB57D3"/>
    <w:rsid w:val="00AB642D"/>
    <w:rsid w:val="00AB6886"/>
    <w:rsid w:val="00AB6AE4"/>
    <w:rsid w:val="00AB6E00"/>
    <w:rsid w:val="00AB6F37"/>
    <w:rsid w:val="00AB769E"/>
    <w:rsid w:val="00AB7D55"/>
    <w:rsid w:val="00AB7E30"/>
    <w:rsid w:val="00AC0681"/>
    <w:rsid w:val="00AC154B"/>
    <w:rsid w:val="00AC1B72"/>
    <w:rsid w:val="00AC225A"/>
    <w:rsid w:val="00AC26FE"/>
    <w:rsid w:val="00AC350D"/>
    <w:rsid w:val="00AC3568"/>
    <w:rsid w:val="00AC3CF2"/>
    <w:rsid w:val="00AC47EC"/>
    <w:rsid w:val="00AC4E5D"/>
    <w:rsid w:val="00AC6C53"/>
    <w:rsid w:val="00AC6E85"/>
    <w:rsid w:val="00AC6EFB"/>
    <w:rsid w:val="00AC7284"/>
    <w:rsid w:val="00AC7CE6"/>
    <w:rsid w:val="00AD0828"/>
    <w:rsid w:val="00AD0B13"/>
    <w:rsid w:val="00AD0E69"/>
    <w:rsid w:val="00AD103D"/>
    <w:rsid w:val="00AD159C"/>
    <w:rsid w:val="00AD17FA"/>
    <w:rsid w:val="00AD19EC"/>
    <w:rsid w:val="00AD2717"/>
    <w:rsid w:val="00AD3DC4"/>
    <w:rsid w:val="00AD4FF4"/>
    <w:rsid w:val="00AD5253"/>
    <w:rsid w:val="00AD531D"/>
    <w:rsid w:val="00AD600C"/>
    <w:rsid w:val="00AD63D6"/>
    <w:rsid w:val="00AD6CD5"/>
    <w:rsid w:val="00AD733B"/>
    <w:rsid w:val="00AD7B4C"/>
    <w:rsid w:val="00AD7CA7"/>
    <w:rsid w:val="00AE0040"/>
    <w:rsid w:val="00AE184D"/>
    <w:rsid w:val="00AE1C03"/>
    <w:rsid w:val="00AE23E3"/>
    <w:rsid w:val="00AE2F65"/>
    <w:rsid w:val="00AE317E"/>
    <w:rsid w:val="00AE35A5"/>
    <w:rsid w:val="00AE4E2A"/>
    <w:rsid w:val="00AE5CF9"/>
    <w:rsid w:val="00AE5DB6"/>
    <w:rsid w:val="00AE6C3C"/>
    <w:rsid w:val="00AE702E"/>
    <w:rsid w:val="00AE73E0"/>
    <w:rsid w:val="00AF03C0"/>
    <w:rsid w:val="00AF157E"/>
    <w:rsid w:val="00AF166F"/>
    <w:rsid w:val="00AF1C03"/>
    <w:rsid w:val="00AF1CF2"/>
    <w:rsid w:val="00AF39AF"/>
    <w:rsid w:val="00AF3E3B"/>
    <w:rsid w:val="00AF3E5A"/>
    <w:rsid w:val="00AF46FE"/>
    <w:rsid w:val="00AF486F"/>
    <w:rsid w:val="00AF548B"/>
    <w:rsid w:val="00AF55E0"/>
    <w:rsid w:val="00AF5666"/>
    <w:rsid w:val="00AF5870"/>
    <w:rsid w:val="00AF6499"/>
    <w:rsid w:val="00AF6619"/>
    <w:rsid w:val="00AF6CFD"/>
    <w:rsid w:val="00AF6D4C"/>
    <w:rsid w:val="00AF7504"/>
    <w:rsid w:val="00AF7DC1"/>
    <w:rsid w:val="00B000AE"/>
    <w:rsid w:val="00B002BF"/>
    <w:rsid w:val="00B0040B"/>
    <w:rsid w:val="00B00830"/>
    <w:rsid w:val="00B00A4A"/>
    <w:rsid w:val="00B00AB5"/>
    <w:rsid w:val="00B00CC0"/>
    <w:rsid w:val="00B00F5C"/>
    <w:rsid w:val="00B019C1"/>
    <w:rsid w:val="00B01E55"/>
    <w:rsid w:val="00B0236E"/>
    <w:rsid w:val="00B02506"/>
    <w:rsid w:val="00B02ACE"/>
    <w:rsid w:val="00B03913"/>
    <w:rsid w:val="00B04CEA"/>
    <w:rsid w:val="00B05607"/>
    <w:rsid w:val="00B05A08"/>
    <w:rsid w:val="00B05F14"/>
    <w:rsid w:val="00B06737"/>
    <w:rsid w:val="00B07408"/>
    <w:rsid w:val="00B0784C"/>
    <w:rsid w:val="00B07CE9"/>
    <w:rsid w:val="00B101D5"/>
    <w:rsid w:val="00B10633"/>
    <w:rsid w:val="00B10B08"/>
    <w:rsid w:val="00B11A78"/>
    <w:rsid w:val="00B11CFB"/>
    <w:rsid w:val="00B12111"/>
    <w:rsid w:val="00B12485"/>
    <w:rsid w:val="00B13E18"/>
    <w:rsid w:val="00B14109"/>
    <w:rsid w:val="00B14305"/>
    <w:rsid w:val="00B14410"/>
    <w:rsid w:val="00B1486D"/>
    <w:rsid w:val="00B150D6"/>
    <w:rsid w:val="00B15373"/>
    <w:rsid w:val="00B15639"/>
    <w:rsid w:val="00B156D0"/>
    <w:rsid w:val="00B15D15"/>
    <w:rsid w:val="00B15E42"/>
    <w:rsid w:val="00B15EEE"/>
    <w:rsid w:val="00B16198"/>
    <w:rsid w:val="00B16A2C"/>
    <w:rsid w:val="00B16FB6"/>
    <w:rsid w:val="00B17022"/>
    <w:rsid w:val="00B2069F"/>
    <w:rsid w:val="00B21736"/>
    <w:rsid w:val="00B218B1"/>
    <w:rsid w:val="00B21A33"/>
    <w:rsid w:val="00B222DA"/>
    <w:rsid w:val="00B224AA"/>
    <w:rsid w:val="00B224B5"/>
    <w:rsid w:val="00B22998"/>
    <w:rsid w:val="00B229FE"/>
    <w:rsid w:val="00B2302B"/>
    <w:rsid w:val="00B24363"/>
    <w:rsid w:val="00B2456E"/>
    <w:rsid w:val="00B24979"/>
    <w:rsid w:val="00B250A5"/>
    <w:rsid w:val="00B25651"/>
    <w:rsid w:val="00B26937"/>
    <w:rsid w:val="00B30243"/>
    <w:rsid w:val="00B30421"/>
    <w:rsid w:val="00B30DC8"/>
    <w:rsid w:val="00B315BB"/>
    <w:rsid w:val="00B31977"/>
    <w:rsid w:val="00B3235A"/>
    <w:rsid w:val="00B333FE"/>
    <w:rsid w:val="00B3382B"/>
    <w:rsid w:val="00B35094"/>
    <w:rsid w:val="00B350F0"/>
    <w:rsid w:val="00B357AC"/>
    <w:rsid w:val="00B35992"/>
    <w:rsid w:val="00B35E4B"/>
    <w:rsid w:val="00B35FCC"/>
    <w:rsid w:val="00B36518"/>
    <w:rsid w:val="00B378CC"/>
    <w:rsid w:val="00B41615"/>
    <w:rsid w:val="00B41FD8"/>
    <w:rsid w:val="00B420DF"/>
    <w:rsid w:val="00B428E2"/>
    <w:rsid w:val="00B42A2C"/>
    <w:rsid w:val="00B42A5C"/>
    <w:rsid w:val="00B42A98"/>
    <w:rsid w:val="00B42C64"/>
    <w:rsid w:val="00B448EF"/>
    <w:rsid w:val="00B47493"/>
    <w:rsid w:val="00B474C8"/>
    <w:rsid w:val="00B474DF"/>
    <w:rsid w:val="00B47915"/>
    <w:rsid w:val="00B50E18"/>
    <w:rsid w:val="00B513A9"/>
    <w:rsid w:val="00B51568"/>
    <w:rsid w:val="00B51610"/>
    <w:rsid w:val="00B5167B"/>
    <w:rsid w:val="00B520E3"/>
    <w:rsid w:val="00B52336"/>
    <w:rsid w:val="00B5388C"/>
    <w:rsid w:val="00B55CED"/>
    <w:rsid w:val="00B55D57"/>
    <w:rsid w:val="00B55E9D"/>
    <w:rsid w:val="00B55F80"/>
    <w:rsid w:val="00B560B2"/>
    <w:rsid w:val="00B56480"/>
    <w:rsid w:val="00B565D6"/>
    <w:rsid w:val="00B576A4"/>
    <w:rsid w:val="00B57998"/>
    <w:rsid w:val="00B57CD0"/>
    <w:rsid w:val="00B57DA9"/>
    <w:rsid w:val="00B60177"/>
    <w:rsid w:val="00B60639"/>
    <w:rsid w:val="00B6308E"/>
    <w:rsid w:val="00B63D58"/>
    <w:rsid w:val="00B64E8A"/>
    <w:rsid w:val="00B65588"/>
    <w:rsid w:val="00B658D1"/>
    <w:rsid w:val="00B65EAD"/>
    <w:rsid w:val="00B65FF1"/>
    <w:rsid w:val="00B66064"/>
    <w:rsid w:val="00B66995"/>
    <w:rsid w:val="00B66B1D"/>
    <w:rsid w:val="00B671A1"/>
    <w:rsid w:val="00B67228"/>
    <w:rsid w:val="00B673E7"/>
    <w:rsid w:val="00B6756E"/>
    <w:rsid w:val="00B675A6"/>
    <w:rsid w:val="00B6794D"/>
    <w:rsid w:val="00B67B55"/>
    <w:rsid w:val="00B67C6C"/>
    <w:rsid w:val="00B70C61"/>
    <w:rsid w:val="00B70E5A"/>
    <w:rsid w:val="00B7220D"/>
    <w:rsid w:val="00B749B6"/>
    <w:rsid w:val="00B7509A"/>
    <w:rsid w:val="00B75561"/>
    <w:rsid w:val="00B75D3A"/>
    <w:rsid w:val="00B7613E"/>
    <w:rsid w:val="00B766C1"/>
    <w:rsid w:val="00B76966"/>
    <w:rsid w:val="00B76B96"/>
    <w:rsid w:val="00B76EFB"/>
    <w:rsid w:val="00B77129"/>
    <w:rsid w:val="00B77C37"/>
    <w:rsid w:val="00B807BF"/>
    <w:rsid w:val="00B809B1"/>
    <w:rsid w:val="00B82543"/>
    <w:rsid w:val="00B82998"/>
    <w:rsid w:val="00B834B0"/>
    <w:rsid w:val="00B837F6"/>
    <w:rsid w:val="00B83DAE"/>
    <w:rsid w:val="00B84FB4"/>
    <w:rsid w:val="00B85165"/>
    <w:rsid w:val="00B8756E"/>
    <w:rsid w:val="00B87DF9"/>
    <w:rsid w:val="00B91951"/>
    <w:rsid w:val="00B91A58"/>
    <w:rsid w:val="00B91EAD"/>
    <w:rsid w:val="00B920B9"/>
    <w:rsid w:val="00B930D2"/>
    <w:rsid w:val="00B9364A"/>
    <w:rsid w:val="00B937CD"/>
    <w:rsid w:val="00B938BC"/>
    <w:rsid w:val="00B93997"/>
    <w:rsid w:val="00B93C98"/>
    <w:rsid w:val="00B976BB"/>
    <w:rsid w:val="00BA01A7"/>
    <w:rsid w:val="00BA0224"/>
    <w:rsid w:val="00BA05C8"/>
    <w:rsid w:val="00BA09AA"/>
    <w:rsid w:val="00BA0AD5"/>
    <w:rsid w:val="00BA0CA0"/>
    <w:rsid w:val="00BA0E3C"/>
    <w:rsid w:val="00BA1521"/>
    <w:rsid w:val="00BA1F74"/>
    <w:rsid w:val="00BA1FE7"/>
    <w:rsid w:val="00BA2B1D"/>
    <w:rsid w:val="00BA3D14"/>
    <w:rsid w:val="00BA435A"/>
    <w:rsid w:val="00BA54BA"/>
    <w:rsid w:val="00BA5603"/>
    <w:rsid w:val="00BA56D9"/>
    <w:rsid w:val="00BA5EBB"/>
    <w:rsid w:val="00BA6194"/>
    <w:rsid w:val="00BA7EEE"/>
    <w:rsid w:val="00BB1ACA"/>
    <w:rsid w:val="00BB2008"/>
    <w:rsid w:val="00BB23FF"/>
    <w:rsid w:val="00BB29DF"/>
    <w:rsid w:val="00BB2CFC"/>
    <w:rsid w:val="00BB34DC"/>
    <w:rsid w:val="00BB35D0"/>
    <w:rsid w:val="00BB3AC4"/>
    <w:rsid w:val="00BB4999"/>
    <w:rsid w:val="00BB4BCD"/>
    <w:rsid w:val="00BB52EB"/>
    <w:rsid w:val="00BB56C7"/>
    <w:rsid w:val="00BB5B62"/>
    <w:rsid w:val="00BB6502"/>
    <w:rsid w:val="00BB6796"/>
    <w:rsid w:val="00BB6BCD"/>
    <w:rsid w:val="00BB70F9"/>
    <w:rsid w:val="00BB7C9B"/>
    <w:rsid w:val="00BC08EC"/>
    <w:rsid w:val="00BC096F"/>
    <w:rsid w:val="00BC1527"/>
    <w:rsid w:val="00BC1A78"/>
    <w:rsid w:val="00BC1BF2"/>
    <w:rsid w:val="00BC2306"/>
    <w:rsid w:val="00BC2F31"/>
    <w:rsid w:val="00BC4036"/>
    <w:rsid w:val="00BC4F0A"/>
    <w:rsid w:val="00BC509F"/>
    <w:rsid w:val="00BC51D2"/>
    <w:rsid w:val="00BC5677"/>
    <w:rsid w:val="00BC64BE"/>
    <w:rsid w:val="00BC7155"/>
    <w:rsid w:val="00BC7550"/>
    <w:rsid w:val="00BD0B72"/>
    <w:rsid w:val="00BD2668"/>
    <w:rsid w:val="00BD3924"/>
    <w:rsid w:val="00BD450F"/>
    <w:rsid w:val="00BD4512"/>
    <w:rsid w:val="00BD52AA"/>
    <w:rsid w:val="00BE1061"/>
    <w:rsid w:val="00BE1321"/>
    <w:rsid w:val="00BE2893"/>
    <w:rsid w:val="00BE2EB4"/>
    <w:rsid w:val="00BE2F5A"/>
    <w:rsid w:val="00BE37D3"/>
    <w:rsid w:val="00BE522A"/>
    <w:rsid w:val="00BE57B5"/>
    <w:rsid w:val="00BE6DF3"/>
    <w:rsid w:val="00BE7A7C"/>
    <w:rsid w:val="00BF0A44"/>
    <w:rsid w:val="00BF0CEC"/>
    <w:rsid w:val="00BF1A44"/>
    <w:rsid w:val="00BF1EDF"/>
    <w:rsid w:val="00BF47BE"/>
    <w:rsid w:val="00BF4D3D"/>
    <w:rsid w:val="00BF5B8C"/>
    <w:rsid w:val="00BF66B7"/>
    <w:rsid w:val="00BF6A68"/>
    <w:rsid w:val="00BF7152"/>
    <w:rsid w:val="00BF73F0"/>
    <w:rsid w:val="00BF75B1"/>
    <w:rsid w:val="00BF75C9"/>
    <w:rsid w:val="00BF7BD2"/>
    <w:rsid w:val="00BF7BD3"/>
    <w:rsid w:val="00C00352"/>
    <w:rsid w:val="00C007CE"/>
    <w:rsid w:val="00C00A22"/>
    <w:rsid w:val="00C00F18"/>
    <w:rsid w:val="00C01D39"/>
    <w:rsid w:val="00C0200C"/>
    <w:rsid w:val="00C020A8"/>
    <w:rsid w:val="00C034A4"/>
    <w:rsid w:val="00C03762"/>
    <w:rsid w:val="00C03DD0"/>
    <w:rsid w:val="00C04445"/>
    <w:rsid w:val="00C04705"/>
    <w:rsid w:val="00C04A7F"/>
    <w:rsid w:val="00C04E2B"/>
    <w:rsid w:val="00C051AA"/>
    <w:rsid w:val="00C060A0"/>
    <w:rsid w:val="00C07187"/>
    <w:rsid w:val="00C075C9"/>
    <w:rsid w:val="00C07FAD"/>
    <w:rsid w:val="00C105AD"/>
    <w:rsid w:val="00C106C4"/>
    <w:rsid w:val="00C111EA"/>
    <w:rsid w:val="00C119AD"/>
    <w:rsid w:val="00C1228D"/>
    <w:rsid w:val="00C138C2"/>
    <w:rsid w:val="00C13FED"/>
    <w:rsid w:val="00C14B08"/>
    <w:rsid w:val="00C14E7D"/>
    <w:rsid w:val="00C15722"/>
    <w:rsid w:val="00C16897"/>
    <w:rsid w:val="00C17046"/>
    <w:rsid w:val="00C200C9"/>
    <w:rsid w:val="00C20335"/>
    <w:rsid w:val="00C218FD"/>
    <w:rsid w:val="00C21D8E"/>
    <w:rsid w:val="00C21FF3"/>
    <w:rsid w:val="00C22525"/>
    <w:rsid w:val="00C228A4"/>
    <w:rsid w:val="00C23D0A"/>
    <w:rsid w:val="00C23DBB"/>
    <w:rsid w:val="00C23FE1"/>
    <w:rsid w:val="00C2410D"/>
    <w:rsid w:val="00C24BAF"/>
    <w:rsid w:val="00C25F8B"/>
    <w:rsid w:val="00C265C0"/>
    <w:rsid w:val="00C26B9E"/>
    <w:rsid w:val="00C272EF"/>
    <w:rsid w:val="00C2732B"/>
    <w:rsid w:val="00C2753F"/>
    <w:rsid w:val="00C276A8"/>
    <w:rsid w:val="00C27975"/>
    <w:rsid w:val="00C300BC"/>
    <w:rsid w:val="00C318F7"/>
    <w:rsid w:val="00C319D2"/>
    <w:rsid w:val="00C31AF4"/>
    <w:rsid w:val="00C31F85"/>
    <w:rsid w:val="00C32534"/>
    <w:rsid w:val="00C326EE"/>
    <w:rsid w:val="00C32951"/>
    <w:rsid w:val="00C32C02"/>
    <w:rsid w:val="00C33235"/>
    <w:rsid w:val="00C33677"/>
    <w:rsid w:val="00C34137"/>
    <w:rsid w:val="00C3476B"/>
    <w:rsid w:val="00C35240"/>
    <w:rsid w:val="00C368B3"/>
    <w:rsid w:val="00C36F07"/>
    <w:rsid w:val="00C371C2"/>
    <w:rsid w:val="00C37214"/>
    <w:rsid w:val="00C372E8"/>
    <w:rsid w:val="00C376A7"/>
    <w:rsid w:val="00C409DC"/>
    <w:rsid w:val="00C40B1B"/>
    <w:rsid w:val="00C40E88"/>
    <w:rsid w:val="00C416A3"/>
    <w:rsid w:val="00C41785"/>
    <w:rsid w:val="00C41FC1"/>
    <w:rsid w:val="00C434C2"/>
    <w:rsid w:val="00C43940"/>
    <w:rsid w:val="00C44342"/>
    <w:rsid w:val="00C44694"/>
    <w:rsid w:val="00C44744"/>
    <w:rsid w:val="00C45709"/>
    <w:rsid w:val="00C457C1"/>
    <w:rsid w:val="00C462CF"/>
    <w:rsid w:val="00C46625"/>
    <w:rsid w:val="00C46870"/>
    <w:rsid w:val="00C47545"/>
    <w:rsid w:val="00C47593"/>
    <w:rsid w:val="00C47748"/>
    <w:rsid w:val="00C5044B"/>
    <w:rsid w:val="00C506BD"/>
    <w:rsid w:val="00C50E55"/>
    <w:rsid w:val="00C510DC"/>
    <w:rsid w:val="00C51426"/>
    <w:rsid w:val="00C51622"/>
    <w:rsid w:val="00C519D5"/>
    <w:rsid w:val="00C51FB3"/>
    <w:rsid w:val="00C5223C"/>
    <w:rsid w:val="00C52A35"/>
    <w:rsid w:val="00C53213"/>
    <w:rsid w:val="00C53917"/>
    <w:rsid w:val="00C541DE"/>
    <w:rsid w:val="00C54C11"/>
    <w:rsid w:val="00C54C67"/>
    <w:rsid w:val="00C54E65"/>
    <w:rsid w:val="00C55BD5"/>
    <w:rsid w:val="00C55C76"/>
    <w:rsid w:val="00C56243"/>
    <w:rsid w:val="00C56324"/>
    <w:rsid w:val="00C5653B"/>
    <w:rsid w:val="00C565A3"/>
    <w:rsid w:val="00C577F7"/>
    <w:rsid w:val="00C60667"/>
    <w:rsid w:val="00C61AB9"/>
    <w:rsid w:val="00C61F84"/>
    <w:rsid w:val="00C62FF7"/>
    <w:rsid w:val="00C63135"/>
    <w:rsid w:val="00C637DC"/>
    <w:rsid w:val="00C63EE8"/>
    <w:rsid w:val="00C641CF"/>
    <w:rsid w:val="00C6432E"/>
    <w:rsid w:val="00C65718"/>
    <w:rsid w:val="00C65C81"/>
    <w:rsid w:val="00C66772"/>
    <w:rsid w:val="00C66D2B"/>
    <w:rsid w:val="00C6703F"/>
    <w:rsid w:val="00C67580"/>
    <w:rsid w:val="00C6781C"/>
    <w:rsid w:val="00C67EA1"/>
    <w:rsid w:val="00C70AEE"/>
    <w:rsid w:val="00C71D15"/>
    <w:rsid w:val="00C7234D"/>
    <w:rsid w:val="00C7244E"/>
    <w:rsid w:val="00C726C9"/>
    <w:rsid w:val="00C72801"/>
    <w:rsid w:val="00C72C0A"/>
    <w:rsid w:val="00C73C04"/>
    <w:rsid w:val="00C73E67"/>
    <w:rsid w:val="00C73FAD"/>
    <w:rsid w:val="00C74AE1"/>
    <w:rsid w:val="00C757B8"/>
    <w:rsid w:val="00C75BBE"/>
    <w:rsid w:val="00C76906"/>
    <w:rsid w:val="00C76B7C"/>
    <w:rsid w:val="00C76CC7"/>
    <w:rsid w:val="00C76F81"/>
    <w:rsid w:val="00C776A4"/>
    <w:rsid w:val="00C777D7"/>
    <w:rsid w:val="00C77D4B"/>
    <w:rsid w:val="00C800DD"/>
    <w:rsid w:val="00C80920"/>
    <w:rsid w:val="00C80B03"/>
    <w:rsid w:val="00C8243F"/>
    <w:rsid w:val="00C8289B"/>
    <w:rsid w:val="00C82D54"/>
    <w:rsid w:val="00C82F3B"/>
    <w:rsid w:val="00C837C4"/>
    <w:rsid w:val="00C83829"/>
    <w:rsid w:val="00C838E3"/>
    <w:rsid w:val="00C83AD3"/>
    <w:rsid w:val="00C83EDD"/>
    <w:rsid w:val="00C84BF1"/>
    <w:rsid w:val="00C84CA2"/>
    <w:rsid w:val="00C85A36"/>
    <w:rsid w:val="00C85CD1"/>
    <w:rsid w:val="00C8651E"/>
    <w:rsid w:val="00C86C56"/>
    <w:rsid w:val="00C8773E"/>
    <w:rsid w:val="00C90601"/>
    <w:rsid w:val="00C90D16"/>
    <w:rsid w:val="00C9116A"/>
    <w:rsid w:val="00C9265D"/>
    <w:rsid w:val="00C92824"/>
    <w:rsid w:val="00C937BA"/>
    <w:rsid w:val="00C949FC"/>
    <w:rsid w:val="00C960CF"/>
    <w:rsid w:val="00C96672"/>
    <w:rsid w:val="00C96678"/>
    <w:rsid w:val="00C96772"/>
    <w:rsid w:val="00C96CFA"/>
    <w:rsid w:val="00C96E5A"/>
    <w:rsid w:val="00C96EB5"/>
    <w:rsid w:val="00C97627"/>
    <w:rsid w:val="00C97995"/>
    <w:rsid w:val="00CA0257"/>
    <w:rsid w:val="00CA0917"/>
    <w:rsid w:val="00CA102B"/>
    <w:rsid w:val="00CA1069"/>
    <w:rsid w:val="00CA283D"/>
    <w:rsid w:val="00CA29D1"/>
    <w:rsid w:val="00CA2DD6"/>
    <w:rsid w:val="00CA2EC9"/>
    <w:rsid w:val="00CA3247"/>
    <w:rsid w:val="00CA3752"/>
    <w:rsid w:val="00CA3999"/>
    <w:rsid w:val="00CA39C0"/>
    <w:rsid w:val="00CA5825"/>
    <w:rsid w:val="00CA5AD3"/>
    <w:rsid w:val="00CA62DD"/>
    <w:rsid w:val="00CA69BA"/>
    <w:rsid w:val="00CA7DE6"/>
    <w:rsid w:val="00CB0339"/>
    <w:rsid w:val="00CB070B"/>
    <w:rsid w:val="00CB110E"/>
    <w:rsid w:val="00CB11F8"/>
    <w:rsid w:val="00CB1787"/>
    <w:rsid w:val="00CB225B"/>
    <w:rsid w:val="00CB2EF5"/>
    <w:rsid w:val="00CB33E4"/>
    <w:rsid w:val="00CB4230"/>
    <w:rsid w:val="00CB431B"/>
    <w:rsid w:val="00CB4A77"/>
    <w:rsid w:val="00CB4EA5"/>
    <w:rsid w:val="00CB557F"/>
    <w:rsid w:val="00CB592B"/>
    <w:rsid w:val="00CB5C5F"/>
    <w:rsid w:val="00CB600E"/>
    <w:rsid w:val="00CB65B8"/>
    <w:rsid w:val="00CB6CDF"/>
    <w:rsid w:val="00CB6D89"/>
    <w:rsid w:val="00CB7264"/>
    <w:rsid w:val="00CB730F"/>
    <w:rsid w:val="00CB761C"/>
    <w:rsid w:val="00CB76B5"/>
    <w:rsid w:val="00CB7AD6"/>
    <w:rsid w:val="00CC0495"/>
    <w:rsid w:val="00CC0C47"/>
    <w:rsid w:val="00CC110F"/>
    <w:rsid w:val="00CC11B8"/>
    <w:rsid w:val="00CC1AF9"/>
    <w:rsid w:val="00CC20E0"/>
    <w:rsid w:val="00CC2818"/>
    <w:rsid w:val="00CC2F7A"/>
    <w:rsid w:val="00CC3A70"/>
    <w:rsid w:val="00CC4033"/>
    <w:rsid w:val="00CC40B8"/>
    <w:rsid w:val="00CC5444"/>
    <w:rsid w:val="00CC5631"/>
    <w:rsid w:val="00CC62A6"/>
    <w:rsid w:val="00CC676C"/>
    <w:rsid w:val="00CC7A11"/>
    <w:rsid w:val="00CD04A8"/>
    <w:rsid w:val="00CD051B"/>
    <w:rsid w:val="00CD1DB1"/>
    <w:rsid w:val="00CD22B5"/>
    <w:rsid w:val="00CD22F4"/>
    <w:rsid w:val="00CD25E1"/>
    <w:rsid w:val="00CD367C"/>
    <w:rsid w:val="00CD454A"/>
    <w:rsid w:val="00CD45CB"/>
    <w:rsid w:val="00CD4F54"/>
    <w:rsid w:val="00CD4FFE"/>
    <w:rsid w:val="00CD57FA"/>
    <w:rsid w:val="00CD5A6E"/>
    <w:rsid w:val="00CD711F"/>
    <w:rsid w:val="00CD74A7"/>
    <w:rsid w:val="00CD79B2"/>
    <w:rsid w:val="00CE157C"/>
    <w:rsid w:val="00CE1AF6"/>
    <w:rsid w:val="00CE2298"/>
    <w:rsid w:val="00CE3064"/>
    <w:rsid w:val="00CE39E4"/>
    <w:rsid w:val="00CE4282"/>
    <w:rsid w:val="00CE54E1"/>
    <w:rsid w:val="00CE55B6"/>
    <w:rsid w:val="00CE5856"/>
    <w:rsid w:val="00CE5BDE"/>
    <w:rsid w:val="00CE6A6D"/>
    <w:rsid w:val="00CE774C"/>
    <w:rsid w:val="00CF012E"/>
    <w:rsid w:val="00CF04D4"/>
    <w:rsid w:val="00CF0B4C"/>
    <w:rsid w:val="00CF1680"/>
    <w:rsid w:val="00CF1904"/>
    <w:rsid w:val="00CF1BD7"/>
    <w:rsid w:val="00CF21A5"/>
    <w:rsid w:val="00CF2518"/>
    <w:rsid w:val="00CF27D5"/>
    <w:rsid w:val="00CF2DDE"/>
    <w:rsid w:val="00CF344A"/>
    <w:rsid w:val="00CF39A0"/>
    <w:rsid w:val="00CF3D1C"/>
    <w:rsid w:val="00CF3D5D"/>
    <w:rsid w:val="00CF4713"/>
    <w:rsid w:val="00CF4B12"/>
    <w:rsid w:val="00CF58FE"/>
    <w:rsid w:val="00CF5EBE"/>
    <w:rsid w:val="00CF783B"/>
    <w:rsid w:val="00CF7D97"/>
    <w:rsid w:val="00CF7EEC"/>
    <w:rsid w:val="00D001C2"/>
    <w:rsid w:val="00D00779"/>
    <w:rsid w:val="00D009D8"/>
    <w:rsid w:val="00D012E1"/>
    <w:rsid w:val="00D01318"/>
    <w:rsid w:val="00D01665"/>
    <w:rsid w:val="00D01D1E"/>
    <w:rsid w:val="00D02580"/>
    <w:rsid w:val="00D03BF7"/>
    <w:rsid w:val="00D03F1E"/>
    <w:rsid w:val="00D0406D"/>
    <w:rsid w:val="00D0428E"/>
    <w:rsid w:val="00D04426"/>
    <w:rsid w:val="00D0482F"/>
    <w:rsid w:val="00D04A33"/>
    <w:rsid w:val="00D05892"/>
    <w:rsid w:val="00D06824"/>
    <w:rsid w:val="00D0682F"/>
    <w:rsid w:val="00D06C03"/>
    <w:rsid w:val="00D1037A"/>
    <w:rsid w:val="00D10D09"/>
    <w:rsid w:val="00D1163E"/>
    <w:rsid w:val="00D12362"/>
    <w:rsid w:val="00D12A4F"/>
    <w:rsid w:val="00D14C15"/>
    <w:rsid w:val="00D15CB3"/>
    <w:rsid w:val="00D15F51"/>
    <w:rsid w:val="00D16ED5"/>
    <w:rsid w:val="00D17B31"/>
    <w:rsid w:val="00D202B1"/>
    <w:rsid w:val="00D20662"/>
    <w:rsid w:val="00D21291"/>
    <w:rsid w:val="00D21C8A"/>
    <w:rsid w:val="00D2297E"/>
    <w:rsid w:val="00D22DE5"/>
    <w:rsid w:val="00D233BD"/>
    <w:rsid w:val="00D233D7"/>
    <w:rsid w:val="00D23CBB"/>
    <w:rsid w:val="00D25295"/>
    <w:rsid w:val="00D25806"/>
    <w:rsid w:val="00D25AB3"/>
    <w:rsid w:val="00D25E9D"/>
    <w:rsid w:val="00D25F1C"/>
    <w:rsid w:val="00D26DE6"/>
    <w:rsid w:val="00D26EE7"/>
    <w:rsid w:val="00D279D7"/>
    <w:rsid w:val="00D30718"/>
    <w:rsid w:val="00D322FB"/>
    <w:rsid w:val="00D32475"/>
    <w:rsid w:val="00D32EF4"/>
    <w:rsid w:val="00D33F81"/>
    <w:rsid w:val="00D34850"/>
    <w:rsid w:val="00D35060"/>
    <w:rsid w:val="00D369D4"/>
    <w:rsid w:val="00D36AD7"/>
    <w:rsid w:val="00D373E9"/>
    <w:rsid w:val="00D3748C"/>
    <w:rsid w:val="00D37C61"/>
    <w:rsid w:val="00D403FF"/>
    <w:rsid w:val="00D404C4"/>
    <w:rsid w:val="00D40CE9"/>
    <w:rsid w:val="00D42115"/>
    <w:rsid w:val="00D42EFD"/>
    <w:rsid w:val="00D457D1"/>
    <w:rsid w:val="00D458AA"/>
    <w:rsid w:val="00D46338"/>
    <w:rsid w:val="00D46BA2"/>
    <w:rsid w:val="00D47234"/>
    <w:rsid w:val="00D47281"/>
    <w:rsid w:val="00D47581"/>
    <w:rsid w:val="00D478BA"/>
    <w:rsid w:val="00D50295"/>
    <w:rsid w:val="00D5069A"/>
    <w:rsid w:val="00D50E43"/>
    <w:rsid w:val="00D51469"/>
    <w:rsid w:val="00D52B45"/>
    <w:rsid w:val="00D530EB"/>
    <w:rsid w:val="00D53393"/>
    <w:rsid w:val="00D535B6"/>
    <w:rsid w:val="00D544AE"/>
    <w:rsid w:val="00D55235"/>
    <w:rsid w:val="00D55D78"/>
    <w:rsid w:val="00D562EB"/>
    <w:rsid w:val="00D56C4B"/>
    <w:rsid w:val="00D572B2"/>
    <w:rsid w:val="00D57F53"/>
    <w:rsid w:val="00D60323"/>
    <w:rsid w:val="00D60CAB"/>
    <w:rsid w:val="00D610FD"/>
    <w:rsid w:val="00D612AF"/>
    <w:rsid w:val="00D619F3"/>
    <w:rsid w:val="00D62961"/>
    <w:rsid w:val="00D62A5B"/>
    <w:rsid w:val="00D62B43"/>
    <w:rsid w:val="00D62ECD"/>
    <w:rsid w:val="00D63748"/>
    <w:rsid w:val="00D639F0"/>
    <w:rsid w:val="00D63C1B"/>
    <w:rsid w:val="00D63D50"/>
    <w:rsid w:val="00D63D76"/>
    <w:rsid w:val="00D64BFF"/>
    <w:rsid w:val="00D64DE1"/>
    <w:rsid w:val="00D64E3F"/>
    <w:rsid w:val="00D653D0"/>
    <w:rsid w:val="00D65B6D"/>
    <w:rsid w:val="00D6692A"/>
    <w:rsid w:val="00D66E55"/>
    <w:rsid w:val="00D674E9"/>
    <w:rsid w:val="00D6799A"/>
    <w:rsid w:val="00D7009C"/>
    <w:rsid w:val="00D70F17"/>
    <w:rsid w:val="00D712DA"/>
    <w:rsid w:val="00D71570"/>
    <w:rsid w:val="00D719EF"/>
    <w:rsid w:val="00D72327"/>
    <w:rsid w:val="00D727E0"/>
    <w:rsid w:val="00D72B87"/>
    <w:rsid w:val="00D72C72"/>
    <w:rsid w:val="00D74160"/>
    <w:rsid w:val="00D75D22"/>
    <w:rsid w:val="00D75DA5"/>
    <w:rsid w:val="00D75F30"/>
    <w:rsid w:val="00D7680B"/>
    <w:rsid w:val="00D76C58"/>
    <w:rsid w:val="00D76CF2"/>
    <w:rsid w:val="00D76E7C"/>
    <w:rsid w:val="00D80B40"/>
    <w:rsid w:val="00D8155B"/>
    <w:rsid w:val="00D81841"/>
    <w:rsid w:val="00D81E79"/>
    <w:rsid w:val="00D825A5"/>
    <w:rsid w:val="00D825B7"/>
    <w:rsid w:val="00D8290E"/>
    <w:rsid w:val="00D82AD1"/>
    <w:rsid w:val="00D82E6E"/>
    <w:rsid w:val="00D83040"/>
    <w:rsid w:val="00D8323B"/>
    <w:rsid w:val="00D83489"/>
    <w:rsid w:val="00D83D13"/>
    <w:rsid w:val="00D841AC"/>
    <w:rsid w:val="00D8443A"/>
    <w:rsid w:val="00D8589D"/>
    <w:rsid w:val="00D85A81"/>
    <w:rsid w:val="00D86466"/>
    <w:rsid w:val="00D870E8"/>
    <w:rsid w:val="00D872D1"/>
    <w:rsid w:val="00D87423"/>
    <w:rsid w:val="00D87452"/>
    <w:rsid w:val="00D87485"/>
    <w:rsid w:val="00D876DC"/>
    <w:rsid w:val="00D87EE4"/>
    <w:rsid w:val="00D907CB"/>
    <w:rsid w:val="00D91BF2"/>
    <w:rsid w:val="00D93322"/>
    <w:rsid w:val="00D93C1C"/>
    <w:rsid w:val="00D94026"/>
    <w:rsid w:val="00D94120"/>
    <w:rsid w:val="00D951DD"/>
    <w:rsid w:val="00D952ED"/>
    <w:rsid w:val="00D957FA"/>
    <w:rsid w:val="00D95968"/>
    <w:rsid w:val="00D9664C"/>
    <w:rsid w:val="00D97404"/>
    <w:rsid w:val="00D975A3"/>
    <w:rsid w:val="00D979D0"/>
    <w:rsid w:val="00DA08CA"/>
    <w:rsid w:val="00DA095A"/>
    <w:rsid w:val="00DA0F37"/>
    <w:rsid w:val="00DA101A"/>
    <w:rsid w:val="00DA122C"/>
    <w:rsid w:val="00DA1A06"/>
    <w:rsid w:val="00DA2FD5"/>
    <w:rsid w:val="00DA4838"/>
    <w:rsid w:val="00DA4989"/>
    <w:rsid w:val="00DA4C91"/>
    <w:rsid w:val="00DA5464"/>
    <w:rsid w:val="00DA5721"/>
    <w:rsid w:val="00DA6173"/>
    <w:rsid w:val="00DA7477"/>
    <w:rsid w:val="00DA7573"/>
    <w:rsid w:val="00DA7BD4"/>
    <w:rsid w:val="00DB0191"/>
    <w:rsid w:val="00DB0359"/>
    <w:rsid w:val="00DB0EF6"/>
    <w:rsid w:val="00DB0F8A"/>
    <w:rsid w:val="00DB26A8"/>
    <w:rsid w:val="00DB27CF"/>
    <w:rsid w:val="00DB324C"/>
    <w:rsid w:val="00DB3FD3"/>
    <w:rsid w:val="00DB41CC"/>
    <w:rsid w:val="00DB5E15"/>
    <w:rsid w:val="00DB5F2A"/>
    <w:rsid w:val="00DB6A2B"/>
    <w:rsid w:val="00DB6F45"/>
    <w:rsid w:val="00DB72B7"/>
    <w:rsid w:val="00DB7546"/>
    <w:rsid w:val="00DB782D"/>
    <w:rsid w:val="00DC0624"/>
    <w:rsid w:val="00DC0FC3"/>
    <w:rsid w:val="00DC1A58"/>
    <w:rsid w:val="00DC1AC0"/>
    <w:rsid w:val="00DC1CDD"/>
    <w:rsid w:val="00DC1D8E"/>
    <w:rsid w:val="00DC20C3"/>
    <w:rsid w:val="00DC227A"/>
    <w:rsid w:val="00DC2360"/>
    <w:rsid w:val="00DC26E4"/>
    <w:rsid w:val="00DC2BAE"/>
    <w:rsid w:val="00DC2CEE"/>
    <w:rsid w:val="00DC3257"/>
    <w:rsid w:val="00DC3279"/>
    <w:rsid w:val="00DC3BF1"/>
    <w:rsid w:val="00DC3FFE"/>
    <w:rsid w:val="00DC4D1D"/>
    <w:rsid w:val="00DC4D87"/>
    <w:rsid w:val="00DC54EB"/>
    <w:rsid w:val="00DC580A"/>
    <w:rsid w:val="00DC5B50"/>
    <w:rsid w:val="00DC66BC"/>
    <w:rsid w:val="00DC727F"/>
    <w:rsid w:val="00DC7E78"/>
    <w:rsid w:val="00DD0493"/>
    <w:rsid w:val="00DD0924"/>
    <w:rsid w:val="00DD0CBF"/>
    <w:rsid w:val="00DD1071"/>
    <w:rsid w:val="00DD12FD"/>
    <w:rsid w:val="00DD1576"/>
    <w:rsid w:val="00DD2893"/>
    <w:rsid w:val="00DD4717"/>
    <w:rsid w:val="00DD4F74"/>
    <w:rsid w:val="00DD531F"/>
    <w:rsid w:val="00DD556C"/>
    <w:rsid w:val="00DD5737"/>
    <w:rsid w:val="00DD5E81"/>
    <w:rsid w:val="00DD6C46"/>
    <w:rsid w:val="00DD6C7A"/>
    <w:rsid w:val="00DD6F44"/>
    <w:rsid w:val="00DD72EE"/>
    <w:rsid w:val="00DD7CCA"/>
    <w:rsid w:val="00DE0BDE"/>
    <w:rsid w:val="00DE10CF"/>
    <w:rsid w:val="00DE1270"/>
    <w:rsid w:val="00DE1E1E"/>
    <w:rsid w:val="00DE223E"/>
    <w:rsid w:val="00DE2A32"/>
    <w:rsid w:val="00DE2D33"/>
    <w:rsid w:val="00DE34EB"/>
    <w:rsid w:val="00DE3592"/>
    <w:rsid w:val="00DE3E78"/>
    <w:rsid w:val="00DE41F8"/>
    <w:rsid w:val="00DE4B9D"/>
    <w:rsid w:val="00DE50EA"/>
    <w:rsid w:val="00DE545C"/>
    <w:rsid w:val="00DE5C9F"/>
    <w:rsid w:val="00DE734E"/>
    <w:rsid w:val="00DE76B6"/>
    <w:rsid w:val="00DE7887"/>
    <w:rsid w:val="00DE7BF8"/>
    <w:rsid w:val="00DF06C7"/>
    <w:rsid w:val="00DF0DC3"/>
    <w:rsid w:val="00DF14F9"/>
    <w:rsid w:val="00DF1C2D"/>
    <w:rsid w:val="00DF1FAE"/>
    <w:rsid w:val="00DF2AD9"/>
    <w:rsid w:val="00DF54D0"/>
    <w:rsid w:val="00DF580C"/>
    <w:rsid w:val="00DF5C1A"/>
    <w:rsid w:val="00DF64FD"/>
    <w:rsid w:val="00DF6BCB"/>
    <w:rsid w:val="00DF6D45"/>
    <w:rsid w:val="00DF7042"/>
    <w:rsid w:val="00DF78FD"/>
    <w:rsid w:val="00DF7EFE"/>
    <w:rsid w:val="00E00E15"/>
    <w:rsid w:val="00E00F63"/>
    <w:rsid w:val="00E01210"/>
    <w:rsid w:val="00E01D50"/>
    <w:rsid w:val="00E02664"/>
    <w:rsid w:val="00E02C4D"/>
    <w:rsid w:val="00E031A5"/>
    <w:rsid w:val="00E031BD"/>
    <w:rsid w:val="00E03267"/>
    <w:rsid w:val="00E0341B"/>
    <w:rsid w:val="00E0348F"/>
    <w:rsid w:val="00E035A6"/>
    <w:rsid w:val="00E038F5"/>
    <w:rsid w:val="00E03A7F"/>
    <w:rsid w:val="00E03D67"/>
    <w:rsid w:val="00E042E1"/>
    <w:rsid w:val="00E04510"/>
    <w:rsid w:val="00E04784"/>
    <w:rsid w:val="00E05569"/>
    <w:rsid w:val="00E05A6C"/>
    <w:rsid w:val="00E05F59"/>
    <w:rsid w:val="00E0655D"/>
    <w:rsid w:val="00E1024A"/>
    <w:rsid w:val="00E10B17"/>
    <w:rsid w:val="00E10B67"/>
    <w:rsid w:val="00E12742"/>
    <w:rsid w:val="00E12AB9"/>
    <w:rsid w:val="00E12B67"/>
    <w:rsid w:val="00E141D3"/>
    <w:rsid w:val="00E14941"/>
    <w:rsid w:val="00E1526B"/>
    <w:rsid w:val="00E1534B"/>
    <w:rsid w:val="00E15408"/>
    <w:rsid w:val="00E15743"/>
    <w:rsid w:val="00E15C52"/>
    <w:rsid w:val="00E15EDA"/>
    <w:rsid w:val="00E15F0B"/>
    <w:rsid w:val="00E160E8"/>
    <w:rsid w:val="00E16199"/>
    <w:rsid w:val="00E16311"/>
    <w:rsid w:val="00E1702C"/>
    <w:rsid w:val="00E17795"/>
    <w:rsid w:val="00E20CC5"/>
    <w:rsid w:val="00E21ACA"/>
    <w:rsid w:val="00E2203D"/>
    <w:rsid w:val="00E22112"/>
    <w:rsid w:val="00E22B80"/>
    <w:rsid w:val="00E22C0E"/>
    <w:rsid w:val="00E22CFF"/>
    <w:rsid w:val="00E231CD"/>
    <w:rsid w:val="00E231E1"/>
    <w:rsid w:val="00E23888"/>
    <w:rsid w:val="00E23B9C"/>
    <w:rsid w:val="00E23CE3"/>
    <w:rsid w:val="00E23CF7"/>
    <w:rsid w:val="00E23E76"/>
    <w:rsid w:val="00E2432D"/>
    <w:rsid w:val="00E249DB"/>
    <w:rsid w:val="00E249E3"/>
    <w:rsid w:val="00E25310"/>
    <w:rsid w:val="00E253A3"/>
    <w:rsid w:val="00E25402"/>
    <w:rsid w:val="00E259B0"/>
    <w:rsid w:val="00E25AF8"/>
    <w:rsid w:val="00E26A67"/>
    <w:rsid w:val="00E26AEC"/>
    <w:rsid w:val="00E2757B"/>
    <w:rsid w:val="00E2792D"/>
    <w:rsid w:val="00E27CB2"/>
    <w:rsid w:val="00E30828"/>
    <w:rsid w:val="00E30B37"/>
    <w:rsid w:val="00E3109C"/>
    <w:rsid w:val="00E3112C"/>
    <w:rsid w:val="00E311D1"/>
    <w:rsid w:val="00E31C2D"/>
    <w:rsid w:val="00E32432"/>
    <w:rsid w:val="00E33B1E"/>
    <w:rsid w:val="00E34277"/>
    <w:rsid w:val="00E35F44"/>
    <w:rsid w:val="00E3621B"/>
    <w:rsid w:val="00E36F43"/>
    <w:rsid w:val="00E37F0C"/>
    <w:rsid w:val="00E40ADF"/>
    <w:rsid w:val="00E418E3"/>
    <w:rsid w:val="00E423DE"/>
    <w:rsid w:val="00E42F07"/>
    <w:rsid w:val="00E4370F"/>
    <w:rsid w:val="00E438C4"/>
    <w:rsid w:val="00E4441D"/>
    <w:rsid w:val="00E453AB"/>
    <w:rsid w:val="00E462E6"/>
    <w:rsid w:val="00E463A0"/>
    <w:rsid w:val="00E47839"/>
    <w:rsid w:val="00E51CDE"/>
    <w:rsid w:val="00E5210B"/>
    <w:rsid w:val="00E53631"/>
    <w:rsid w:val="00E5388F"/>
    <w:rsid w:val="00E54239"/>
    <w:rsid w:val="00E54272"/>
    <w:rsid w:val="00E542BC"/>
    <w:rsid w:val="00E54521"/>
    <w:rsid w:val="00E54617"/>
    <w:rsid w:val="00E5484B"/>
    <w:rsid w:val="00E55C72"/>
    <w:rsid w:val="00E56023"/>
    <w:rsid w:val="00E56D6E"/>
    <w:rsid w:val="00E56FEF"/>
    <w:rsid w:val="00E577F9"/>
    <w:rsid w:val="00E57FB5"/>
    <w:rsid w:val="00E60F14"/>
    <w:rsid w:val="00E61B23"/>
    <w:rsid w:val="00E625BE"/>
    <w:rsid w:val="00E6284B"/>
    <w:rsid w:val="00E62D07"/>
    <w:rsid w:val="00E62DF6"/>
    <w:rsid w:val="00E63A22"/>
    <w:rsid w:val="00E63B8F"/>
    <w:rsid w:val="00E646B5"/>
    <w:rsid w:val="00E65325"/>
    <w:rsid w:val="00E65427"/>
    <w:rsid w:val="00E6543F"/>
    <w:rsid w:val="00E661C0"/>
    <w:rsid w:val="00E663F5"/>
    <w:rsid w:val="00E66E97"/>
    <w:rsid w:val="00E70BD6"/>
    <w:rsid w:val="00E71305"/>
    <w:rsid w:val="00E72383"/>
    <w:rsid w:val="00E723CA"/>
    <w:rsid w:val="00E724D2"/>
    <w:rsid w:val="00E72D9F"/>
    <w:rsid w:val="00E73C41"/>
    <w:rsid w:val="00E74933"/>
    <w:rsid w:val="00E74EDC"/>
    <w:rsid w:val="00E75737"/>
    <w:rsid w:val="00E75875"/>
    <w:rsid w:val="00E75886"/>
    <w:rsid w:val="00E75D6E"/>
    <w:rsid w:val="00E76007"/>
    <w:rsid w:val="00E76181"/>
    <w:rsid w:val="00E76AB2"/>
    <w:rsid w:val="00E770F2"/>
    <w:rsid w:val="00E77EAC"/>
    <w:rsid w:val="00E803E1"/>
    <w:rsid w:val="00E81069"/>
    <w:rsid w:val="00E817AD"/>
    <w:rsid w:val="00E817EF"/>
    <w:rsid w:val="00E8184F"/>
    <w:rsid w:val="00E828D5"/>
    <w:rsid w:val="00E82D81"/>
    <w:rsid w:val="00E83259"/>
    <w:rsid w:val="00E839BE"/>
    <w:rsid w:val="00E83CAC"/>
    <w:rsid w:val="00E84C89"/>
    <w:rsid w:val="00E85E56"/>
    <w:rsid w:val="00E860DD"/>
    <w:rsid w:val="00E8713D"/>
    <w:rsid w:val="00E90329"/>
    <w:rsid w:val="00E910D5"/>
    <w:rsid w:val="00E91C1B"/>
    <w:rsid w:val="00E921B6"/>
    <w:rsid w:val="00E922C4"/>
    <w:rsid w:val="00E943AE"/>
    <w:rsid w:val="00E947B0"/>
    <w:rsid w:val="00E94C71"/>
    <w:rsid w:val="00E95D82"/>
    <w:rsid w:val="00E95F21"/>
    <w:rsid w:val="00E96273"/>
    <w:rsid w:val="00E96E97"/>
    <w:rsid w:val="00E97D49"/>
    <w:rsid w:val="00EA0251"/>
    <w:rsid w:val="00EA1065"/>
    <w:rsid w:val="00EA12CB"/>
    <w:rsid w:val="00EA1434"/>
    <w:rsid w:val="00EA2A4C"/>
    <w:rsid w:val="00EA3585"/>
    <w:rsid w:val="00EA3C3E"/>
    <w:rsid w:val="00EA4694"/>
    <w:rsid w:val="00EA48D3"/>
    <w:rsid w:val="00EA546B"/>
    <w:rsid w:val="00EA57C5"/>
    <w:rsid w:val="00EA5D7E"/>
    <w:rsid w:val="00EA5F31"/>
    <w:rsid w:val="00EA5F92"/>
    <w:rsid w:val="00EA64B4"/>
    <w:rsid w:val="00EA65F1"/>
    <w:rsid w:val="00EA6665"/>
    <w:rsid w:val="00EA6935"/>
    <w:rsid w:val="00EA6967"/>
    <w:rsid w:val="00EA6EFD"/>
    <w:rsid w:val="00EA6F44"/>
    <w:rsid w:val="00EA7613"/>
    <w:rsid w:val="00EA793B"/>
    <w:rsid w:val="00EA7A7E"/>
    <w:rsid w:val="00EB05DA"/>
    <w:rsid w:val="00EB190F"/>
    <w:rsid w:val="00EB218F"/>
    <w:rsid w:val="00EB235B"/>
    <w:rsid w:val="00EB2502"/>
    <w:rsid w:val="00EB31A3"/>
    <w:rsid w:val="00EB325B"/>
    <w:rsid w:val="00EB3E22"/>
    <w:rsid w:val="00EB6873"/>
    <w:rsid w:val="00EB693B"/>
    <w:rsid w:val="00EB7BA9"/>
    <w:rsid w:val="00EB7D75"/>
    <w:rsid w:val="00EC0B20"/>
    <w:rsid w:val="00EC0EE7"/>
    <w:rsid w:val="00EC1C3A"/>
    <w:rsid w:val="00EC1F51"/>
    <w:rsid w:val="00EC2B1D"/>
    <w:rsid w:val="00EC4233"/>
    <w:rsid w:val="00EC4544"/>
    <w:rsid w:val="00EC4A85"/>
    <w:rsid w:val="00EC57B2"/>
    <w:rsid w:val="00EC58F4"/>
    <w:rsid w:val="00EC650B"/>
    <w:rsid w:val="00EC7808"/>
    <w:rsid w:val="00EC7BFA"/>
    <w:rsid w:val="00ED042E"/>
    <w:rsid w:val="00ED1295"/>
    <w:rsid w:val="00ED2725"/>
    <w:rsid w:val="00ED34D1"/>
    <w:rsid w:val="00ED367F"/>
    <w:rsid w:val="00ED4206"/>
    <w:rsid w:val="00ED57CD"/>
    <w:rsid w:val="00ED58A2"/>
    <w:rsid w:val="00ED58C3"/>
    <w:rsid w:val="00ED5C71"/>
    <w:rsid w:val="00ED5EEE"/>
    <w:rsid w:val="00ED667C"/>
    <w:rsid w:val="00ED6BA1"/>
    <w:rsid w:val="00ED74DB"/>
    <w:rsid w:val="00ED7966"/>
    <w:rsid w:val="00ED7DC1"/>
    <w:rsid w:val="00EE01CC"/>
    <w:rsid w:val="00EE04EE"/>
    <w:rsid w:val="00EE1723"/>
    <w:rsid w:val="00EE1760"/>
    <w:rsid w:val="00EE287D"/>
    <w:rsid w:val="00EE2E09"/>
    <w:rsid w:val="00EE3B32"/>
    <w:rsid w:val="00EE3CFF"/>
    <w:rsid w:val="00EE3F39"/>
    <w:rsid w:val="00EE414C"/>
    <w:rsid w:val="00EE44FE"/>
    <w:rsid w:val="00EE4CEB"/>
    <w:rsid w:val="00EE4D06"/>
    <w:rsid w:val="00EE53A6"/>
    <w:rsid w:val="00EE5406"/>
    <w:rsid w:val="00EE5EF8"/>
    <w:rsid w:val="00EE6964"/>
    <w:rsid w:val="00EE6A1D"/>
    <w:rsid w:val="00EE6D18"/>
    <w:rsid w:val="00EE7E7A"/>
    <w:rsid w:val="00EF1230"/>
    <w:rsid w:val="00EF12F9"/>
    <w:rsid w:val="00EF1EEA"/>
    <w:rsid w:val="00EF223B"/>
    <w:rsid w:val="00EF29DE"/>
    <w:rsid w:val="00EF3978"/>
    <w:rsid w:val="00EF3AAC"/>
    <w:rsid w:val="00EF4D42"/>
    <w:rsid w:val="00EF4FD1"/>
    <w:rsid w:val="00EF5318"/>
    <w:rsid w:val="00EF708A"/>
    <w:rsid w:val="00EF72C3"/>
    <w:rsid w:val="00EF79CE"/>
    <w:rsid w:val="00F00152"/>
    <w:rsid w:val="00F00352"/>
    <w:rsid w:val="00F00B1B"/>
    <w:rsid w:val="00F00E37"/>
    <w:rsid w:val="00F010EE"/>
    <w:rsid w:val="00F01383"/>
    <w:rsid w:val="00F0167D"/>
    <w:rsid w:val="00F0177A"/>
    <w:rsid w:val="00F019D5"/>
    <w:rsid w:val="00F02500"/>
    <w:rsid w:val="00F032E2"/>
    <w:rsid w:val="00F037E3"/>
    <w:rsid w:val="00F03BA0"/>
    <w:rsid w:val="00F03FF2"/>
    <w:rsid w:val="00F04B8A"/>
    <w:rsid w:val="00F04F9E"/>
    <w:rsid w:val="00F0638E"/>
    <w:rsid w:val="00F06A47"/>
    <w:rsid w:val="00F0717F"/>
    <w:rsid w:val="00F0747A"/>
    <w:rsid w:val="00F07849"/>
    <w:rsid w:val="00F07882"/>
    <w:rsid w:val="00F07883"/>
    <w:rsid w:val="00F10177"/>
    <w:rsid w:val="00F10D83"/>
    <w:rsid w:val="00F1196B"/>
    <w:rsid w:val="00F11A6A"/>
    <w:rsid w:val="00F11C53"/>
    <w:rsid w:val="00F126BD"/>
    <w:rsid w:val="00F13433"/>
    <w:rsid w:val="00F134FC"/>
    <w:rsid w:val="00F1350E"/>
    <w:rsid w:val="00F14419"/>
    <w:rsid w:val="00F144B0"/>
    <w:rsid w:val="00F1470E"/>
    <w:rsid w:val="00F147A5"/>
    <w:rsid w:val="00F14AA7"/>
    <w:rsid w:val="00F15884"/>
    <w:rsid w:val="00F15B8E"/>
    <w:rsid w:val="00F16665"/>
    <w:rsid w:val="00F16FB0"/>
    <w:rsid w:val="00F1733B"/>
    <w:rsid w:val="00F17474"/>
    <w:rsid w:val="00F20059"/>
    <w:rsid w:val="00F201CC"/>
    <w:rsid w:val="00F20487"/>
    <w:rsid w:val="00F20F65"/>
    <w:rsid w:val="00F2106D"/>
    <w:rsid w:val="00F212A6"/>
    <w:rsid w:val="00F221FF"/>
    <w:rsid w:val="00F22337"/>
    <w:rsid w:val="00F22D65"/>
    <w:rsid w:val="00F23144"/>
    <w:rsid w:val="00F23175"/>
    <w:rsid w:val="00F23FB0"/>
    <w:rsid w:val="00F2480A"/>
    <w:rsid w:val="00F24891"/>
    <w:rsid w:val="00F24B9F"/>
    <w:rsid w:val="00F24CA6"/>
    <w:rsid w:val="00F256AE"/>
    <w:rsid w:val="00F25773"/>
    <w:rsid w:val="00F257FA"/>
    <w:rsid w:val="00F26004"/>
    <w:rsid w:val="00F270E8"/>
    <w:rsid w:val="00F27EF5"/>
    <w:rsid w:val="00F27FDB"/>
    <w:rsid w:val="00F30251"/>
    <w:rsid w:val="00F305CC"/>
    <w:rsid w:val="00F3179A"/>
    <w:rsid w:val="00F31D54"/>
    <w:rsid w:val="00F32357"/>
    <w:rsid w:val="00F32C70"/>
    <w:rsid w:val="00F34E02"/>
    <w:rsid w:val="00F3549E"/>
    <w:rsid w:val="00F365A7"/>
    <w:rsid w:val="00F3681C"/>
    <w:rsid w:val="00F3769D"/>
    <w:rsid w:val="00F37F74"/>
    <w:rsid w:val="00F404F4"/>
    <w:rsid w:val="00F4143E"/>
    <w:rsid w:val="00F41CC5"/>
    <w:rsid w:val="00F41D25"/>
    <w:rsid w:val="00F423C2"/>
    <w:rsid w:val="00F433F8"/>
    <w:rsid w:val="00F433FE"/>
    <w:rsid w:val="00F43627"/>
    <w:rsid w:val="00F43781"/>
    <w:rsid w:val="00F4463C"/>
    <w:rsid w:val="00F473A5"/>
    <w:rsid w:val="00F473F3"/>
    <w:rsid w:val="00F474B8"/>
    <w:rsid w:val="00F478CA"/>
    <w:rsid w:val="00F47CE2"/>
    <w:rsid w:val="00F501F3"/>
    <w:rsid w:val="00F50A98"/>
    <w:rsid w:val="00F50E5F"/>
    <w:rsid w:val="00F51460"/>
    <w:rsid w:val="00F51667"/>
    <w:rsid w:val="00F521DC"/>
    <w:rsid w:val="00F53199"/>
    <w:rsid w:val="00F541A1"/>
    <w:rsid w:val="00F54B09"/>
    <w:rsid w:val="00F54BEA"/>
    <w:rsid w:val="00F54E8A"/>
    <w:rsid w:val="00F559A8"/>
    <w:rsid w:val="00F55C21"/>
    <w:rsid w:val="00F55E5F"/>
    <w:rsid w:val="00F55F6D"/>
    <w:rsid w:val="00F5736B"/>
    <w:rsid w:val="00F57880"/>
    <w:rsid w:val="00F57882"/>
    <w:rsid w:val="00F608AB"/>
    <w:rsid w:val="00F60BE7"/>
    <w:rsid w:val="00F6159C"/>
    <w:rsid w:val="00F61714"/>
    <w:rsid w:val="00F6238F"/>
    <w:rsid w:val="00F63E59"/>
    <w:rsid w:val="00F644B8"/>
    <w:rsid w:val="00F647F8"/>
    <w:rsid w:val="00F64BE0"/>
    <w:rsid w:val="00F65B68"/>
    <w:rsid w:val="00F6702A"/>
    <w:rsid w:val="00F67846"/>
    <w:rsid w:val="00F67B42"/>
    <w:rsid w:val="00F70444"/>
    <w:rsid w:val="00F70B72"/>
    <w:rsid w:val="00F70DEF"/>
    <w:rsid w:val="00F70EA3"/>
    <w:rsid w:val="00F71398"/>
    <w:rsid w:val="00F7294C"/>
    <w:rsid w:val="00F72C5F"/>
    <w:rsid w:val="00F73549"/>
    <w:rsid w:val="00F74A83"/>
    <w:rsid w:val="00F75561"/>
    <w:rsid w:val="00F75782"/>
    <w:rsid w:val="00F76085"/>
    <w:rsid w:val="00F80C1D"/>
    <w:rsid w:val="00F81130"/>
    <w:rsid w:val="00F818F7"/>
    <w:rsid w:val="00F8325D"/>
    <w:rsid w:val="00F832A9"/>
    <w:rsid w:val="00F832B0"/>
    <w:rsid w:val="00F83307"/>
    <w:rsid w:val="00F833A5"/>
    <w:rsid w:val="00F844D3"/>
    <w:rsid w:val="00F84629"/>
    <w:rsid w:val="00F84B71"/>
    <w:rsid w:val="00F84F0E"/>
    <w:rsid w:val="00F8519E"/>
    <w:rsid w:val="00F85FF5"/>
    <w:rsid w:val="00F86BB4"/>
    <w:rsid w:val="00F870F5"/>
    <w:rsid w:val="00F902D2"/>
    <w:rsid w:val="00F90B12"/>
    <w:rsid w:val="00F90CBD"/>
    <w:rsid w:val="00F9109E"/>
    <w:rsid w:val="00F9177E"/>
    <w:rsid w:val="00F91E4F"/>
    <w:rsid w:val="00F91FDF"/>
    <w:rsid w:val="00F92AA1"/>
    <w:rsid w:val="00F92FDC"/>
    <w:rsid w:val="00F931D2"/>
    <w:rsid w:val="00F93431"/>
    <w:rsid w:val="00F93A4A"/>
    <w:rsid w:val="00F93D27"/>
    <w:rsid w:val="00F95DD6"/>
    <w:rsid w:val="00F96370"/>
    <w:rsid w:val="00F97940"/>
    <w:rsid w:val="00F97BA3"/>
    <w:rsid w:val="00F97EA2"/>
    <w:rsid w:val="00F97F0D"/>
    <w:rsid w:val="00FA0B0A"/>
    <w:rsid w:val="00FA121C"/>
    <w:rsid w:val="00FA1407"/>
    <w:rsid w:val="00FA1A68"/>
    <w:rsid w:val="00FA1B1A"/>
    <w:rsid w:val="00FA2747"/>
    <w:rsid w:val="00FA2A33"/>
    <w:rsid w:val="00FA2C8F"/>
    <w:rsid w:val="00FA2CF7"/>
    <w:rsid w:val="00FA3410"/>
    <w:rsid w:val="00FA360B"/>
    <w:rsid w:val="00FA3860"/>
    <w:rsid w:val="00FA3A50"/>
    <w:rsid w:val="00FA4763"/>
    <w:rsid w:val="00FA4830"/>
    <w:rsid w:val="00FA5032"/>
    <w:rsid w:val="00FA6980"/>
    <w:rsid w:val="00FA6CDF"/>
    <w:rsid w:val="00FA7BB5"/>
    <w:rsid w:val="00FA7C85"/>
    <w:rsid w:val="00FB0C00"/>
    <w:rsid w:val="00FB12D8"/>
    <w:rsid w:val="00FB176A"/>
    <w:rsid w:val="00FB1CDC"/>
    <w:rsid w:val="00FB238A"/>
    <w:rsid w:val="00FB2446"/>
    <w:rsid w:val="00FB249F"/>
    <w:rsid w:val="00FB2C81"/>
    <w:rsid w:val="00FB3AD8"/>
    <w:rsid w:val="00FB3BC4"/>
    <w:rsid w:val="00FB3F9C"/>
    <w:rsid w:val="00FB3FDE"/>
    <w:rsid w:val="00FB4676"/>
    <w:rsid w:val="00FB5552"/>
    <w:rsid w:val="00FB5789"/>
    <w:rsid w:val="00FB5F3A"/>
    <w:rsid w:val="00FB6AA9"/>
    <w:rsid w:val="00FB6AD4"/>
    <w:rsid w:val="00FB7F22"/>
    <w:rsid w:val="00FC00F3"/>
    <w:rsid w:val="00FC0A33"/>
    <w:rsid w:val="00FC1416"/>
    <w:rsid w:val="00FC14B2"/>
    <w:rsid w:val="00FC1823"/>
    <w:rsid w:val="00FC2198"/>
    <w:rsid w:val="00FC26A4"/>
    <w:rsid w:val="00FC2C93"/>
    <w:rsid w:val="00FC325A"/>
    <w:rsid w:val="00FC33ED"/>
    <w:rsid w:val="00FC43AD"/>
    <w:rsid w:val="00FC5876"/>
    <w:rsid w:val="00FC62F5"/>
    <w:rsid w:val="00FC731E"/>
    <w:rsid w:val="00FD035A"/>
    <w:rsid w:val="00FD19F1"/>
    <w:rsid w:val="00FD1A7E"/>
    <w:rsid w:val="00FD2CC3"/>
    <w:rsid w:val="00FD31BF"/>
    <w:rsid w:val="00FD3CC7"/>
    <w:rsid w:val="00FD4148"/>
    <w:rsid w:val="00FD4D5B"/>
    <w:rsid w:val="00FD6340"/>
    <w:rsid w:val="00FD6453"/>
    <w:rsid w:val="00FD67FD"/>
    <w:rsid w:val="00FD7CB2"/>
    <w:rsid w:val="00FD7D46"/>
    <w:rsid w:val="00FD7D8B"/>
    <w:rsid w:val="00FE0AF2"/>
    <w:rsid w:val="00FE0DE8"/>
    <w:rsid w:val="00FE1C47"/>
    <w:rsid w:val="00FE22DD"/>
    <w:rsid w:val="00FE2CFB"/>
    <w:rsid w:val="00FE4A60"/>
    <w:rsid w:val="00FE54E0"/>
    <w:rsid w:val="00FE55F0"/>
    <w:rsid w:val="00FE6331"/>
    <w:rsid w:val="00FE685B"/>
    <w:rsid w:val="00FE6C12"/>
    <w:rsid w:val="00FE6CF8"/>
    <w:rsid w:val="00FE7894"/>
    <w:rsid w:val="00FF01FA"/>
    <w:rsid w:val="00FF0A34"/>
    <w:rsid w:val="00FF1B54"/>
    <w:rsid w:val="00FF21B5"/>
    <w:rsid w:val="00FF21C3"/>
    <w:rsid w:val="00FF2A11"/>
    <w:rsid w:val="00FF2AA0"/>
    <w:rsid w:val="00FF3575"/>
    <w:rsid w:val="00FF3F6C"/>
    <w:rsid w:val="00FF4603"/>
    <w:rsid w:val="00FF4B07"/>
    <w:rsid w:val="00FF4BFC"/>
    <w:rsid w:val="00FF4C11"/>
    <w:rsid w:val="00FF56B9"/>
    <w:rsid w:val="00FF57E8"/>
    <w:rsid w:val="00FF58C0"/>
    <w:rsid w:val="00FF5948"/>
    <w:rsid w:val="00FF6B71"/>
    <w:rsid w:val="00FF6EDF"/>
    <w:rsid w:val="00FF6EEA"/>
    <w:rsid w:val="00FF77DF"/>
    <w:rsid w:val="00FF7ABB"/>
    <w:rsid w:val="00FF7B99"/>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fill="f" fillcolor="white" stroke="f">
      <v:fill color="white" on="f"/>
      <v:stroke on="f"/>
    </o:shapedefaults>
    <o:shapelayout v:ext="edit">
      <o:idmap v:ext="edit" data="2"/>
    </o:shapelayout>
  </w:shapeDefaults>
  <w:decimalSymbol w:val="."/>
  <w:listSeparator w:val=","/>
  <w14:docId w14:val="64A27060"/>
  <w14:defaultImageDpi w14:val="330"/>
  <w15:docId w15:val="{7F7DECDD-7F08-4EDE-86B9-F34208A740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lsdException w:name="header" w:semiHidden="1" w:uiPriority="0" w:unhideWhenUsed="1"/>
    <w:lsdException w:name="footer" w:semiHidden="1" w:uiPriority="0" w:unhideWhenUsed="1"/>
    <w:lsdException w:name="index heading" w:semiHidden="1"/>
    <w:lsdException w:name="caption" w:semiHidden="1" w:uiPriority="35" w:unhideWhenUsed="1" w:qFormat="1"/>
    <w:lsdException w:name="table of figures" w:semiHidden="1" w:unhideWhenUsed="1"/>
    <w:lsdException w:name="envelope address" w:semiHidden="1"/>
    <w:lsdException w:name="envelope return" w:semiHidden="1"/>
    <w:lsdException w:name="footnote reference" w:semiHidden="1" w:uiPriority="0" w:unhideWhenUsed="1"/>
    <w:lsdException w:name="annotation reference" w:semiHidden="1" w:unhideWhenUsed="1"/>
    <w:lsdException w:name="line number" w:semiHidden="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0"/>
    <w:lsdException w:name="Closing" w:semiHidden="1"/>
    <w:lsdException w:name="Signature" w:semiHidden="1" w:unhideWhenUsed="1"/>
    <w:lsdException w:name="Default Paragraph Font" w:semiHidden="1" w:uiPriority="1" w:unhideWhenUsed="1"/>
    <w:lsdException w:name="Body Text" w:semiHidden="1" w:uiPriority="0" w:unhideWhenUsed="1"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lsdException w:name="Salutation" w:semiHidden="1" w:unhideWhenUsed="1"/>
    <w:lsdException w:name="Date" w:semiHidden="1"/>
    <w:lsdException w:name="Body Text First Indent" w:semiHidden="1"/>
    <w:lsdException w:name="Body Text First Indent 2" w:semiHidden="1"/>
    <w:lsdException w:name="Note Heading" w:semiHidden="1" w:unhideWhenUsed="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emiHidden/>
    <w:qFormat/>
    <w:rsid w:val="008555EF"/>
    <w:pPr>
      <w:spacing w:before="120" w:after="120" w:line="280" w:lineRule="atLeast"/>
      <w:jc w:val="both"/>
    </w:pPr>
    <w:rPr>
      <w:rFonts w:ascii="Calibri" w:eastAsiaTheme="minorEastAsia" w:hAnsi="Calibri"/>
      <w:lang w:eastAsia="en-NZ"/>
    </w:rPr>
  </w:style>
  <w:style w:type="paragraph" w:styleId="Heading1">
    <w:name w:val="heading 1"/>
    <w:basedOn w:val="Normal"/>
    <w:next w:val="BodyText"/>
    <w:link w:val="Heading1Char"/>
    <w:qFormat/>
    <w:rsid w:val="0074110F"/>
    <w:pPr>
      <w:keepNext/>
      <w:tabs>
        <w:tab w:val="left" w:pos="851"/>
      </w:tabs>
      <w:spacing w:before="0" w:after="360" w:line="240" w:lineRule="auto"/>
      <w:jc w:val="left"/>
      <w:outlineLvl w:val="0"/>
    </w:pPr>
    <w:rPr>
      <w:rFonts w:ascii="Georgia" w:eastAsiaTheme="majorEastAsia" w:hAnsi="Georgia" w:cstheme="majorBidi"/>
      <w:b/>
      <w:bCs/>
      <w:color w:val="1B556B"/>
      <w:sz w:val="48"/>
      <w:szCs w:val="28"/>
    </w:rPr>
  </w:style>
  <w:style w:type="paragraph" w:styleId="Heading2">
    <w:name w:val="heading 2"/>
    <w:basedOn w:val="Normal"/>
    <w:next w:val="BodyText"/>
    <w:link w:val="Heading2Char"/>
    <w:qFormat/>
    <w:rsid w:val="0066352E"/>
    <w:pPr>
      <w:keepNext/>
      <w:tabs>
        <w:tab w:val="left" w:pos="851"/>
      </w:tabs>
      <w:spacing w:before="360" w:after="0" w:line="440" w:lineRule="exact"/>
      <w:jc w:val="left"/>
      <w:outlineLvl w:val="1"/>
    </w:pPr>
    <w:rPr>
      <w:rFonts w:ascii="Georgia" w:eastAsiaTheme="majorEastAsia" w:hAnsi="Georgia" w:cstheme="majorBidi"/>
      <w:b/>
      <w:bCs/>
      <w:color w:val="1B556B"/>
      <w:sz w:val="36"/>
      <w:szCs w:val="26"/>
    </w:rPr>
  </w:style>
  <w:style w:type="paragraph" w:styleId="Heading3">
    <w:name w:val="heading 3"/>
    <w:basedOn w:val="Normal"/>
    <w:next w:val="BodyText"/>
    <w:link w:val="Heading3Char"/>
    <w:qFormat/>
    <w:rsid w:val="00D75F30"/>
    <w:pPr>
      <w:keepNext/>
      <w:tabs>
        <w:tab w:val="left" w:pos="851"/>
      </w:tabs>
      <w:spacing w:before="360" w:after="0" w:line="360" w:lineRule="exact"/>
      <w:jc w:val="left"/>
      <w:outlineLvl w:val="2"/>
    </w:pPr>
    <w:rPr>
      <w:rFonts w:ascii="Georgia" w:eastAsiaTheme="majorEastAsia" w:hAnsi="Georgia" w:cstheme="majorBidi"/>
      <w:b/>
      <w:bCs/>
      <w:sz w:val="28"/>
    </w:rPr>
  </w:style>
  <w:style w:type="paragraph" w:styleId="Heading4">
    <w:name w:val="heading 4"/>
    <w:basedOn w:val="Heading3"/>
    <w:next w:val="BodyText"/>
    <w:link w:val="Heading4Char"/>
    <w:qFormat/>
    <w:rsid w:val="009F1D7F"/>
    <w:pPr>
      <w:outlineLvl w:val="3"/>
    </w:pPr>
    <w:rPr>
      <w:sz w:val="24"/>
    </w:rPr>
  </w:style>
  <w:style w:type="paragraph" w:styleId="Heading5">
    <w:name w:val="heading 5"/>
    <w:basedOn w:val="Normal"/>
    <w:next w:val="BodyText"/>
    <w:link w:val="Heading5Char"/>
    <w:qFormat/>
    <w:rsid w:val="008B68EC"/>
    <w:pPr>
      <w:keepNext/>
      <w:spacing w:before="320" w:after="0" w:line="240" w:lineRule="auto"/>
      <w:jc w:val="left"/>
      <w:outlineLvl w:val="4"/>
    </w:pPr>
    <w:rPr>
      <w:rFonts w:eastAsiaTheme="majorEastAsia" w:cstheme="majorBidi"/>
      <w:i/>
      <w:sz w:val="24"/>
    </w:rPr>
  </w:style>
  <w:style w:type="paragraph" w:styleId="Heading6">
    <w:name w:val="heading 6"/>
    <w:basedOn w:val="Normal"/>
    <w:next w:val="Normal"/>
    <w:link w:val="Heading6Char"/>
    <w:semiHidden/>
    <w:rsid w:val="00EA64B4"/>
    <w:pPr>
      <w:numPr>
        <w:ilvl w:val="5"/>
        <w:numId w:val="1"/>
      </w:numPr>
      <w:spacing w:before="240" w:line="288" w:lineRule="auto"/>
      <w:jc w:val="left"/>
      <w:outlineLvl w:val="5"/>
    </w:pPr>
    <w:rPr>
      <w:rFonts w:ascii="Times New Roman" w:eastAsia="Times New Roman" w:hAnsi="Times New Roman" w:cs="Times New Roman"/>
      <w:b/>
      <w:szCs w:val="20"/>
      <w:lang w:val="en-AU" w:eastAsia="en-US"/>
    </w:rPr>
  </w:style>
  <w:style w:type="paragraph" w:styleId="Heading7">
    <w:name w:val="heading 7"/>
    <w:basedOn w:val="Normal"/>
    <w:next w:val="Normal"/>
    <w:link w:val="Heading7Char"/>
    <w:semiHidden/>
    <w:qFormat/>
    <w:rsid w:val="00EA64B4"/>
    <w:pPr>
      <w:numPr>
        <w:ilvl w:val="6"/>
        <w:numId w:val="1"/>
      </w:numPr>
      <w:spacing w:before="240" w:line="288" w:lineRule="auto"/>
      <w:jc w:val="left"/>
      <w:outlineLvl w:val="6"/>
    </w:pPr>
    <w:rPr>
      <w:rFonts w:ascii="Times New Roman" w:eastAsia="Times New Roman" w:hAnsi="Times New Roman" w:cs="Times New Roman"/>
      <w:szCs w:val="20"/>
      <w:lang w:val="en-AU" w:eastAsia="en-US"/>
    </w:rPr>
  </w:style>
  <w:style w:type="paragraph" w:styleId="Heading8">
    <w:name w:val="heading 8"/>
    <w:basedOn w:val="Normal"/>
    <w:next w:val="Normal"/>
    <w:link w:val="Heading8Char"/>
    <w:semiHidden/>
    <w:qFormat/>
    <w:rsid w:val="00EA64B4"/>
    <w:pPr>
      <w:numPr>
        <w:ilvl w:val="7"/>
        <w:numId w:val="1"/>
      </w:numPr>
      <w:spacing w:before="240" w:line="288" w:lineRule="auto"/>
      <w:jc w:val="left"/>
      <w:outlineLvl w:val="7"/>
    </w:pPr>
    <w:rPr>
      <w:rFonts w:ascii="Times New Roman" w:eastAsia="Times New Roman" w:hAnsi="Times New Roman" w:cs="Times New Roman"/>
      <w:i/>
      <w:szCs w:val="20"/>
      <w:lang w:val="en-AU" w:eastAsia="en-US"/>
    </w:rPr>
  </w:style>
  <w:style w:type="paragraph" w:styleId="Heading9">
    <w:name w:val="heading 9"/>
    <w:basedOn w:val="Heading1"/>
    <w:next w:val="Normal"/>
    <w:link w:val="Heading9Char"/>
    <w:semiHidden/>
    <w:qFormat/>
    <w:rsid w:val="00EA64B4"/>
    <w:pPr>
      <w:numPr>
        <w:ilvl w:val="8"/>
        <w:numId w:val="1"/>
      </w:numPr>
      <w:tabs>
        <w:tab w:val="clear" w:pos="851"/>
      </w:tabs>
      <w:spacing w:before="240" w:after="120"/>
      <w:outlineLvl w:val="8"/>
    </w:pPr>
    <w:rPr>
      <w:rFonts w:ascii="Arial" w:eastAsia="Times New Roman" w:hAnsi="Arial" w:cs="Times New Roman"/>
      <w:bCs w:val="0"/>
      <w:color w:val="FFFFFF"/>
      <w:kern w:val="28"/>
      <w:sz w:val="2"/>
      <w:szCs w:val="20"/>
      <w:lang w:val="en-AU"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4110F"/>
    <w:rPr>
      <w:rFonts w:ascii="Georgia" w:eastAsiaTheme="majorEastAsia" w:hAnsi="Georgia" w:cstheme="majorBidi"/>
      <w:b/>
      <w:bCs/>
      <w:color w:val="1B556B"/>
      <w:sz w:val="48"/>
      <w:szCs w:val="28"/>
      <w:lang w:eastAsia="en-NZ"/>
    </w:rPr>
  </w:style>
  <w:style w:type="character" w:customStyle="1" w:styleId="Heading2Char">
    <w:name w:val="Heading 2 Char"/>
    <w:basedOn w:val="DefaultParagraphFont"/>
    <w:link w:val="Heading2"/>
    <w:rsid w:val="0066352E"/>
    <w:rPr>
      <w:rFonts w:ascii="Georgia" w:eastAsiaTheme="majorEastAsia" w:hAnsi="Georgia" w:cstheme="majorBidi"/>
      <w:b/>
      <w:bCs/>
      <w:color w:val="1B556B"/>
      <w:sz w:val="36"/>
      <w:szCs w:val="26"/>
      <w:lang w:eastAsia="en-NZ"/>
    </w:rPr>
  </w:style>
  <w:style w:type="character" w:customStyle="1" w:styleId="Heading3Char">
    <w:name w:val="Heading 3 Char"/>
    <w:basedOn w:val="DefaultParagraphFont"/>
    <w:link w:val="Heading3"/>
    <w:rsid w:val="00D75F30"/>
    <w:rPr>
      <w:rFonts w:ascii="Georgia" w:eastAsiaTheme="majorEastAsia" w:hAnsi="Georgia" w:cstheme="majorBidi"/>
      <w:b/>
      <w:bCs/>
      <w:sz w:val="28"/>
      <w:lang w:eastAsia="en-NZ"/>
    </w:rPr>
  </w:style>
  <w:style w:type="character" w:customStyle="1" w:styleId="Heading4Char">
    <w:name w:val="Heading 4 Char"/>
    <w:basedOn w:val="DefaultParagraphFont"/>
    <w:link w:val="Heading4"/>
    <w:rsid w:val="009F1D7F"/>
    <w:rPr>
      <w:rFonts w:ascii="Georgia" w:eastAsiaTheme="majorEastAsia" w:hAnsi="Georgia" w:cstheme="majorBidi"/>
      <w:b/>
      <w:bCs/>
      <w:sz w:val="24"/>
      <w:lang w:eastAsia="en-NZ"/>
    </w:rPr>
  </w:style>
  <w:style w:type="character" w:customStyle="1" w:styleId="Heading5Char">
    <w:name w:val="Heading 5 Char"/>
    <w:basedOn w:val="DefaultParagraphFont"/>
    <w:link w:val="Heading5"/>
    <w:rsid w:val="008B68EC"/>
    <w:rPr>
      <w:rFonts w:ascii="Calibri" w:eastAsiaTheme="majorEastAsia" w:hAnsi="Calibri" w:cstheme="majorBidi"/>
      <w:i/>
      <w:sz w:val="24"/>
      <w:lang w:eastAsia="en-NZ"/>
    </w:rPr>
  </w:style>
  <w:style w:type="paragraph" w:styleId="BodyText">
    <w:name w:val="Body Text"/>
    <w:basedOn w:val="Normal"/>
    <w:link w:val="BodyTextChar"/>
    <w:qFormat/>
    <w:rsid w:val="00EA64B4"/>
    <w:pPr>
      <w:jc w:val="left"/>
    </w:pPr>
  </w:style>
  <w:style w:type="character" w:customStyle="1" w:styleId="BodyTextChar">
    <w:name w:val="Body Text Char"/>
    <w:basedOn w:val="DefaultParagraphFont"/>
    <w:link w:val="BodyText"/>
    <w:rsid w:val="00EA64B4"/>
    <w:rPr>
      <w:rFonts w:ascii="Calibri" w:eastAsiaTheme="minorEastAsia" w:hAnsi="Calibri"/>
      <w:lang w:eastAsia="en-NZ"/>
    </w:rPr>
  </w:style>
  <w:style w:type="table" w:styleId="TableGrid">
    <w:name w:val="Table Grid"/>
    <w:basedOn w:val="TableNormal"/>
    <w:uiPriority w:val="59"/>
    <w:rsid w:val="00EA64B4"/>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semiHidden/>
    <w:rsid w:val="00EA64B4"/>
    <w:pPr>
      <w:jc w:val="center"/>
    </w:pPr>
    <w:rPr>
      <w:rFonts w:ascii="Arial" w:hAnsi="Arial"/>
      <w:sz w:val="16"/>
    </w:rPr>
  </w:style>
  <w:style w:type="character" w:customStyle="1" w:styleId="HeaderChar">
    <w:name w:val="Header Char"/>
    <w:basedOn w:val="DefaultParagraphFont"/>
    <w:link w:val="Header"/>
    <w:semiHidden/>
    <w:rsid w:val="00F03FF2"/>
    <w:rPr>
      <w:rFonts w:ascii="Arial" w:eastAsiaTheme="minorEastAsia" w:hAnsi="Arial"/>
      <w:sz w:val="16"/>
      <w:lang w:eastAsia="en-NZ"/>
    </w:rPr>
  </w:style>
  <w:style w:type="paragraph" w:styleId="Quote">
    <w:name w:val="Quote"/>
    <w:basedOn w:val="Normal"/>
    <w:next w:val="BodyText"/>
    <w:link w:val="QuoteChar"/>
    <w:uiPriority w:val="1"/>
    <w:qFormat/>
    <w:rsid w:val="00684D9B"/>
    <w:pPr>
      <w:spacing w:before="60" w:after="60"/>
      <w:ind w:left="567" w:right="567"/>
      <w:jc w:val="left"/>
    </w:pPr>
    <w:rPr>
      <w:sz w:val="20"/>
    </w:rPr>
  </w:style>
  <w:style w:type="character" w:customStyle="1" w:styleId="QuoteChar">
    <w:name w:val="Quote Char"/>
    <w:basedOn w:val="DefaultParagraphFont"/>
    <w:link w:val="Quote"/>
    <w:uiPriority w:val="1"/>
    <w:rsid w:val="00684D9B"/>
    <w:rPr>
      <w:rFonts w:ascii="Calibri" w:eastAsiaTheme="minorEastAsia" w:hAnsi="Calibri"/>
      <w:sz w:val="20"/>
      <w:lang w:eastAsia="en-NZ"/>
    </w:rPr>
  </w:style>
  <w:style w:type="paragraph" w:customStyle="1" w:styleId="Bullet">
    <w:name w:val="Bullet"/>
    <w:basedOn w:val="Normal"/>
    <w:link w:val="BulletChar"/>
    <w:qFormat/>
    <w:rsid w:val="008B5A2D"/>
    <w:pPr>
      <w:numPr>
        <w:numId w:val="34"/>
      </w:numPr>
      <w:tabs>
        <w:tab w:val="left" w:pos="397"/>
      </w:tabs>
      <w:spacing w:before="0" w:line="280" w:lineRule="exact"/>
      <w:jc w:val="left"/>
    </w:pPr>
    <w:rPr>
      <w:rFonts w:eastAsia="Times New Roman" w:cs="Times New Roman"/>
      <w:szCs w:val="20"/>
    </w:rPr>
  </w:style>
  <w:style w:type="paragraph" w:customStyle="1" w:styleId="Heading">
    <w:name w:val="Heading"/>
    <w:basedOn w:val="Heading1"/>
    <w:next w:val="Normal"/>
    <w:uiPriority w:val="3"/>
    <w:rsid w:val="0074110F"/>
  </w:style>
  <w:style w:type="paragraph" w:styleId="Footer">
    <w:name w:val="footer"/>
    <w:basedOn w:val="Normal"/>
    <w:link w:val="FooterChar"/>
    <w:semiHidden/>
    <w:rsid w:val="00EA64B4"/>
    <w:pPr>
      <w:tabs>
        <w:tab w:val="center" w:pos="4153"/>
        <w:tab w:val="right" w:pos="8306"/>
      </w:tabs>
    </w:pPr>
  </w:style>
  <w:style w:type="character" w:customStyle="1" w:styleId="FooterChar">
    <w:name w:val="Footer Char"/>
    <w:basedOn w:val="DefaultParagraphFont"/>
    <w:link w:val="Footer"/>
    <w:semiHidden/>
    <w:rsid w:val="00F03FF2"/>
    <w:rPr>
      <w:rFonts w:ascii="Calibri" w:eastAsiaTheme="minorEastAsia" w:hAnsi="Calibri"/>
      <w:lang w:eastAsia="en-NZ"/>
    </w:rPr>
  </w:style>
  <w:style w:type="paragraph" w:customStyle="1" w:styleId="Sub-list">
    <w:name w:val="Sub-list"/>
    <w:basedOn w:val="Normal"/>
    <w:qFormat/>
    <w:rsid w:val="002A533C"/>
    <w:pPr>
      <w:numPr>
        <w:numId w:val="4"/>
      </w:numPr>
      <w:tabs>
        <w:tab w:val="clear" w:pos="397"/>
        <w:tab w:val="left" w:pos="794"/>
      </w:tabs>
      <w:spacing w:before="0"/>
      <w:ind w:left="794" w:hanging="397"/>
      <w:jc w:val="left"/>
    </w:pPr>
  </w:style>
  <w:style w:type="paragraph" w:customStyle="1" w:styleId="Figureheading">
    <w:name w:val="Figure heading"/>
    <w:basedOn w:val="Normal"/>
    <w:next w:val="BodyText"/>
    <w:qFormat/>
    <w:rsid w:val="00EA64B4"/>
    <w:pPr>
      <w:keepNext/>
      <w:ind w:left="1134" w:hanging="1134"/>
      <w:jc w:val="left"/>
    </w:pPr>
    <w:rPr>
      <w:b/>
      <w:sz w:val="20"/>
    </w:rPr>
  </w:style>
  <w:style w:type="character" w:styleId="FootnoteReference">
    <w:name w:val="footnote reference"/>
    <w:semiHidden/>
    <w:rsid w:val="00EA64B4"/>
    <w:rPr>
      <w:rFonts w:ascii="Calibri" w:hAnsi="Calibri"/>
      <w:color w:val="183C47"/>
      <w:sz w:val="22"/>
      <w:vertAlign w:val="superscript"/>
    </w:rPr>
  </w:style>
  <w:style w:type="paragraph" w:styleId="FootnoteText">
    <w:name w:val="footnote text"/>
    <w:basedOn w:val="Normal"/>
    <w:link w:val="FootnoteTextChar"/>
    <w:uiPriority w:val="99"/>
    <w:rsid w:val="00EA64B4"/>
    <w:pPr>
      <w:spacing w:before="0" w:after="60" w:line="240" w:lineRule="atLeast"/>
      <w:ind w:left="284" w:hanging="284"/>
      <w:jc w:val="left"/>
    </w:pPr>
    <w:rPr>
      <w:sz w:val="19"/>
    </w:rPr>
  </w:style>
  <w:style w:type="character" w:customStyle="1" w:styleId="FootnoteTextChar">
    <w:name w:val="Footnote Text Char"/>
    <w:basedOn w:val="DefaultParagraphFont"/>
    <w:link w:val="FootnoteText"/>
    <w:uiPriority w:val="99"/>
    <w:rsid w:val="00BE2893"/>
    <w:rPr>
      <w:rFonts w:ascii="Calibri" w:eastAsiaTheme="minorEastAsia" w:hAnsi="Calibri"/>
      <w:sz w:val="19"/>
      <w:lang w:eastAsia="en-NZ"/>
    </w:rPr>
  </w:style>
  <w:style w:type="character" w:styleId="Hyperlink">
    <w:name w:val="Hyperlink"/>
    <w:uiPriority w:val="99"/>
    <w:qFormat/>
    <w:rsid w:val="00CB110E"/>
    <w:rPr>
      <w:color w:val="32809C"/>
      <w:u w:val="none"/>
    </w:rPr>
  </w:style>
  <w:style w:type="paragraph" w:customStyle="1" w:styleId="Imprint">
    <w:name w:val="Imprint"/>
    <w:basedOn w:val="Normal"/>
    <w:uiPriority w:val="3"/>
    <w:rsid w:val="00EA64B4"/>
    <w:pPr>
      <w:jc w:val="left"/>
    </w:pPr>
  </w:style>
  <w:style w:type="paragraph" w:customStyle="1" w:styleId="Note">
    <w:name w:val="Note"/>
    <w:basedOn w:val="BodyText"/>
    <w:next w:val="Normal"/>
    <w:uiPriority w:val="1"/>
    <w:qFormat/>
    <w:rsid w:val="00125206"/>
    <w:pPr>
      <w:spacing w:line="240" w:lineRule="atLeast"/>
    </w:pPr>
    <w:rPr>
      <w:sz w:val="18"/>
    </w:rPr>
  </w:style>
  <w:style w:type="paragraph" w:customStyle="1" w:styleId="References">
    <w:name w:val="References"/>
    <w:basedOn w:val="Normal"/>
    <w:uiPriority w:val="8"/>
    <w:qFormat/>
    <w:rsid w:val="00554B30"/>
    <w:pPr>
      <w:spacing w:before="0" w:line="260" w:lineRule="atLeast"/>
      <w:jc w:val="left"/>
    </w:pPr>
    <w:rPr>
      <w:sz w:val="20"/>
    </w:rPr>
  </w:style>
  <w:style w:type="paragraph" w:customStyle="1" w:styleId="Source">
    <w:name w:val="Source"/>
    <w:basedOn w:val="Normal"/>
    <w:next w:val="Normal"/>
    <w:uiPriority w:val="1"/>
    <w:qFormat/>
    <w:rsid w:val="00125206"/>
    <w:pPr>
      <w:tabs>
        <w:tab w:val="left" w:pos="680"/>
      </w:tabs>
      <w:spacing w:line="240" w:lineRule="atLeast"/>
      <w:jc w:val="left"/>
    </w:pPr>
    <w:rPr>
      <w:sz w:val="18"/>
    </w:rPr>
  </w:style>
  <w:style w:type="paragraph" w:styleId="Title">
    <w:name w:val="Title"/>
    <w:basedOn w:val="Normal"/>
    <w:link w:val="TitleChar"/>
    <w:uiPriority w:val="2"/>
    <w:rsid w:val="009F1D7F"/>
    <w:pPr>
      <w:spacing w:line="360" w:lineRule="auto"/>
      <w:jc w:val="center"/>
    </w:pPr>
    <w:rPr>
      <w:rFonts w:ascii="Georgia" w:hAnsi="Georgia"/>
      <w:b/>
      <w:color w:val="17556C"/>
      <w:sz w:val="56"/>
    </w:rPr>
  </w:style>
  <w:style w:type="character" w:customStyle="1" w:styleId="TitleChar">
    <w:name w:val="Title Char"/>
    <w:basedOn w:val="DefaultParagraphFont"/>
    <w:link w:val="Title"/>
    <w:uiPriority w:val="2"/>
    <w:rsid w:val="009F1D7F"/>
    <w:rPr>
      <w:rFonts w:ascii="Georgia" w:eastAsiaTheme="minorEastAsia" w:hAnsi="Georgia"/>
      <w:b/>
      <w:color w:val="17556C"/>
      <w:sz w:val="56"/>
      <w:lang w:eastAsia="en-NZ"/>
    </w:rPr>
  </w:style>
  <w:style w:type="paragraph" w:styleId="Subtitle">
    <w:name w:val="Subtitle"/>
    <w:basedOn w:val="Title"/>
    <w:link w:val="SubtitleChar"/>
    <w:uiPriority w:val="2"/>
    <w:rsid w:val="00D94120"/>
    <w:pPr>
      <w:spacing w:before="600" w:line="240" w:lineRule="auto"/>
    </w:pPr>
    <w:rPr>
      <w:sz w:val="36"/>
      <w:szCs w:val="36"/>
    </w:rPr>
  </w:style>
  <w:style w:type="character" w:customStyle="1" w:styleId="SubtitleChar">
    <w:name w:val="Subtitle Char"/>
    <w:basedOn w:val="DefaultParagraphFont"/>
    <w:link w:val="Subtitle"/>
    <w:uiPriority w:val="2"/>
    <w:rsid w:val="00D94120"/>
    <w:rPr>
      <w:rFonts w:ascii="Calibri" w:eastAsiaTheme="minorEastAsia" w:hAnsi="Calibri"/>
      <w:b/>
      <w:color w:val="17556C"/>
      <w:sz w:val="36"/>
      <w:szCs w:val="36"/>
      <w:lang w:eastAsia="en-NZ"/>
    </w:rPr>
  </w:style>
  <w:style w:type="paragraph" w:customStyle="1" w:styleId="Tableheading">
    <w:name w:val="Table heading"/>
    <w:basedOn w:val="Normal"/>
    <w:next w:val="Normal"/>
    <w:qFormat/>
    <w:rsid w:val="00EA64B4"/>
    <w:pPr>
      <w:keepNext/>
      <w:ind w:left="1134" w:hanging="1134"/>
      <w:jc w:val="left"/>
    </w:pPr>
    <w:rPr>
      <w:b/>
      <w:sz w:val="20"/>
    </w:rPr>
  </w:style>
  <w:style w:type="paragraph" w:customStyle="1" w:styleId="TableText">
    <w:name w:val="TableText"/>
    <w:basedOn w:val="Normal"/>
    <w:qFormat/>
    <w:rsid w:val="00EA64B4"/>
    <w:pPr>
      <w:spacing w:before="60" w:after="60" w:line="240" w:lineRule="atLeast"/>
      <w:jc w:val="left"/>
    </w:pPr>
    <w:rPr>
      <w:sz w:val="18"/>
    </w:rPr>
  </w:style>
  <w:style w:type="paragraph" w:customStyle="1" w:styleId="TableTextbold">
    <w:name w:val="TableText bold"/>
    <w:basedOn w:val="TableText"/>
    <w:rsid w:val="00EA64B4"/>
    <w:rPr>
      <w:b/>
    </w:rPr>
  </w:style>
  <w:style w:type="paragraph" w:styleId="TOC1">
    <w:name w:val="toc 1"/>
    <w:basedOn w:val="Normal"/>
    <w:next w:val="Normal"/>
    <w:uiPriority w:val="39"/>
    <w:rsid w:val="00356C3D"/>
    <w:pPr>
      <w:tabs>
        <w:tab w:val="right" w:pos="8505"/>
      </w:tabs>
      <w:spacing w:before="280" w:after="0" w:line="240" w:lineRule="auto"/>
      <w:ind w:left="567" w:right="567" w:hanging="567"/>
      <w:jc w:val="left"/>
    </w:pPr>
  </w:style>
  <w:style w:type="paragraph" w:styleId="TOC2">
    <w:name w:val="toc 2"/>
    <w:basedOn w:val="Normal"/>
    <w:next w:val="Normal"/>
    <w:uiPriority w:val="39"/>
    <w:rsid w:val="0074110F"/>
    <w:pPr>
      <w:tabs>
        <w:tab w:val="right" w:pos="8505"/>
      </w:tabs>
      <w:spacing w:before="60" w:after="60" w:line="240" w:lineRule="auto"/>
      <w:ind w:left="567" w:right="567"/>
      <w:jc w:val="left"/>
    </w:pPr>
    <w:rPr>
      <w:noProof/>
    </w:rPr>
  </w:style>
  <w:style w:type="paragraph" w:customStyle="1" w:styleId="Captions">
    <w:name w:val="Captions"/>
    <w:basedOn w:val="Note"/>
    <w:next w:val="Normal"/>
    <w:semiHidden/>
    <w:rsid w:val="00EA64B4"/>
    <w:pPr>
      <w:tabs>
        <w:tab w:val="left" w:pos="851"/>
      </w:tabs>
    </w:pPr>
  </w:style>
  <w:style w:type="paragraph" w:customStyle="1" w:styleId="Glossary">
    <w:name w:val="Glossary"/>
    <w:basedOn w:val="Normal"/>
    <w:uiPriority w:val="1"/>
    <w:qFormat/>
    <w:rsid w:val="00EA64B4"/>
    <w:pPr>
      <w:tabs>
        <w:tab w:val="left" w:pos="2835"/>
      </w:tabs>
      <w:spacing w:after="0"/>
      <w:jc w:val="left"/>
    </w:pPr>
  </w:style>
  <w:style w:type="paragraph" w:customStyle="1" w:styleId="Footerodd">
    <w:name w:val="Footer odd"/>
    <w:basedOn w:val="Normal"/>
    <w:uiPriority w:val="2"/>
    <w:rsid w:val="00EA64B4"/>
    <w:pPr>
      <w:tabs>
        <w:tab w:val="right" w:pos="7938"/>
        <w:tab w:val="right" w:pos="8505"/>
      </w:tabs>
      <w:jc w:val="left"/>
    </w:pPr>
    <w:rPr>
      <w:sz w:val="16"/>
    </w:rPr>
  </w:style>
  <w:style w:type="paragraph" w:customStyle="1" w:styleId="Footereven">
    <w:name w:val="Footer even"/>
    <w:basedOn w:val="Normal"/>
    <w:uiPriority w:val="2"/>
    <w:rsid w:val="00EA64B4"/>
    <w:pPr>
      <w:tabs>
        <w:tab w:val="left" w:pos="567"/>
      </w:tabs>
    </w:pPr>
    <w:rPr>
      <w:sz w:val="16"/>
    </w:rPr>
  </w:style>
  <w:style w:type="paragraph" w:customStyle="1" w:styleId="Numberedparagraph">
    <w:name w:val="Numbered paragraph"/>
    <w:basedOn w:val="Normal"/>
    <w:uiPriority w:val="1"/>
    <w:qFormat/>
    <w:rsid w:val="005B6698"/>
    <w:pPr>
      <w:numPr>
        <w:numId w:val="5"/>
      </w:numPr>
      <w:spacing w:before="0"/>
      <w:jc w:val="left"/>
    </w:pPr>
  </w:style>
  <w:style w:type="paragraph" w:customStyle="1" w:styleId="Sub-lista">
    <w:name w:val="Sub-list a"/>
    <w:aliases w:val="b"/>
    <w:basedOn w:val="Normal"/>
    <w:uiPriority w:val="2"/>
    <w:rsid w:val="00E21ACA"/>
    <w:pPr>
      <w:numPr>
        <w:numId w:val="6"/>
      </w:numPr>
      <w:spacing w:before="0"/>
      <w:jc w:val="left"/>
    </w:pPr>
  </w:style>
  <w:style w:type="paragraph" w:styleId="EndnoteText">
    <w:name w:val="endnote text"/>
    <w:basedOn w:val="Normal"/>
    <w:link w:val="EndnoteTextChar"/>
    <w:uiPriority w:val="99"/>
    <w:semiHidden/>
    <w:rsid w:val="00EA64B4"/>
    <w:pPr>
      <w:spacing w:after="60"/>
    </w:pPr>
    <w:rPr>
      <w:sz w:val="20"/>
    </w:rPr>
  </w:style>
  <w:style w:type="character" w:customStyle="1" w:styleId="EndnoteTextChar">
    <w:name w:val="Endnote Text Char"/>
    <w:basedOn w:val="DefaultParagraphFont"/>
    <w:link w:val="EndnoteText"/>
    <w:uiPriority w:val="99"/>
    <w:semiHidden/>
    <w:rsid w:val="00EA64B4"/>
    <w:rPr>
      <w:rFonts w:ascii="Calibri" w:eastAsiaTheme="minorEastAsia" w:hAnsi="Calibri"/>
      <w:sz w:val="20"/>
      <w:lang w:eastAsia="en-NZ"/>
    </w:rPr>
  </w:style>
  <w:style w:type="paragraph" w:styleId="TOC3">
    <w:name w:val="toc 3"/>
    <w:basedOn w:val="Normal"/>
    <w:next w:val="Normal"/>
    <w:autoRedefine/>
    <w:semiHidden/>
    <w:rsid w:val="00EA64B4"/>
    <w:pPr>
      <w:ind w:left="440"/>
    </w:pPr>
  </w:style>
  <w:style w:type="paragraph" w:styleId="TableofFigures">
    <w:name w:val="table of figures"/>
    <w:basedOn w:val="Normal"/>
    <w:next w:val="Normal"/>
    <w:uiPriority w:val="99"/>
    <w:rsid w:val="00356C3D"/>
    <w:pPr>
      <w:spacing w:before="0"/>
      <w:ind w:left="1134" w:right="567" w:hanging="1134"/>
      <w:jc w:val="left"/>
    </w:pPr>
  </w:style>
  <w:style w:type="paragraph" w:customStyle="1" w:styleId="Sub-listi">
    <w:name w:val="Sub-list i"/>
    <w:aliases w:val="ii"/>
    <w:basedOn w:val="BodyText"/>
    <w:semiHidden/>
    <w:rsid w:val="00EA64B4"/>
    <w:pPr>
      <w:numPr>
        <w:numId w:val="7"/>
      </w:numPr>
      <w:spacing w:before="60" w:after="60"/>
    </w:pPr>
  </w:style>
  <w:style w:type="paragraph" w:customStyle="1" w:styleId="TableBullet">
    <w:name w:val="TableBullet"/>
    <w:basedOn w:val="Normal"/>
    <w:qFormat/>
    <w:rsid w:val="00523DFA"/>
    <w:pPr>
      <w:numPr>
        <w:numId w:val="8"/>
      </w:numPr>
      <w:spacing w:before="0" w:after="60" w:line="240" w:lineRule="atLeast"/>
      <w:jc w:val="left"/>
    </w:pPr>
    <w:rPr>
      <w:rFonts w:cs="Arial"/>
      <w:sz w:val="18"/>
      <w:szCs w:val="16"/>
    </w:rPr>
  </w:style>
  <w:style w:type="paragraph" w:customStyle="1" w:styleId="TableDash">
    <w:name w:val="TableDash"/>
    <w:basedOn w:val="TableBullet"/>
    <w:qFormat/>
    <w:rsid w:val="005E3BCD"/>
    <w:pPr>
      <w:numPr>
        <w:numId w:val="9"/>
      </w:numPr>
      <w:ind w:left="568" w:hanging="284"/>
    </w:pPr>
  </w:style>
  <w:style w:type="paragraph" w:styleId="ListParagraph">
    <w:name w:val="List Paragraph"/>
    <w:basedOn w:val="Normal"/>
    <w:uiPriority w:val="34"/>
    <w:semiHidden/>
    <w:qFormat/>
    <w:rsid w:val="00EA64B4"/>
    <w:pPr>
      <w:spacing w:before="0" w:after="0" w:line="240" w:lineRule="auto"/>
      <w:ind w:left="720"/>
      <w:contextualSpacing/>
    </w:pPr>
    <w:rPr>
      <w:rFonts w:ascii="Times New Roman" w:hAnsi="Times New Roman"/>
      <w:szCs w:val="20"/>
      <w:lang w:eastAsia="en-GB"/>
    </w:rPr>
  </w:style>
  <w:style w:type="paragraph" w:styleId="CommentSubject">
    <w:name w:val="annotation subject"/>
    <w:basedOn w:val="Normal"/>
    <w:link w:val="CommentSubjectChar"/>
    <w:uiPriority w:val="99"/>
    <w:semiHidden/>
    <w:rsid w:val="00E21ACA"/>
    <w:rPr>
      <w:b/>
      <w:bCs/>
      <w:sz w:val="20"/>
    </w:rPr>
  </w:style>
  <w:style w:type="character" w:customStyle="1" w:styleId="CommentSubjectChar">
    <w:name w:val="Comment Subject Char"/>
    <w:basedOn w:val="DefaultParagraphFont"/>
    <w:link w:val="CommentSubject"/>
    <w:uiPriority w:val="99"/>
    <w:semiHidden/>
    <w:rsid w:val="00AB54D7"/>
    <w:rPr>
      <w:rFonts w:ascii="Calibri" w:eastAsiaTheme="minorEastAsia" w:hAnsi="Calibri"/>
      <w:b/>
      <w:bCs/>
      <w:sz w:val="20"/>
      <w:lang w:eastAsia="en-NZ"/>
    </w:rPr>
  </w:style>
  <w:style w:type="paragraph" w:styleId="BalloonText">
    <w:name w:val="Balloon Text"/>
    <w:basedOn w:val="Normal"/>
    <w:link w:val="BalloonTextChar"/>
    <w:semiHidden/>
    <w:unhideWhenUsed/>
    <w:rsid w:val="00EA64B4"/>
    <w:rPr>
      <w:rFonts w:ascii="Tahoma" w:hAnsi="Tahoma"/>
      <w:sz w:val="16"/>
      <w:szCs w:val="16"/>
    </w:rPr>
  </w:style>
  <w:style w:type="character" w:customStyle="1" w:styleId="BalloonTextChar">
    <w:name w:val="Balloon Text Char"/>
    <w:basedOn w:val="DefaultParagraphFont"/>
    <w:link w:val="BalloonText"/>
    <w:semiHidden/>
    <w:rsid w:val="00EA64B4"/>
    <w:rPr>
      <w:rFonts w:ascii="Tahoma" w:eastAsiaTheme="minorEastAsia" w:hAnsi="Tahoma"/>
      <w:sz w:val="16"/>
      <w:szCs w:val="16"/>
      <w:lang w:eastAsia="en-NZ"/>
    </w:rPr>
  </w:style>
  <w:style w:type="paragraph" w:styleId="z-BottomofForm">
    <w:name w:val="HTML Bottom of Form"/>
    <w:basedOn w:val="Normal"/>
    <w:next w:val="Normal"/>
    <w:link w:val="z-BottomofFormChar"/>
    <w:hidden/>
    <w:uiPriority w:val="99"/>
    <w:semiHidden/>
    <w:unhideWhenUsed/>
    <w:rsid w:val="0080531E"/>
    <w:pPr>
      <w:pBdr>
        <w:top w:val="single" w:sz="6" w:space="1" w:color="auto"/>
      </w:pBdr>
      <w:jc w:val="center"/>
    </w:pPr>
    <w:rPr>
      <w:rFonts w:ascii="Arial" w:eastAsia="Calibri" w:hAnsi="Arial"/>
      <w:vanish/>
      <w:sz w:val="16"/>
      <w:szCs w:val="16"/>
      <w:lang w:val="en-US"/>
    </w:rPr>
  </w:style>
  <w:style w:type="character" w:customStyle="1" w:styleId="z-BottomofFormChar">
    <w:name w:val="z-Bottom of Form Char"/>
    <w:basedOn w:val="DefaultParagraphFont"/>
    <w:link w:val="z-BottomofForm"/>
    <w:uiPriority w:val="99"/>
    <w:semiHidden/>
    <w:rsid w:val="0080531E"/>
    <w:rPr>
      <w:rFonts w:ascii="Arial" w:eastAsia="Calibri" w:hAnsi="Arial"/>
      <w:vanish/>
      <w:color w:val="183C47"/>
      <w:sz w:val="16"/>
      <w:szCs w:val="16"/>
      <w:lang w:val="en-US" w:eastAsia="en-NZ"/>
    </w:rPr>
  </w:style>
  <w:style w:type="paragraph" w:styleId="z-TopofForm">
    <w:name w:val="HTML Top of Form"/>
    <w:basedOn w:val="Normal"/>
    <w:next w:val="Normal"/>
    <w:link w:val="z-TopofFormChar"/>
    <w:hidden/>
    <w:uiPriority w:val="99"/>
    <w:semiHidden/>
    <w:unhideWhenUsed/>
    <w:rsid w:val="0080531E"/>
    <w:pPr>
      <w:pBdr>
        <w:bottom w:val="single" w:sz="6" w:space="1" w:color="auto"/>
      </w:pBdr>
      <w:jc w:val="center"/>
    </w:pPr>
    <w:rPr>
      <w:rFonts w:ascii="Arial" w:eastAsia="Calibri" w:hAnsi="Arial"/>
      <w:vanish/>
      <w:sz w:val="16"/>
      <w:szCs w:val="16"/>
      <w:lang w:val="en-US"/>
    </w:rPr>
  </w:style>
  <w:style w:type="character" w:customStyle="1" w:styleId="z-TopofFormChar">
    <w:name w:val="z-Top of Form Char"/>
    <w:basedOn w:val="DefaultParagraphFont"/>
    <w:link w:val="z-TopofForm"/>
    <w:uiPriority w:val="99"/>
    <w:semiHidden/>
    <w:rsid w:val="0080531E"/>
    <w:rPr>
      <w:rFonts w:ascii="Arial" w:eastAsia="Calibri" w:hAnsi="Arial"/>
      <w:vanish/>
      <w:color w:val="183C47"/>
      <w:sz w:val="16"/>
      <w:szCs w:val="16"/>
      <w:lang w:val="en-US" w:eastAsia="en-NZ"/>
    </w:rPr>
  </w:style>
  <w:style w:type="table" w:styleId="MediumShading1-Accent2">
    <w:name w:val="Medium Shading 1 Accent 2"/>
    <w:basedOn w:val="TableNormal"/>
    <w:uiPriority w:val="63"/>
    <w:rsid w:val="00EA64B4"/>
    <w:pPr>
      <w:spacing w:after="0" w:line="240" w:lineRule="auto"/>
    </w:pPr>
    <w:tblPr>
      <w:tblStyleRowBandSize w:val="1"/>
      <w:tblStyleColBandSize w:val="1"/>
      <w:tblBorders>
        <w:top w:val="single" w:sz="8" w:space="0" w:color="19CCCF" w:themeColor="accent2" w:themeTint="BF"/>
        <w:left w:val="single" w:sz="8" w:space="0" w:color="19CCCF" w:themeColor="accent2" w:themeTint="BF"/>
        <w:bottom w:val="single" w:sz="8" w:space="0" w:color="19CCCF" w:themeColor="accent2" w:themeTint="BF"/>
        <w:right w:val="single" w:sz="8" w:space="0" w:color="19CCCF" w:themeColor="accent2" w:themeTint="BF"/>
        <w:insideH w:val="single" w:sz="8" w:space="0" w:color="19CCCF" w:themeColor="accent2" w:themeTint="BF"/>
      </w:tblBorders>
    </w:tblPr>
    <w:tblStylePr w:type="firstRow">
      <w:pPr>
        <w:spacing w:before="0" w:after="0" w:line="240" w:lineRule="auto"/>
      </w:pPr>
      <w:rPr>
        <w:b/>
        <w:bCs/>
        <w:color w:val="FFFFFF" w:themeColor="background1"/>
      </w:rPr>
      <w:tblPr/>
      <w:tcPr>
        <w:tcBorders>
          <w:top w:val="single" w:sz="8" w:space="0" w:color="19CCCF" w:themeColor="accent2" w:themeTint="BF"/>
          <w:left w:val="single" w:sz="8" w:space="0" w:color="19CCCF" w:themeColor="accent2" w:themeTint="BF"/>
          <w:bottom w:val="single" w:sz="8" w:space="0" w:color="19CCCF" w:themeColor="accent2" w:themeTint="BF"/>
          <w:right w:val="single" w:sz="8" w:space="0" w:color="19CCCF" w:themeColor="accent2" w:themeTint="BF"/>
          <w:insideH w:val="nil"/>
          <w:insideV w:val="nil"/>
        </w:tcBorders>
        <w:shd w:val="clear" w:color="auto" w:fill="0F7B7D" w:themeFill="accent2"/>
      </w:tcPr>
    </w:tblStylePr>
    <w:tblStylePr w:type="lastRow">
      <w:pPr>
        <w:spacing w:before="0" w:after="0" w:line="240" w:lineRule="auto"/>
      </w:pPr>
      <w:rPr>
        <w:b/>
        <w:bCs/>
      </w:rPr>
      <w:tblPr/>
      <w:tcPr>
        <w:tcBorders>
          <w:top w:val="double" w:sz="6" w:space="0" w:color="19CCCF" w:themeColor="accent2" w:themeTint="BF"/>
          <w:left w:val="single" w:sz="8" w:space="0" w:color="19CCCF" w:themeColor="accent2" w:themeTint="BF"/>
          <w:bottom w:val="single" w:sz="8" w:space="0" w:color="19CCCF" w:themeColor="accent2" w:themeTint="BF"/>
          <w:right w:val="single" w:sz="8" w:space="0" w:color="19CCCF" w:themeColor="accent2" w:themeTint="BF"/>
          <w:insideH w:val="nil"/>
          <w:insideV w:val="nil"/>
        </w:tcBorders>
      </w:tcPr>
    </w:tblStylePr>
    <w:tblStylePr w:type="firstCol">
      <w:rPr>
        <w:b/>
        <w:bCs/>
      </w:rPr>
    </w:tblStylePr>
    <w:tblStylePr w:type="lastCol">
      <w:rPr>
        <w:b/>
        <w:bCs/>
      </w:rPr>
    </w:tblStylePr>
    <w:tblStylePr w:type="band1Vert">
      <w:tblPr/>
      <w:tcPr>
        <w:shd w:val="clear" w:color="auto" w:fill="ADF3F5" w:themeFill="accent2" w:themeFillTint="3F"/>
      </w:tcPr>
    </w:tblStylePr>
    <w:tblStylePr w:type="band1Horz">
      <w:tblPr/>
      <w:tcPr>
        <w:tcBorders>
          <w:insideH w:val="nil"/>
          <w:insideV w:val="nil"/>
        </w:tcBorders>
        <w:shd w:val="clear" w:color="auto" w:fill="ADF3F5" w:themeFill="accent2" w:themeFillTint="3F"/>
      </w:tcPr>
    </w:tblStylePr>
    <w:tblStylePr w:type="band2Horz">
      <w:tblPr/>
      <w:tcPr>
        <w:tcBorders>
          <w:insideH w:val="nil"/>
          <w:insideV w:val="nil"/>
        </w:tcBorders>
      </w:tcPr>
    </w:tblStylePr>
  </w:style>
  <w:style w:type="table" w:styleId="LightList-Accent5">
    <w:name w:val="Light List Accent 5"/>
    <w:basedOn w:val="TableNormal"/>
    <w:uiPriority w:val="61"/>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tblBorders>
    </w:tblPr>
    <w:tblStylePr w:type="firstRow">
      <w:pPr>
        <w:spacing w:before="0" w:after="0" w:line="240" w:lineRule="auto"/>
      </w:pPr>
      <w:rPr>
        <w:b/>
        <w:bCs/>
        <w:color w:val="FFFFFF" w:themeColor="background1"/>
      </w:rPr>
      <w:tblPr/>
      <w:tcPr>
        <w:shd w:val="clear" w:color="auto" w:fill="6FC7B7" w:themeFill="accent5"/>
      </w:tcPr>
    </w:tblStylePr>
    <w:tblStylePr w:type="lastRow">
      <w:pPr>
        <w:spacing w:before="0" w:after="0" w:line="240" w:lineRule="auto"/>
      </w:pPr>
      <w:rPr>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tcBorders>
      </w:tcPr>
    </w:tblStylePr>
    <w:tblStylePr w:type="firstCol">
      <w:rPr>
        <w:b/>
        <w:bCs/>
      </w:rPr>
    </w:tblStylePr>
    <w:tblStylePr w:type="lastCol">
      <w:rPr>
        <w:b/>
        <w:bCs/>
      </w:r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style>
  <w:style w:type="table" w:styleId="LightGrid-Accent5">
    <w:name w:val="Light Grid Accent 5"/>
    <w:basedOn w:val="TableNormal"/>
    <w:uiPriority w:val="62"/>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insideH w:val="single" w:sz="8" w:space="0" w:color="6FC7B7" w:themeColor="accent5"/>
        <w:insideV w:val="single" w:sz="8" w:space="0" w:color="6FC7B7"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18" w:space="0" w:color="6FC7B7" w:themeColor="accent5"/>
          <w:right w:val="single" w:sz="8" w:space="0" w:color="6FC7B7" w:themeColor="accent5"/>
          <w:insideH w:val="nil"/>
          <w:insideV w:val="single" w:sz="8" w:space="0" w:color="6FC7B7"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insideH w:val="nil"/>
          <w:insideV w:val="single" w:sz="8" w:space="0" w:color="6FC7B7"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shd w:val="clear" w:color="auto" w:fill="DBF1ED" w:themeFill="accent5" w:themeFillTint="3F"/>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shd w:val="clear" w:color="auto" w:fill="DBF1ED" w:themeFill="accent5" w:themeFillTint="3F"/>
      </w:tcPr>
    </w:tblStylePr>
    <w:tblStylePr w:type="band2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tcPr>
    </w:tblStylePr>
  </w:style>
  <w:style w:type="table" w:customStyle="1" w:styleId="LightGrid-Accent11">
    <w:name w:val="Light Grid - Accent 11"/>
    <w:basedOn w:val="TableNormal"/>
    <w:uiPriority w:val="62"/>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insideH w:val="single" w:sz="8" w:space="0" w:color="1C556C" w:themeColor="accent1"/>
        <w:insideV w:val="single" w:sz="8" w:space="0" w:color="1C556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18" w:space="0" w:color="1C556C" w:themeColor="accent1"/>
          <w:right w:val="single" w:sz="8" w:space="0" w:color="1C556C" w:themeColor="accent1"/>
          <w:insideH w:val="nil"/>
          <w:insideV w:val="single" w:sz="8" w:space="0" w:color="1C556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insideH w:val="nil"/>
          <w:insideV w:val="single" w:sz="8" w:space="0" w:color="1C556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shd w:val="clear" w:color="auto" w:fill="B5DCEC" w:themeFill="accent1" w:themeFillTint="3F"/>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shd w:val="clear" w:color="auto" w:fill="B5DCEC" w:themeFill="accent1" w:themeFillTint="3F"/>
      </w:tcPr>
    </w:tblStylePr>
    <w:tblStylePr w:type="band2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tcPr>
    </w:tblStylePr>
  </w:style>
  <w:style w:type="table" w:customStyle="1" w:styleId="LightShading-Accent11">
    <w:name w:val="Light Shading - Accent 11"/>
    <w:basedOn w:val="TableNormal"/>
    <w:uiPriority w:val="60"/>
    <w:rsid w:val="00EA64B4"/>
    <w:pPr>
      <w:spacing w:after="0" w:line="240" w:lineRule="auto"/>
    </w:pPr>
    <w:rPr>
      <w:color w:val="153F50" w:themeColor="accent1" w:themeShade="BF"/>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customStyle="1" w:styleId="LightList-Accent11">
    <w:name w:val="Light List - Accent 11"/>
    <w:basedOn w:val="TableNormal"/>
    <w:uiPriority w:val="61"/>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tblBorders>
    </w:tblPr>
    <w:tblStylePr w:type="firstRow">
      <w:pPr>
        <w:spacing w:before="0" w:after="0" w:line="240" w:lineRule="auto"/>
      </w:pPr>
      <w:rPr>
        <w:b/>
        <w:bCs/>
        <w:color w:val="FFFFFF" w:themeColor="background1"/>
      </w:rPr>
      <w:tblPr/>
      <w:tcPr>
        <w:shd w:val="clear" w:color="auto" w:fill="1C556C" w:themeFill="accent1"/>
      </w:tcPr>
    </w:tblStylePr>
    <w:tblStylePr w:type="lastRow">
      <w:pPr>
        <w:spacing w:before="0" w:after="0" w:line="240" w:lineRule="auto"/>
      </w:pPr>
      <w:rPr>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tcBorders>
      </w:tcPr>
    </w:tblStylePr>
    <w:tblStylePr w:type="firstCol">
      <w:rPr>
        <w:b/>
        <w:bCs/>
      </w:rPr>
    </w:tblStylePr>
    <w:tblStylePr w:type="lastCol">
      <w:rPr>
        <w:b/>
        <w:bCs/>
      </w:r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style>
  <w:style w:type="character" w:styleId="CommentReference">
    <w:name w:val="annotation reference"/>
    <w:basedOn w:val="DefaultParagraphFont"/>
    <w:uiPriority w:val="99"/>
    <w:semiHidden/>
    <w:rsid w:val="00EA64B4"/>
    <w:rPr>
      <w:sz w:val="16"/>
      <w:szCs w:val="16"/>
    </w:rPr>
  </w:style>
  <w:style w:type="paragraph" w:styleId="Revision">
    <w:name w:val="Revision"/>
    <w:hidden/>
    <w:uiPriority w:val="99"/>
    <w:semiHidden/>
    <w:rsid w:val="0080531E"/>
    <w:pPr>
      <w:spacing w:after="0" w:line="240" w:lineRule="auto"/>
    </w:pPr>
    <w:rPr>
      <w:rFonts w:ascii="Times New Roman" w:eastAsia="Times New Roman" w:hAnsi="Times New Roman" w:cs="Times New Roman"/>
      <w:szCs w:val="20"/>
    </w:rPr>
  </w:style>
  <w:style w:type="character" w:styleId="Strong">
    <w:name w:val="Strong"/>
    <w:basedOn w:val="DefaultParagraphFont"/>
    <w:uiPriority w:val="22"/>
    <w:semiHidden/>
    <w:qFormat/>
    <w:rsid w:val="00EA64B4"/>
    <w:rPr>
      <w:b/>
      <w:bCs/>
    </w:rPr>
  </w:style>
  <w:style w:type="paragraph" w:customStyle="1" w:styleId="Boxa">
    <w:name w:val="Box a"/>
    <w:aliases w:val="b list"/>
    <w:basedOn w:val="Sub-listi"/>
    <w:semiHidden/>
    <w:qFormat/>
    <w:rsid w:val="00EA64B4"/>
    <w:pPr>
      <w:numPr>
        <w:ilvl w:val="1"/>
        <w:numId w:val="10"/>
      </w:numPr>
      <w:pBdr>
        <w:top w:val="single" w:sz="6" w:space="15" w:color="0092CF"/>
        <w:left w:val="single" w:sz="6" w:space="15" w:color="0092CF"/>
        <w:bottom w:val="single" w:sz="6" w:space="15" w:color="0092CF"/>
        <w:right w:val="single" w:sz="6" w:space="15" w:color="0092CF"/>
      </w:pBdr>
      <w:tabs>
        <w:tab w:val="left" w:pos="426"/>
      </w:tabs>
      <w:spacing w:before="120" w:after="0"/>
      <w:ind w:right="284"/>
    </w:pPr>
    <w:rPr>
      <w:color w:val="0092CF"/>
      <w:sz w:val="20"/>
      <w:szCs w:val="20"/>
    </w:rPr>
  </w:style>
  <w:style w:type="character" w:styleId="EndnoteReference">
    <w:name w:val="endnote reference"/>
    <w:basedOn w:val="DefaultParagraphFont"/>
    <w:uiPriority w:val="99"/>
    <w:semiHidden/>
    <w:unhideWhenUsed/>
    <w:rsid w:val="00EA64B4"/>
    <w:rPr>
      <w:vertAlign w:val="superscript"/>
    </w:rPr>
  </w:style>
  <w:style w:type="character" w:styleId="FollowedHyperlink">
    <w:name w:val="FollowedHyperlink"/>
    <w:basedOn w:val="DefaultParagraphFont"/>
    <w:uiPriority w:val="99"/>
    <w:semiHidden/>
    <w:rsid w:val="00EA64B4"/>
    <w:rPr>
      <w:color w:val="800080" w:themeColor="followedHyperlink"/>
      <w:u w:val="none"/>
    </w:rPr>
  </w:style>
  <w:style w:type="paragraph" w:customStyle="1" w:styleId="BoxBullet0">
    <w:name w:val="Box Bullet"/>
    <w:basedOn w:val="Normal"/>
    <w:semiHidden/>
    <w:rsid w:val="008B5E54"/>
    <w:pPr>
      <w:pBdr>
        <w:top w:val="single" w:sz="6" w:space="15" w:color="auto"/>
        <w:left w:val="single" w:sz="6" w:space="15" w:color="auto"/>
        <w:bottom w:val="single" w:sz="6" w:space="15" w:color="auto"/>
        <w:right w:val="single" w:sz="6" w:space="15" w:color="auto"/>
      </w:pBdr>
      <w:tabs>
        <w:tab w:val="num" w:pos="851"/>
      </w:tabs>
      <w:spacing w:after="0" w:line="240" w:lineRule="auto"/>
      <w:ind w:left="851" w:right="284" w:hanging="567"/>
      <w:jc w:val="left"/>
    </w:pPr>
    <w:rPr>
      <w:rFonts w:ascii="Arial" w:eastAsia="Times New Roman" w:hAnsi="Arial" w:cs="Times New Roman"/>
      <w:sz w:val="20"/>
      <w:szCs w:val="20"/>
      <w:lang w:eastAsia="en-GB"/>
    </w:rPr>
  </w:style>
  <w:style w:type="paragraph" w:customStyle="1" w:styleId="BoxHeading">
    <w:name w:val="BoxHeading"/>
    <w:basedOn w:val="Normal"/>
    <w:next w:val="Normal"/>
    <w:semiHidden/>
    <w:rsid w:val="008B5E54"/>
    <w:pPr>
      <w:pBdr>
        <w:top w:val="single" w:sz="6" w:space="15" w:color="auto"/>
        <w:left w:val="single" w:sz="6" w:space="15" w:color="auto"/>
        <w:bottom w:val="single" w:sz="6" w:space="15" w:color="auto"/>
        <w:right w:val="single" w:sz="6" w:space="15" w:color="auto"/>
      </w:pBdr>
      <w:spacing w:before="0" w:after="240" w:line="240" w:lineRule="auto"/>
      <w:ind w:left="284" w:right="284"/>
    </w:pPr>
    <w:rPr>
      <w:rFonts w:ascii="Arial" w:eastAsia="Times New Roman" w:hAnsi="Arial" w:cs="Times New Roman"/>
      <w:b/>
      <w:szCs w:val="20"/>
      <w:lang w:eastAsia="en-GB"/>
    </w:rPr>
  </w:style>
  <w:style w:type="character" w:customStyle="1" w:styleId="Heading6Char">
    <w:name w:val="Heading 6 Char"/>
    <w:basedOn w:val="DefaultParagraphFont"/>
    <w:link w:val="Heading6"/>
    <w:semiHidden/>
    <w:rsid w:val="00EA64B4"/>
    <w:rPr>
      <w:rFonts w:ascii="Times New Roman" w:eastAsia="Times New Roman" w:hAnsi="Times New Roman" w:cs="Times New Roman"/>
      <w:b/>
      <w:szCs w:val="20"/>
      <w:lang w:val="en-AU"/>
    </w:rPr>
  </w:style>
  <w:style w:type="character" w:customStyle="1" w:styleId="Heading7Char">
    <w:name w:val="Heading 7 Char"/>
    <w:basedOn w:val="DefaultParagraphFont"/>
    <w:link w:val="Heading7"/>
    <w:semiHidden/>
    <w:rsid w:val="00EA64B4"/>
    <w:rPr>
      <w:rFonts w:ascii="Times New Roman" w:eastAsia="Times New Roman" w:hAnsi="Times New Roman" w:cs="Times New Roman"/>
      <w:szCs w:val="20"/>
      <w:lang w:val="en-AU"/>
    </w:rPr>
  </w:style>
  <w:style w:type="character" w:customStyle="1" w:styleId="Heading8Char">
    <w:name w:val="Heading 8 Char"/>
    <w:basedOn w:val="DefaultParagraphFont"/>
    <w:link w:val="Heading8"/>
    <w:semiHidden/>
    <w:rsid w:val="00EA64B4"/>
    <w:rPr>
      <w:rFonts w:ascii="Times New Roman" w:eastAsia="Times New Roman" w:hAnsi="Times New Roman" w:cs="Times New Roman"/>
      <w:i/>
      <w:szCs w:val="20"/>
      <w:lang w:val="en-AU"/>
    </w:rPr>
  </w:style>
  <w:style w:type="character" w:customStyle="1" w:styleId="Heading9Char">
    <w:name w:val="Heading 9 Char"/>
    <w:basedOn w:val="DefaultParagraphFont"/>
    <w:link w:val="Heading9"/>
    <w:semiHidden/>
    <w:rsid w:val="00EA64B4"/>
    <w:rPr>
      <w:rFonts w:ascii="Arial" w:eastAsia="Times New Roman" w:hAnsi="Arial" w:cs="Times New Roman"/>
      <w:b/>
      <w:color w:val="FFFFFF"/>
      <w:kern w:val="28"/>
      <w:sz w:val="2"/>
      <w:szCs w:val="20"/>
      <w:lang w:val="en-AU"/>
    </w:rPr>
  </w:style>
  <w:style w:type="paragraph" w:styleId="TOC4">
    <w:name w:val="toc 4"/>
    <w:basedOn w:val="Normal"/>
    <w:next w:val="Normal"/>
    <w:semiHidden/>
    <w:rsid w:val="00EA64B4"/>
    <w:pPr>
      <w:tabs>
        <w:tab w:val="right" w:pos="8505"/>
      </w:tabs>
      <w:spacing w:before="180" w:after="0" w:line="240" w:lineRule="auto"/>
      <w:ind w:left="1134" w:right="567" w:hanging="1134"/>
      <w:jc w:val="left"/>
    </w:pPr>
    <w:rPr>
      <w:rFonts w:ascii="Arial" w:eastAsia="Times New Roman" w:hAnsi="Arial" w:cs="Times New Roman"/>
      <w:sz w:val="20"/>
      <w:szCs w:val="20"/>
      <w:lang w:eastAsia="en-GB"/>
    </w:rPr>
  </w:style>
  <w:style w:type="paragraph" w:styleId="Caption">
    <w:name w:val="caption"/>
    <w:basedOn w:val="Normal"/>
    <w:next w:val="Normal"/>
    <w:uiPriority w:val="35"/>
    <w:semiHidden/>
    <w:qFormat/>
    <w:rsid w:val="00EA64B4"/>
    <w:pPr>
      <w:spacing w:before="0" w:after="200" w:line="240" w:lineRule="auto"/>
    </w:pPr>
    <w:rPr>
      <w:rFonts w:ascii="Times New Roman" w:eastAsia="Times New Roman" w:hAnsi="Times New Roman" w:cs="Times New Roman"/>
      <w:b/>
      <w:bCs/>
      <w:color w:val="1C556C" w:themeColor="accent1"/>
      <w:sz w:val="18"/>
      <w:szCs w:val="18"/>
      <w:lang w:eastAsia="en-US"/>
    </w:rPr>
  </w:style>
  <w:style w:type="character" w:customStyle="1" w:styleId="BulletChar">
    <w:name w:val="Bullet Char"/>
    <w:basedOn w:val="DefaultParagraphFont"/>
    <w:link w:val="Bullet"/>
    <w:locked/>
    <w:rsid w:val="008B5A2D"/>
    <w:rPr>
      <w:rFonts w:ascii="Calibri" w:eastAsia="Times New Roman" w:hAnsi="Calibri" w:cs="Times New Roman"/>
      <w:szCs w:val="20"/>
      <w:lang w:eastAsia="en-NZ"/>
    </w:rPr>
  </w:style>
  <w:style w:type="paragraph" w:customStyle="1" w:styleId="Casestudyheading">
    <w:name w:val="Case study heading"/>
    <w:basedOn w:val="BodyText"/>
    <w:uiPriority w:val="1"/>
    <w:semiHidden/>
    <w:qFormat/>
    <w:rsid w:val="000D12E0"/>
    <w:pPr>
      <w:keepNext/>
      <w:spacing w:line="240" w:lineRule="auto"/>
      <w:ind w:left="284"/>
    </w:pPr>
    <w:rPr>
      <w:b/>
      <w:caps/>
      <w:color w:val="FFFFFF" w:themeColor="background1"/>
    </w:rPr>
  </w:style>
  <w:style w:type="table" w:styleId="LightShading-Accent1">
    <w:name w:val="Light Shading Accent 1"/>
    <w:basedOn w:val="TableNormal"/>
    <w:uiPriority w:val="60"/>
    <w:rsid w:val="00E05569"/>
    <w:pPr>
      <w:spacing w:after="0" w:line="240" w:lineRule="auto"/>
    </w:pPr>
    <w:rPr>
      <w:rFonts w:eastAsiaTheme="minorEastAsia"/>
      <w:color w:val="153F50" w:themeColor="accent1" w:themeShade="BF"/>
      <w:lang w:val="en-US"/>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styleId="LightList-Accent3">
    <w:name w:val="Light List Accent 3"/>
    <w:basedOn w:val="TableNormal"/>
    <w:uiPriority w:val="61"/>
    <w:rsid w:val="00416330"/>
    <w:pPr>
      <w:spacing w:after="0" w:line="240" w:lineRule="auto"/>
    </w:pPr>
    <w:rPr>
      <w:rFonts w:eastAsiaTheme="minorEastAsia"/>
      <w:lang w:val="en-US"/>
    </w:rPr>
    <w:tblPr>
      <w:tblStyleRowBandSize w:val="1"/>
      <w:tblStyleColBandSize w:val="1"/>
      <w:tblBorders>
        <w:top w:val="single" w:sz="8" w:space="0" w:color="D2DDE2" w:themeColor="accent3"/>
        <w:left w:val="single" w:sz="8" w:space="0" w:color="D2DDE2" w:themeColor="accent3"/>
        <w:bottom w:val="single" w:sz="8" w:space="0" w:color="D2DDE2" w:themeColor="accent3"/>
        <w:right w:val="single" w:sz="8" w:space="0" w:color="D2DDE2" w:themeColor="accent3"/>
      </w:tblBorders>
    </w:tblPr>
    <w:tblStylePr w:type="firstRow">
      <w:pPr>
        <w:spacing w:before="0" w:after="0" w:line="240" w:lineRule="auto"/>
      </w:pPr>
      <w:rPr>
        <w:b/>
        <w:bCs/>
        <w:color w:val="FFFFFF" w:themeColor="background1"/>
      </w:rPr>
      <w:tblPr/>
      <w:tcPr>
        <w:shd w:val="clear" w:color="auto" w:fill="D2DDE2" w:themeFill="accent3"/>
      </w:tcPr>
    </w:tblStylePr>
    <w:tblStylePr w:type="lastRow">
      <w:pPr>
        <w:spacing w:before="0" w:after="0" w:line="240" w:lineRule="auto"/>
      </w:pPr>
      <w:rPr>
        <w:b/>
        <w:bCs/>
      </w:rPr>
      <w:tblPr/>
      <w:tcPr>
        <w:tcBorders>
          <w:top w:val="double" w:sz="6" w:space="0" w:color="D2DDE2" w:themeColor="accent3"/>
          <w:left w:val="single" w:sz="8" w:space="0" w:color="D2DDE2" w:themeColor="accent3"/>
          <w:bottom w:val="single" w:sz="8" w:space="0" w:color="D2DDE2" w:themeColor="accent3"/>
          <w:right w:val="single" w:sz="8" w:space="0" w:color="D2DDE2" w:themeColor="accent3"/>
        </w:tcBorders>
      </w:tcPr>
    </w:tblStylePr>
    <w:tblStylePr w:type="firstCol">
      <w:rPr>
        <w:b/>
        <w:bCs/>
      </w:rPr>
    </w:tblStylePr>
    <w:tblStylePr w:type="lastCol">
      <w:rPr>
        <w:b/>
        <w:bCs/>
      </w:rPr>
    </w:tblStylePr>
    <w:tblStylePr w:type="band1Vert">
      <w:tblPr/>
      <w:tcPr>
        <w:tcBorders>
          <w:top w:val="single" w:sz="8" w:space="0" w:color="D2DDE2" w:themeColor="accent3"/>
          <w:left w:val="single" w:sz="8" w:space="0" w:color="D2DDE2" w:themeColor="accent3"/>
          <w:bottom w:val="single" w:sz="8" w:space="0" w:color="D2DDE2" w:themeColor="accent3"/>
          <w:right w:val="single" w:sz="8" w:space="0" w:color="D2DDE2" w:themeColor="accent3"/>
        </w:tcBorders>
      </w:tcPr>
    </w:tblStylePr>
    <w:tblStylePr w:type="band1Horz">
      <w:tblPr/>
      <w:tcPr>
        <w:tcBorders>
          <w:top w:val="single" w:sz="8" w:space="0" w:color="D2DDE2" w:themeColor="accent3"/>
          <w:left w:val="single" w:sz="8" w:space="0" w:color="D2DDE2" w:themeColor="accent3"/>
          <w:bottom w:val="single" w:sz="8" w:space="0" w:color="D2DDE2" w:themeColor="accent3"/>
          <w:right w:val="single" w:sz="8" w:space="0" w:color="D2DDE2" w:themeColor="accent3"/>
        </w:tcBorders>
      </w:tcPr>
    </w:tblStylePr>
  </w:style>
  <w:style w:type="numbering" w:customStyle="1" w:styleId="Style1">
    <w:name w:val="Style1"/>
    <w:uiPriority w:val="99"/>
    <w:rsid w:val="00B07CE9"/>
    <w:pPr>
      <w:numPr>
        <w:numId w:val="13"/>
      </w:numPr>
    </w:pPr>
  </w:style>
  <w:style w:type="numbering" w:customStyle="1" w:styleId="Style2">
    <w:name w:val="Style2"/>
    <w:uiPriority w:val="99"/>
    <w:rsid w:val="008E0688"/>
    <w:pPr>
      <w:numPr>
        <w:numId w:val="19"/>
      </w:numPr>
    </w:pPr>
  </w:style>
  <w:style w:type="paragraph" w:customStyle="1" w:styleId="Greenbullet-casestudytables">
    <w:name w:val="Green bullet - case study tables"/>
    <w:basedOn w:val="Greentext-casestudytables"/>
    <w:uiPriority w:val="1"/>
    <w:semiHidden/>
    <w:rsid w:val="00C15722"/>
    <w:pPr>
      <w:numPr>
        <w:numId w:val="31"/>
      </w:numPr>
      <w:spacing w:before="0"/>
      <w:ind w:left="681" w:hanging="397"/>
    </w:pPr>
  </w:style>
  <w:style w:type="paragraph" w:customStyle="1" w:styleId="Greentext-casestudytables">
    <w:name w:val="Green text - case study tables"/>
    <w:basedOn w:val="BodyText"/>
    <w:uiPriority w:val="1"/>
    <w:semiHidden/>
    <w:rsid w:val="00C15722"/>
    <w:pPr>
      <w:spacing w:line="260" w:lineRule="atLeast"/>
      <w:ind w:left="284" w:right="284"/>
    </w:pPr>
    <w:rPr>
      <w:color w:val="0F7B7D"/>
      <w:sz w:val="20"/>
    </w:rPr>
  </w:style>
  <w:style w:type="paragraph" w:customStyle="1" w:styleId="Greenheading-casestudytables">
    <w:name w:val="Green heading - case study tables"/>
    <w:basedOn w:val="Greentext-casestudytables"/>
    <w:next w:val="Greentext-casestudytables"/>
    <w:uiPriority w:val="1"/>
    <w:semiHidden/>
    <w:rsid w:val="009F1D7F"/>
    <w:pPr>
      <w:keepNext/>
      <w:spacing w:before="240" w:after="0"/>
    </w:pPr>
    <w:rPr>
      <w:rFonts w:eastAsia="Times New Roman"/>
      <w:b/>
      <w:color w:val="1B556B"/>
      <w:sz w:val="22"/>
    </w:rPr>
  </w:style>
  <w:style w:type="numbering" w:customStyle="1" w:styleId="Style3">
    <w:name w:val="Style3"/>
    <w:uiPriority w:val="99"/>
    <w:rsid w:val="008B5A2D"/>
    <w:pPr>
      <w:numPr>
        <w:numId w:val="33"/>
      </w:numPr>
    </w:pPr>
  </w:style>
  <w:style w:type="paragraph" w:customStyle="1" w:styleId="Boxtext">
    <w:name w:val="Box text"/>
    <w:basedOn w:val="Normal"/>
    <w:uiPriority w:val="1"/>
    <w:qFormat/>
    <w:rsid w:val="00DB6A2B"/>
    <w:pPr>
      <w:spacing w:line="260" w:lineRule="atLeast"/>
      <w:ind w:left="284" w:right="284"/>
      <w:jc w:val="left"/>
    </w:pPr>
    <w:rPr>
      <w:color w:val="1B556B"/>
      <w:sz w:val="20"/>
    </w:rPr>
  </w:style>
  <w:style w:type="paragraph" w:customStyle="1" w:styleId="Boxbullet">
    <w:name w:val="Box bullet"/>
    <w:basedOn w:val="Boxtext"/>
    <w:uiPriority w:val="1"/>
    <w:qFormat/>
    <w:rsid w:val="005D3242"/>
    <w:pPr>
      <w:numPr>
        <w:numId w:val="2"/>
      </w:numPr>
      <w:tabs>
        <w:tab w:val="left" w:pos="680"/>
      </w:tabs>
      <w:spacing w:before="0"/>
      <w:ind w:left="681" w:hanging="397"/>
    </w:pPr>
    <w:rPr>
      <w:rFonts w:cs="Times New Roman"/>
      <w:szCs w:val="20"/>
    </w:rPr>
  </w:style>
  <w:style w:type="paragraph" w:customStyle="1" w:styleId="Boxheading0">
    <w:name w:val="Box heading"/>
    <w:basedOn w:val="Boxtext"/>
    <w:next w:val="Boxtext"/>
    <w:uiPriority w:val="1"/>
    <w:qFormat/>
    <w:rsid w:val="00DB6A2B"/>
    <w:pPr>
      <w:keepNext/>
      <w:spacing w:before="240" w:after="0"/>
    </w:pPr>
    <w:rPr>
      <w:rFonts w:cs="Times New Roman"/>
      <w:b/>
      <w:sz w:val="22"/>
      <w:szCs w:val="20"/>
    </w:rPr>
  </w:style>
  <w:style w:type="paragraph" w:customStyle="1" w:styleId="Boxsub-bullet">
    <w:name w:val="Box sub-bullet"/>
    <w:basedOn w:val="Boxtext"/>
    <w:uiPriority w:val="1"/>
    <w:qFormat/>
    <w:rsid w:val="00DB6A2B"/>
    <w:pPr>
      <w:numPr>
        <w:numId w:val="36"/>
      </w:numPr>
      <w:spacing w:before="0"/>
    </w:pPr>
    <w:rPr>
      <w:rFonts w:cs="Times New Roman"/>
      <w:szCs w:val="20"/>
    </w:rPr>
  </w:style>
  <w:style w:type="paragraph" w:customStyle="1" w:styleId="Greensub-bullet-casestudytables">
    <w:name w:val="Green sub-bullet - case study tables"/>
    <w:basedOn w:val="Greentext-casestudytables"/>
    <w:uiPriority w:val="1"/>
    <w:semiHidden/>
    <w:qFormat/>
    <w:rsid w:val="00C15722"/>
    <w:pPr>
      <w:numPr>
        <w:numId w:val="37"/>
      </w:numPr>
      <w:spacing w:before="0"/>
      <w:ind w:left="1077" w:hanging="397"/>
    </w:pPr>
  </w:style>
  <w:style w:type="paragraph" w:styleId="CommentText">
    <w:name w:val="annotation text"/>
    <w:basedOn w:val="Normal"/>
    <w:link w:val="CommentTextChar"/>
    <w:uiPriority w:val="99"/>
    <w:semiHidden/>
    <w:rsid w:val="00F221FF"/>
    <w:pPr>
      <w:spacing w:line="240" w:lineRule="auto"/>
    </w:pPr>
    <w:rPr>
      <w:sz w:val="20"/>
      <w:szCs w:val="20"/>
    </w:rPr>
  </w:style>
  <w:style w:type="character" w:customStyle="1" w:styleId="CommentTextChar">
    <w:name w:val="Comment Text Char"/>
    <w:basedOn w:val="DefaultParagraphFont"/>
    <w:link w:val="CommentText"/>
    <w:uiPriority w:val="99"/>
    <w:semiHidden/>
    <w:rsid w:val="00F221FF"/>
    <w:rPr>
      <w:rFonts w:ascii="Calibri" w:eastAsiaTheme="minorEastAsia" w:hAnsi="Calibri"/>
      <w:sz w:val="20"/>
      <w:szCs w:val="20"/>
      <w:lang w:eastAsia="en-NZ"/>
    </w:rPr>
  </w:style>
  <w:style w:type="character" w:styleId="UnresolvedMention">
    <w:name w:val="Unresolved Mention"/>
    <w:basedOn w:val="DefaultParagraphFont"/>
    <w:uiPriority w:val="99"/>
    <w:unhideWhenUsed/>
    <w:rsid w:val="00616DFD"/>
    <w:rPr>
      <w:color w:val="605E5C"/>
      <w:shd w:val="clear" w:color="auto" w:fill="E1DFDD"/>
    </w:rPr>
  </w:style>
  <w:style w:type="table" w:customStyle="1" w:styleId="ListTable2-Accent11">
    <w:name w:val="List Table 2 - Accent 11"/>
    <w:basedOn w:val="TableNormal"/>
    <w:uiPriority w:val="47"/>
    <w:rsid w:val="00177387"/>
    <w:pPr>
      <w:spacing w:after="0" w:line="240" w:lineRule="auto"/>
      <w:jc w:val="center"/>
    </w:pPr>
    <w:rPr>
      <w:rFonts w:eastAsia="MS Mincho"/>
    </w:rPr>
    <w:tblPr>
      <w:tblStyleRowBandSize w:val="1"/>
      <w:tblStyleColBandSize w:val="1"/>
      <w:tblBorders>
        <w:top w:val="single" w:sz="4" w:space="0" w:color="95B3D7"/>
        <w:bottom w:val="single" w:sz="4" w:space="0" w:color="95B3D7"/>
        <w:insideH w:val="single" w:sz="4" w:space="0" w:color="95B3D7"/>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styleId="NoSpacing">
    <w:name w:val="No Spacing"/>
    <w:link w:val="NoSpacingChar"/>
    <w:uiPriority w:val="1"/>
    <w:qFormat/>
    <w:rsid w:val="00DA4C91"/>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DA4C91"/>
    <w:rPr>
      <w:rFonts w:eastAsiaTheme="minorEastAsia"/>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0798895">
      <w:bodyDiv w:val="1"/>
      <w:marLeft w:val="0"/>
      <w:marRight w:val="0"/>
      <w:marTop w:val="0"/>
      <w:marBottom w:val="0"/>
      <w:divBdr>
        <w:top w:val="none" w:sz="0" w:space="0" w:color="auto"/>
        <w:left w:val="none" w:sz="0" w:space="0" w:color="auto"/>
        <w:bottom w:val="none" w:sz="0" w:space="0" w:color="auto"/>
        <w:right w:val="none" w:sz="0" w:space="0" w:color="auto"/>
      </w:divBdr>
    </w:div>
    <w:div w:id="1542086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nvironment.govt.nz/publications/our-freshwater-2020/" TargetMode="External"/><Relationship Id="rId21" Type="http://schemas.openxmlformats.org/officeDocument/2006/relationships/image" Target="media/image2.jpeg"/><Relationship Id="rId42" Type="http://schemas.openxmlformats.org/officeDocument/2006/relationships/image" Target="media/image16.png"/><Relationship Id="rId47" Type="http://schemas.openxmlformats.org/officeDocument/2006/relationships/hyperlink" Target="https://environment.govt.nz/publications/our-freshwater-2020/" TargetMode="External"/><Relationship Id="rId63" Type="http://schemas.openxmlformats.org/officeDocument/2006/relationships/hyperlink" Target="http://www.mfe.govt.nz" TargetMode="External"/><Relationship Id="rId68" Type="http://schemas.openxmlformats.org/officeDocument/2006/relationships/hyperlink" Target="https://www.legislation.govt.nz/" TargetMode="Externa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image" Target="media/image5.jpeg"/><Relationship Id="rId11" Type="http://schemas.openxmlformats.org/officeDocument/2006/relationships/endnotes" Target="endnotes.xml"/><Relationship Id="rId24" Type="http://schemas.openxmlformats.org/officeDocument/2006/relationships/hyperlink" Target="https://environment.govt.nz/publications/our-freshwater-2020/" TargetMode="External"/><Relationship Id="rId32" Type="http://schemas.openxmlformats.org/officeDocument/2006/relationships/footer" Target="footer5.xml"/><Relationship Id="rId37" Type="http://schemas.openxmlformats.org/officeDocument/2006/relationships/image" Target="media/image11.jpeg"/><Relationship Id="rId40" Type="http://schemas.openxmlformats.org/officeDocument/2006/relationships/image" Target="media/image14.png"/><Relationship Id="rId45" Type="http://schemas.openxmlformats.org/officeDocument/2006/relationships/image" Target="media/image19.jpeg"/><Relationship Id="rId53" Type="http://schemas.openxmlformats.org/officeDocument/2006/relationships/hyperlink" Target="http://www.oag.parliament.nz/2018/irrigation/docs" TargetMode="External"/><Relationship Id="rId58" Type="http://schemas.openxmlformats.org/officeDocument/2006/relationships/hyperlink" Target="http://www.lawa.org.nz/explore-data/manawat%C5%AB-whanganui-region/water-quantity/surface-water-zones/manawatu" TargetMode="External"/><Relationship Id="rId66" Type="http://schemas.openxmlformats.org/officeDocument/2006/relationships/hyperlink" Target="http://www.rangitikei.govt.nz/files/general/Asset-Management-Plans/Asset-Management-Plan-RDC-3-Waters-2017-18.pdf" TargetMode="External"/><Relationship Id="rId74" Type="http://schemas.openxmlformats.org/officeDocument/2006/relationships/fontTable" Target="fontTable.xml"/><Relationship Id="rId5" Type="http://schemas.openxmlformats.org/officeDocument/2006/relationships/customXml" Target="../customXml/item5.xml"/><Relationship Id="rId61" Type="http://schemas.openxmlformats.org/officeDocument/2006/relationships/hyperlink" Target="http://www.mfe.govt.nz" TargetMode="External"/><Relationship Id="rId19" Type="http://schemas.openxmlformats.org/officeDocument/2006/relationships/hyperlink" Target="http://www.mfe.govt.nz" TargetMode="External"/><Relationship Id="rId14" Type="http://schemas.openxmlformats.org/officeDocument/2006/relationships/footer" Target="footer1.xml"/><Relationship Id="rId22" Type="http://schemas.openxmlformats.org/officeDocument/2006/relationships/hyperlink" Target="https://environment.govt.nz/publications/environment-aotearoa-2019/" TargetMode="External"/><Relationship Id="rId27" Type="http://schemas.openxmlformats.org/officeDocument/2006/relationships/hyperlink" Target="https://environment.govt.nz/publications/our-freshwater-2020/" TargetMode="External"/><Relationship Id="rId30" Type="http://schemas.openxmlformats.org/officeDocument/2006/relationships/image" Target="media/image6.jpeg"/><Relationship Id="rId35" Type="http://schemas.openxmlformats.org/officeDocument/2006/relationships/image" Target="media/image9.png"/><Relationship Id="rId43" Type="http://schemas.openxmlformats.org/officeDocument/2006/relationships/image" Target="media/image17.png"/><Relationship Id="rId48" Type="http://schemas.openxmlformats.org/officeDocument/2006/relationships/image" Target="media/image20.jpg"/><Relationship Id="rId56" Type="http://schemas.openxmlformats.org/officeDocument/2006/relationships/hyperlink" Target="https://genesisenergy.co.nz/assets" TargetMode="External"/><Relationship Id="rId64" Type="http://schemas.openxmlformats.org/officeDocument/2006/relationships/hyperlink" Target="http://www.stats.govt.nz" TargetMode="External"/><Relationship Id="rId69" Type="http://schemas.openxmlformats.org/officeDocument/2006/relationships/hyperlink" Target="https://www.legislation.govt.nz/" TargetMode="External"/><Relationship Id="rId8" Type="http://schemas.openxmlformats.org/officeDocument/2006/relationships/settings" Target="settings.xml"/><Relationship Id="rId51" Type="http://schemas.openxmlformats.org/officeDocument/2006/relationships/image" Target="media/image23.tiff"/><Relationship Id="rId72" Type="http://schemas.openxmlformats.org/officeDocument/2006/relationships/hyperlink" Target="http://www.wellingtonwater.co.nz/your-water/drinking-water/where-does-it-come-from" TargetMode="Externa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3.jpeg"/><Relationship Id="rId33" Type="http://schemas.openxmlformats.org/officeDocument/2006/relationships/image" Target="media/image7.png"/><Relationship Id="rId38" Type="http://schemas.openxmlformats.org/officeDocument/2006/relationships/image" Target="media/image12.jpeg"/><Relationship Id="rId46" Type="http://schemas.openxmlformats.org/officeDocument/2006/relationships/hyperlink" Target="https://www.stats.govt.nz/indicators/consented-freshwater-takes" TargetMode="External"/><Relationship Id="rId59" Type="http://schemas.openxmlformats.org/officeDocument/2006/relationships/hyperlink" Target="http://www.mbie.govt.nz/building-and-energy/energy-and-natural-resources/energy-statistics-and-modelling/energy-statistics" TargetMode="External"/><Relationship Id="rId67" Type="http://schemas.openxmlformats.org/officeDocument/2006/relationships/hyperlink" Target="https://www.legislation.govt.nz/" TargetMode="External"/><Relationship Id="rId20" Type="http://schemas.openxmlformats.org/officeDocument/2006/relationships/hyperlink" Target="https://environment.govt.nz/publications/our-freshwater-2020/" TargetMode="External"/><Relationship Id="rId41" Type="http://schemas.openxmlformats.org/officeDocument/2006/relationships/image" Target="media/image15.png"/><Relationship Id="rId54" Type="http://schemas.openxmlformats.org/officeDocument/2006/relationships/hyperlink" Target="https://www.legislation.govt.nz/" TargetMode="External"/><Relationship Id="rId62" Type="http://schemas.openxmlformats.org/officeDocument/2006/relationships/hyperlink" Target="http://www.stats.govt.nz" TargetMode="External"/><Relationship Id="rId70" Type="http://schemas.openxmlformats.org/officeDocument/2006/relationships/hyperlink" Target="https://www.stats.govt.nz/indicators/drought" TargetMode="Externa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hyperlink" Target="https://environment.govt.nz/assets/Publications/Files/national-policy-statement-for-freshwater-management-2020.pdf" TargetMode="External"/><Relationship Id="rId28" Type="http://schemas.openxmlformats.org/officeDocument/2006/relationships/image" Target="media/image4.jpeg"/><Relationship Id="rId36" Type="http://schemas.openxmlformats.org/officeDocument/2006/relationships/image" Target="media/image10.jpeg"/><Relationship Id="rId49" Type="http://schemas.openxmlformats.org/officeDocument/2006/relationships/image" Target="media/image21.tiff"/><Relationship Id="rId57" Type="http://schemas.openxmlformats.org/officeDocument/2006/relationships/hyperlink" Target="https://horizons.govt.nz" TargetMode="External"/><Relationship Id="rId10" Type="http://schemas.openxmlformats.org/officeDocument/2006/relationships/footnotes" Target="footnotes.xml"/><Relationship Id="rId31" Type="http://schemas.openxmlformats.org/officeDocument/2006/relationships/footer" Target="footer4.xml"/><Relationship Id="rId44" Type="http://schemas.openxmlformats.org/officeDocument/2006/relationships/image" Target="media/image18.jpeg"/><Relationship Id="rId52" Type="http://schemas.openxmlformats.org/officeDocument/2006/relationships/hyperlink" Target="https://shiny.niwa.co.nz/Estuaries-Screening-Tool-3/pdfs/Booker,%20Woods%20-%202014%20-%20Journal%20of%20Hydrology.pdf" TargetMode="External"/><Relationship Id="rId60" Type="http://schemas.openxmlformats.org/officeDocument/2006/relationships/hyperlink" Target="https://environment.govt.nz/publications/national-policy-statement-for-freshwater-management-2020/" TargetMode="External"/><Relationship Id="rId65" Type="http://schemas.openxmlformats.org/officeDocument/2006/relationships/hyperlink" Target="http://www.pncc.govt.nz/services/water" TargetMode="External"/><Relationship Id="rId73" Type="http://schemas.openxmlformats.org/officeDocument/2006/relationships/hyperlink" Target="http://www.wellingtonwater.co.nz/your-water/drinking-water/where-does-it-come-from" TargetMode="Externa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image" Target="media/image1.png"/><Relationship Id="rId39" Type="http://schemas.openxmlformats.org/officeDocument/2006/relationships/image" Target="media/image13.png"/><Relationship Id="rId34" Type="http://schemas.openxmlformats.org/officeDocument/2006/relationships/image" Target="media/image8.png"/><Relationship Id="rId50" Type="http://schemas.openxmlformats.org/officeDocument/2006/relationships/image" Target="media/image22.tiff"/><Relationship Id="rId55" Type="http://schemas.openxmlformats.org/officeDocument/2006/relationships/hyperlink" Target="https://www.legislation.govt.nz/" TargetMode="External"/><Relationship Id="rId7" Type="http://schemas.openxmlformats.org/officeDocument/2006/relationships/styles" Target="styles.xml"/><Relationship Id="rId71" Type="http://schemas.openxmlformats.org/officeDocument/2006/relationships/hyperlink" Target="https://doi.org/10.1111/j.1752-1688.2002.tb04344.x"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enny_000\OneDrive\Documents\Work\Environment%20-%20Ministry%20for\FORMATTING\MfE%20report%20template%20Nov%202021.dotx" TargetMode="External"/></Relationships>
</file>

<file path=word/theme/theme1.xml><?xml version="1.0" encoding="utf-8"?>
<a:theme xmlns:a="http://schemas.openxmlformats.org/drawingml/2006/main" name="MFE">
  <a:themeElements>
    <a:clrScheme name="MfE new colours">
      <a:dk1>
        <a:sysClr val="windowText" lastClr="000000"/>
      </a:dk1>
      <a:lt1>
        <a:sysClr val="window" lastClr="FFFFFF"/>
      </a:lt1>
      <a:dk2>
        <a:srgbClr val="1B556B"/>
      </a:dk2>
      <a:lt2>
        <a:srgbClr val="EEECE1"/>
      </a:lt2>
      <a:accent1>
        <a:srgbClr val="1C556C"/>
      </a:accent1>
      <a:accent2>
        <a:srgbClr val="0F7B7D"/>
      </a:accent2>
      <a:accent3>
        <a:srgbClr val="D2DDE2"/>
      </a:accent3>
      <a:accent4>
        <a:srgbClr val="2C9986"/>
      </a:accent4>
      <a:accent5>
        <a:srgbClr val="6FC7B7"/>
      </a:accent5>
      <a:accent6>
        <a:srgbClr val="DA6C28"/>
      </a:accent6>
      <a:hlink>
        <a:srgbClr val="32809C"/>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p:properties xmlns:p="http://schemas.microsoft.com/office/2006/metadata/properties" xmlns:xsi="http://www.w3.org/2001/XMLSchema-instance" xmlns:pc="http://schemas.microsoft.com/office/infopath/2007/PartnerControls">
  <documentManagement>
    <Legacy_x0020_DocID xmlns="4a94300e-a927-4b92-9d3a-682523035cb6" xsi:nil="true"/>
    <Year xmlns="4a94300e-a927-4b92-9d3a-682523035cb6" xsi:nil="true"/>
    <_ip_UnifiedCompliancePolicyUIAction xmlns="http://schemas.microsoft.com/sharepoint/v3" xsi:nil="true"/>
    <Legacy_x0020_Version xmlns="4a94300e-a927-4b92-9d3a-682523035cb6" xsi:nil="true"/>
    <Sender_x0020_Date xmlns="4a94300e-a927-4b92-9d3a-682523035cb6" xsi:nil="true"/>
    <Library xmlns="4a94300e-a927-4b92-9d3a-682523035cb6" xsi:nil="true"/>
    <Class xmlns="4a94300e-a927-4b92-9d3a-682523035cb6" xsi:nil="true"/>
    <From xmlns="4a94300e-a927-4b92-9d3a-682523035cb6" xsi:nil="true"/>
    <Sender xmlns="4a94300e-a927-4b92-9d3a-682523035cb6" xsi:nil="true"/>
    <Supplemental_x0020_Markings xmlns="4a94300e-a927-4b92-9d3a-682523035cb6" xsi:nil="true"/>
    <IconOverlay xmlns="http://schemas.microsoft.com/sharepoint/v4" xsi:nil="true"/>
    <Other_x0020_Details xmlns="4a94300e-a927-4b92-9d3a-682523035cb6" xsi:nil="true"/>
    <_ip_UnifiedCompliancePolicyProperties xmlns="http://schemas.microsoft.com/sharepoint/v3" xsi:nil="true"/>
    <Carbon_x0020_Copy xmlns="4a94300e-a927-4b92-9d3a-682523035cb6" xsi:nil="true"/>
    <Author0 xmlns="4a94300e-a927-4b92-9d3a-682523035cb6" xsi:nil="true"/>
    <Email_x0020_Table xmlns="4a94300e-a927-4b92-9d3a-682523035cb6" xsi:nil="true"/>
    <MTS_x0020_ID xmlns="4a94300e-a927-4b92-9d3a-682523035cb6" xsi:nil="true"/>
    <MTS_x0020_Type xmlns="4a94300e-a927-4b92-9d3a-682523035cb6" xsi:nil="true"/>
    <Receiver xmlns="4a94300e-a927-4b92-9d3a-682523035cb6" xsi:nil="true"/>
    <Sent_x002f_Received xmlns="4a94300e-a927-4b92-9d3a-682523035cb6" xsi:nil="true"/>
    <Other_x0020_Details_2 xmlns="4a94300e-a927-4b92-9d3a-682523035cb6" xsi:nil="true"/>
    <To xmlns="4a94300e-a927-4b92-9d3a-682523035cb6" xsi:nil="true"/>
    <Other_x0020_Details_3 xmlns="4a94300e-a927-4b92-9d3a-682523035cb6" xsi:nil="true"/>
    <Receiver_x0020_Date xmlns="4a94300e-a927-4b92-9d3a-682523035cb6" xsi:nil="true"/>
    <Status xmlns="4a94300e-a927-4b92-9d3a-682523035cb6" xsi:nil="true"/>
    <Contract_x0020_Number xmlns="4a94300e-a927-4b92-9d3a-682523035cb6" xsi:nil="true"/>
    <Document_x0020_Type xmlns="4a94300e-a927-4b92-9d3a-682523035cb6" xsi:nil="true"/>
    <_dlc_DocId xmlns="58a6f171-52cb-4404-b47d-af1c8daf8fd1">ECM-1898536736-168806</_dlc_DocId>
    <_dlc_DocIdUrl xmlns="58a6f171-52cb-4404-b47d-af1c8daf8fd1">
      <Url>https://ministryforenvironment.sharepoint.com/sites/ECM-EM-ER/_layouts/15/DocIdRedir.aspx?ID=ECM-1898536736-168806</Url>
      <Description>ECM-1898536736-168806</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fth Edition"/>
</file>

<file path=customXml/item5.xml><?xml version="1.0" encoding="utf-8"?>
<ct:contentTypeSchema xmlns:ct="http://schemas.microsoft.com/office/2006/metadata/contentType" xmlns:ma="http://schemas.microsoft.com/office/2006/metadata/properties/metaAttributes" ct:_="" ma:_="" ma:contentTypeName="Document" ma:contentTypeID="0x010100EA5FB0BEBF7DE54D9F252D8A06C053F7" ma:contentTypeVersion="41" ma:contentTypeDescription="Create a new document." ma:contentTypeScope="" ma:versionID="acf2e1af86ed1d599efcef0bc911c95f">
  <xsd:schema xmlns:xsd="http://www.w3.org/2001/XMLSchema" xmlns:xs="http://www.w3.org/2001/XMLSchema" xmlns:p="http://schemas.microsoft.com/office/2006/metadata/properties" xmlns:ns1="http://schemas.microsoft.com/sharepoint/v3" xmlns:ns2="58a6f171-52cb-4404-b47d-af1c8daf8fd1" xmlns:ns3="4a94300e-a927-4b92-9d3a-682523035cb6" xmlns:ns4="0a5b0190-e301-4766-933d-448c7c363fce" xmlns:ns5="http://schemas.microsoft.com/sharepoint/v4" targetNamespace="http://schemas.microsoft.com/office/2006/metadata/properties" ma:root="true" ma:fieldsID="14cf380599442799caa6ee845124bab7" ns1:_="" ns2:_="" ns3:_="" ns4:_="" ns5:_="">
    <xsd:import namespace="http://schemas.microsoft.com/sharepoint/v3"/>
    <xsd:import namespace="58a6f171-52cb-4404-b47d-af1c8daf8fd1"/>
    <xsd:import namespace="4a94300e-a927-4b92-9d3a-682523035cb6"/>
    <xsd:import namespace="0a5b0190-e301-4766-933d-448c7c363fce"/>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3:Document_x0020_Type" minOccurs="0"/>
                <xsd:element ref="ns3:Sender" minOccurs="0"/>
                <xsd:element ref="ns3:Receiver" minOccurs="0"/>
                <xsd:element ref="ns3:Sender_x0020_Date" minOccurs="0"/>
                <xsd:element ref="ns3:Receiver_x0020_Date" minOccurs="0"/>
                <xsd:element ref="ns3:Carbon_x0020_Copy" minOccurs="0"/>
                <xsd:element ref="ns3:Email_x0020_Table" minOccurs="0"/>
                <xsd:element ref="ns3:Library" minOccurs="0"/>
                <xsd:element ref="ns3:Legacy_x0020_DocID" minOccurs="0"/>
                <xsd:element ref="ns3:Legacy_x0020_Version" minOccurs="0"/>
                <xsd:element ref="ns3:Class" minOccurs="0"/>
                <xsd:element ref="ns3:Author0" minOccurs="0"/>
                <xsd:element ref="ns3:Status" minOccurs="0"/>
                <xsd:element ref="ns3:Year" minOccurs="0"/>
                <xsd:element ref="ns3:Other_x0020_Details" minOccurs="0"/>
                <xsd:element ref="ns3:Contract_x0020_Number" minOccurs="0"/>
                <xsd:element ref="ns3:MediaServiceMetadata" minOccurs="0"/>
                <xsd:element ref="ns3:MediaServiceFastMetadata" minOccurs="0"/>
                <xsd:element ref="ns3:MediaServiceAutoKeyPoints" minOccurs="0"/>
                <xsd:element ref="ns3:MediaServiceKeyPoints" minOccurs="0"/>
                <xsd:element ref="ns3:To" minOccurs="0"/>
                <xsd:element ref="ns3:From" minOccurs="0"/>
                <xsd:element ref="ns3:Sent_x002f_Received" minOccurs="0"/>
                <xsd:element ref="ns3:Other_x0020_Details_2" minOccurs="0"/>
                <xsd:element ref="ns3:Other_x0020_Details_3" minOccurs="0"/>
                <xsd:element ref="ns3:Supplemental_x0020_Markings" minOccurs="0"/>
                <xsd:element ref="ns3:MediaServiceAutoTags" minOccurs="0"/>
                <xsd:element ref="ns3:MediaServiceGenerationTime" minOccurs="0"/>
                <xsd:element ref="ns3:MediaServiceEventHashCode" minOccurs="0"/>
                <xsd:element ref="ns3:MediaServiceOCR" minOccurs="0"/>
                <xsd:element ref="ns3:MTS_x0020_Type" minOccurs="0"/>
                <xsd:element ref="ns3:MTS_x0020_ID" minOccurs="0"/>
                <xsd:element ref="ns3:MediaServiceDateTaken" minOccurs="0"/>
                <xsd:element ref="ns1:_ip_UnifiedCompliancePolicyProperties" minOccurs="0"/>
                <xsd:element ref="ns1:_ip_UnifiedCompliancePolicyUIAction" minOccurs="0"/>
                <xsd:element ref="ns3:MediaLengthInSeconds" minOccurs="0"/>
                <xsd:element ref="ns4:SharedWithUsers" minOccurs="0"/>
                <xsd:element ref="ns4:SharedWithDetails" minOccurs="0"/>
                <xsd:element ref="ns5: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45" nillable="true" ma:displayName="Unified Compliance Policy Properties" ma:hidden="true" ma:internalName="_ip_UnifiedCompliancePolicyProperties">
      <xsd:simpleType>
        <xsd:restriction base="dms:Note"/>
      </xsd:simpleType>
    </xsd:element>
    <xsd:element name="_ip_UnifiedCompliancePolicyUIAction" ma:index="4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a6f171-52cb-4404-b47d-af1c8daf8fd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4a94300e-a927-4b92-9d3a-682523035cb6" elementFormDefault="qualified">
    <xsd:import namespace="http://schemas.microsoft.com/office/2006/documentManagement/types"/>
    <xsd:import namespace="http://schemas.microsoft.com/office/infopath/2007/PartnerControls"/>
    <xsd:element name="Document_x0020_Type" ma:index="11" nillable="true" ma:displayName="Document Type" ma:default="" ma:description="" ma:internalName="Document_x0020_Type">
      <xsd:simpleType>
        <xsd:restriction base="dms:Note">
          <xsd:maxLength value="255"/>
        </xsd:restriction>
      </xsd:simpleType>
    </xsd:element>
    <xsd:element name="Sender" ma:index="12" nillable="true" ma:displayName="Sender" ma:description="" ma:internalName="Sender">
      <xsd:simpleType>
        <xsd:restriction base="dms:Text">
          <xsd:maxLength value="255"/>
        </xsd:restriction>
      </xsd:simpleType>
    </xsd:element>
    <xsd:element name="Receiver" ma:index="13" nillable="true" ma:displayName="Receiver" ma:description="" ma:internalName="Receiver">
      <xsd:simpleType>
        <xsd:restriction base="dms:Text">
          <xsd:maxLength value="255"/>
        </xsd:restriction>
      </xsd:simpleType>
    </xsd:element>
    <xsd:element name="Sender_x0020_Date" ma:index="14" nillable="true" ma:displayName="Sender Date" ma:default="" ma:description="" ma:format="DateTime" ma:internalName="Sender_x0020_Date">
      <xsd:simpleType>
        <xsd:restriction base="dms:DateTime"/>
      </xsd:simpleType>
    </xsd:element>
    <xsd:element name="Receiver_x0020_Date" ma:index="15" nillable="true" ma:displayName="Receiver Date" ma:default="" ma:description="" ma:format="DateTime" ma:internalName="Receiver_x0020_Date">
      <xsd:simpleType>
        <xsd:restriction base="dms:DateTime"/>
      </xsd:simpleType>
    </xsd:element>
    <xsd:element name="Carbon_x0020_Copy" ma:index="16" nillable="true" ma:displayName="Carbon Copy" ma:description="" ma:internalName="Carbon_x0020_Copy">
      <xsd:simpleType>
        <xsd:restriction base="dms:Text">
          <xsd:maxLength value="255"/>
        </xsd:restriction>
      </xsd:simpleType>
    </xsd:element>
    <xsd:element name="Email_x0020_Table" ma:index="18" nillable="true" ma:displayName="Email Table" ma:description="" ma:internalName="Email_x0020_Table">
      <xsd:simpleType>
        <xsd:restriction base="dms:Note">
          <xsd:maxLength value="255"/>
        </xsd:restriction>
      </xsd:simpleType>
    </xsd:element>
    <xsd:element name="Library" ma:index="19" nillable="true" ma:displayName="Library" ma:default="" ma:description="" ma:internalName="Library">
      <xsd:simpleType>
        <xsd:restriction base="dms:Text">
          <xsd:maxLength value="255"/>
        </xsd:restriction>
      </xsd:simpleType>
    </xsd:element>
    <xsd:element name="Legacy_x0020_DocID" ma:index="20" nillable="true" ma:displayName="Legacy DocID" ma:decimals="-1" ma:default="" ma:description="" ma:internalName="Legacy_x0020_DocID">
      <xsd:simpleType>
        <xsd:restriction base="dms:Number"/>
      </xsd:simpleType>
    </xsd:element>
    <xsd:element name="Legacy_x0020_Version" ma:index="21" nillable="true" ma:displayName="Legacy Version" ma:default="" ma:description="" ma:internalName="Legacy_x0020_Version">
      <xsd:simpleType>
        <xsd:restriction base="dms:Text">
          <xsd:maxLength value="255"/>
        </xsd:restriction>
      </xsd:simpleType>
    </xsd:element>
    <xsd:element name="Class" ma:index="22" nillable="true" ma:displayName="Class" ma:default="" ma:description="" ma:internalName="Class">
      <xsd:simpleType>
        <xsd:restriction base="dms:Text">
          <xsd:maxLength value="255"/>
        </xsd:restriction>
      </xsd:simpleType>
    </xsd:element>
    <xsd:element name="Author0" ma:index="23" nillable="true" ma:displayName="Author" ma:default="" ma:description="" ma:internalName="Author0">
      <xsd:simpleType>
        <xsd:restriction base="dms:Text">
          <xsd:maxLength value="255"/>
        </xsd:restriction>
      </xsd:simpleType>
    </xsd:element>
    <xsd:element name="Status" ma:index="24" nillable="true" ma:displayName="Status" ma:default="" ma:description="" ma:internalName="Status">
      <xsd:simpleType>
        <xsd:restriction base="dms:Text">
          <xsd:maxLength value="255"/>
        </xsd:restriction>
      </xsd:simpleType>
    </xsd:element>
    <xsd:element name="Year" ma:index="25" nillable="true" ma:displayName="Year" ma:default="" ma:description="" ma:internalName="Year">
      <xsd:simpleType>
        <xsd:restriction base="dms:Text">
          <xsd:maxLength value="255"/>
        </xsd:restriction>
      </xsd:simpleType>
    </xsd:element>
    <xsd:element name="Other_x0020_Details" ma:index="26" nillable="true" ma:displayName="Other Details" ma:default="" ma:description="" ma:internalName="Other_x0020_Details">
      <xsd:simpleType>
        <xsd:restriction base="dms:Text">
          <xsd:maxLength value="255"/>
        </xsd:restriction>
      </xsd:simpleType>
    </xsd:element>
    <xsd:element name="Contract_x0020_Number" ma:index="27" nillable="true" ma:displayName="Contract Number" ma:default="" ma:description="" ma:internalName="Contract_x0020_Number">
      <xsd:simpleType>
        <xsd:restriction base="dms:Text">
          <xsd:maxLength value="255"/>
        </xsd:restriction>
      </xsd:simpleType>
    </xsd:element>
    <xsd:element name="MediaServiceMetadata" ma:index="28" nillable="true" ma:displayName="MediaServiceMetadata" ma:hidden="true" ma:internalName="MediaServiceMetadata" ma:readOnly="true">
      <xsd:simpleType>
        <xsd:restriction base="dms:Note"/>
      </xsd:simpleType>
    </xsd:element>
    <xsd:element name="MediaServiceFastMetadata" ma:index="29" nillable="true" ma:displayName="MediaServiceFastMetadata" ma:hidden="true" ma:internalName="MediaServiceFastMetadata" ma:readOnly="true">
      <xsd:simpleType>
        <xsd:restriction base="dms:Note"/>
      </xsd:simpleType>
    </xsd:element>
    <xsd:element name="MediaServiceAutoKeyPoints" ma:index="30" nillable="true" ma:displayName="MediaServiceAutoKeyPoints" ma:hidden="true" ma:internalName="MediaServiceAutoKeyPoints" ma:readOnly="true">
      <xsd:simpleType>
        <xsd:restriction base="dms:Note"/>
      </xsd:simpleType>
    </xsd:element>
    <xsd:element name="MediaServiceKeyPoints" ma:index="31" nillable="true" ma:displayName="KeyPoints" ma:internalName="MediaServiceKeyPoints" ma:readOnly="true">
      <xsd:simpleType>
        <xsd:restriction base="dms:Note">
          <xsd:maxLength value="255"/>
        </xsd:restriction>
      </xsd:simpleType>
    </xsd:element>
    <xsd:element name="To" ma:index="32" nillable="true" ma:displayName="To" ma:default="" ma:description="" ma:internalName="To">
      <xsd:simpleType>
        <xsd:restriction base="dms:Note">
          <xsd:maxLength value="255"/>
        </xsd:restriction>
      </xsd:simpleType>
    </xsd:element>
    <xsd:element name="From" ma:index="33" nillable="true" ma:displayName="From" ma:default="" ma:description="" ma:internalName="From">
      <xsd:simpleType>
        <xsd:restriction base="dms:Text">
          <xsd:maxLength value="255"/>
        </xsd:restriction>
      </xsd:simpleType>
    </xsd:element>
    <xsd:element name="Sent_x002f_Received" ma:index="34" nillable="true" ma:displayName="Sent/Received" ma:default="" ma:description="" ma:internalName="Sent_x002f_Received">
      <xsd:simpleType>
        <xsd:restriction base="dms:Text">
          <xsd:maxLength value="255"/>
        </xsd:restriction>
      </xsd:simpleType>
    </xsd:element>
    <xsd:element name="Other_x0020_Details_2" ma:index="35" nillable="true" ma:displayName="Other Details_2" ma:description="" ma:internalName="Other_x0020_Details_2">
      <xsd:simpleType>
        <xsd:restriction base="dms:Text">
          <xsd:maxLength value="255"/>
        </xsd:restriction>
      </xsd:simpleType>
    </xsd:element>
    <xsd:element name="Other_x0020_Details_3" ma:index="36" nillable="true" ma:displayName="Other Details_3" ma:description="" ma:internalName="Other_x0020_Details_3">
      <xsd:simpleType>
        <xsd:restriction base="dms:Text">
          <xsd:maxLength value="255"/>
        </xsd:restriction>
      </xsd:simpleType>
    </xsd:element>
    <xsd:element name="Supplemental_x0020_Markings" ma:index="37" nillable="true" ma:displayName="Supplemental Markings" ma:description="" ma:internalName="Supplemental_x0020_Markings">
      <xsd:simpleType>
        <xsd:restriction base="dms:Note">
          <xsd:maxLength value="255"/>
        </xsd:restriction>
      </xsd:simpleType>
    </xsd:element>
    <xsd:element name="MediaServiceAutoTags" ma:index="38" nillable="true" ma:displayName="Tags" ma:internalName="MediaServiceAutoTags" ma:readOnly="true">
      <xsd:simpleType>
        <xsd:restriction base="dms:Text"/>
      </xsd:simpleType>
    </xsd:element>
    <xsd:element name="MediaServiceGenerationTime" ma:index="39" nillable="true" ma:displayName="MediaServiceGenerationTime" ma:hidden="true" ma:internalName="MediaServiceGenerationTime" ma:readOnly="true">
      <xsd:simpleType>
        <xsd:restriction base="dms:Text"/>
      </xsd:simpleType>
    </xsd:element>
    <xsd:element name="MediaServiceEventHashCode" ma:index="40" nillable="true" ma:displayName="MediaServiceEventHashCode" ma:hidden="true" ma:internalName="MediaServiceEventHashCode" ma:readOnly="true">
      <xsd:simpleType>
        <xsd:restriction base="dms:Text"/>
      </xsd:simpleType>
    </xsd:element>
    <xsd:element name="MediaServiceOCR" ma:index="41" nillable="true" ma:displayName="Extracted Text" ma:internalName="MediaServiceOCR" ma:readOnly="true">
      <xsd:simpleType>
        <xsd:restriction base="dms:Note">
          <xsd:maxLength value="255"/>
        </xsd:restriction>
      </xsd:simpleType>
    </xsd:element>
    <xsd:element name="MTS_x0020_Type" ma:index="42" nillable="true" ma:displayName="MTS Type" ma:default="" ma:description="" ma:internalName="MTS_x0020_Type">
      <xsd:simpleType>
        <xsd:restriction base="dms:Note">
          <xsd:maxLength value="255"/>
        </xsd:restriction>
      </xsd:simpleType>
    </xsd:element>
    <xsd:element name="MTS_x0020_ID" ma:index="43" nillable="true" ma:displayName="MTS ID" ma:default="" ma:description="" ma:internalName="MTS_x0020_ID">
      <xsd:simpleType>
        <xsd:restriction base="dms:Text">
          <xsd:maxLength value="255"/>
        </xsd:restriction>
      </xsd:simpleType>
    </xsd:element>
    <xsd:element name="MediaServiceDateTaken" ma:index="44" nillable="true" ma:displayName="MediaServiceDateTaken" ma:hidden="true" ma:internalName="MediaServiceDateTaken" ma:readOnly="true">
      <xsd:simpleType>
        <xsd:restriction base="dms:Text"/>
      </xsd:simpleType>
    </xsd:element>
    <xsd:element name="MediaLengthInSeconds" ma:index="47"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a5b0190-e301-4766-933d-448c7c363fce" elementFormDefault="qualified">
    <xsd:import namespace="http://schemas.microsoft.com/office/2006/documentManagement/types"/>
    <xsd:import namespace="http://schemas.microsoft.com/office/infopath/2007/PartnerControls"/>
    <xsd:element name="SharedWithUsers" ma:index="4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4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50"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ma:index="17"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3D81886-D4E0-4EB8-95C7-72054997C21C}">
  <ds:schemaRefs>
    <ds:schemaRef ds:uri="http://schemas.microsoft.com/sharepoint/events"/>
  </ds:schemaRefs>
</ds:datastoreItem>
</file>

<file path=customXml/itemProps2.xml><?xml version="1.0" encoding="utf-8"?>
<ds:datastoreItem xmlns:ds="http://schemas.openxmlformats.org/officeDocument/2006/customXml" ds:itemID="{85896F35-018F-4F80-87DA-82A839C82CAA}">
  <ds:schemaRefs>
    <ds:schemaRef ds:uri="http://schemas.microsoft.com/office/2006/documentManagement/types"/>
    <ds:schemaRef ds:uri="58a6f171-52cb-4404-b47d-af1c8daf8fd1"/>
    <ds:schemaRef ds:uri="http://schemas.openxmlformats.org/package/2006/metadata/core-properties"/>
    <ds:schemaRef ds:uri="http://schemas.microsoft.com/office/infopath/2007/PartnerControls"/>
    <ds:schemaRef ds:uri="http://schemas.microsoft.com/sharepoint/v3"/>
    <ds:schemaRef ds:uri="http://purl.org/dc/elements/1.1/"/>
    <ds:schemaRef ds:uri="http://www.w3.org/XML/1998/namespace"/>
    <ds:schemaRef ds:uri="http://purl.org/dc/terms/"/>
    <ds:schemaRef ds:uri="http://purl.org/dc/dcmitype/"/>
    <ds:schemaRef ds:uri="4a94300e-a927-4b92-9d3a-682523035cb6"/>
    <ds:schemaRef ds:uri="http://schemas.microsoft.com/sharepoint/v4"/>
    <ds:schemaRef ds:uri="0a5b0190-e301-4766-933d-448c7c363fce"/>
    <ds:schemaRef ds:uri="http://schemas.microsoft.com/office/2006/metadata/properties"/>
  </ds:schemaRefs>
</ds:datastoreItem>
</file>

<file path=customXml/itemProps3.xml><?xml version="1.0" encoding="utf-8"?>
<ds:datastoreItem xmlns:ds="http://schemas.openxmlformats.org/officeDocument/2006/customXml" ds:itemID="{DC04EA7A-6B15-4902-A24E-B6FE8F72651B}">
  <ds:schemaRefs>
    <ds:schemaRef ds:uri="http://schemas.microsoft.com/sharepoint/v3/contenttype/forms"/>
  </ds:schemaRefs>
</ds:datastoreItem>
</file>

<file path=customXml/itemProps4.xml><?xml version="1.0" encoding="utf-8"?>
<ds:datastoreItem xmlns:ds="http://schemas.openxmlformats.org/officeDocument/2006/customXml" ds:itemID="{D27907E1-733D-40A2-9501-D22B1B74D9CB}">
  <ds:schemaRefs>
    <ds:schemaRef ds:uri="http://schemas.openxmlformats.org/officeDocument/2006/bibliography"/>
  </ds:schemaRefs>
</ds:datastoreItem>
</file>

<file path=customXml/itemProps5.xml><?xml version="1.0" encoding="utf-8"?>
<ds:datastoreItem xmlns:ds="http://schemas.openxmlformats.org/officeDocument/2006/customXml" ds:itemID="{651DCCA8-0AF5-43C2-AE99-DFBFAC6FABA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58a6f171-52cb-4404-b47d-af1c8daf8fd1"/>
    <ds:schemaRef ds:uri="4a94300e-a927-4b92-9d3a-682523035cb6"/>
    <ds:schemaRef ds:uri="0a5b0190-e301-4766-933d-448c7c363fce"/>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MfE report template Nov 2021</Template>
  <TotalTime>1</TotalTime>
  <Pages>63</Pages>
  <Words>18228</Words>
  <Characters>103901</Characters>
  <Application>Microsoft Office Word</Application>
  <DocSecurity>0</DocSecurity>
  <Lines>865</Lines>
  <Paragraphs>243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121886</CharactersWithSpaces>
  <SharedDoc>false</SharedDoc>
  <HLinks>
    <vt:vector size="522" baseType="variant">
      <vt:variant>
        <vt:i4>7143463</vt:i4>
      </vt:variant>
      <vt:variant>
        <vt:i4>450</vt:i4>
      </vt:variant>
      <vt:variant>
        <vt:i4>0</vt:i4>
      </vt:variant>
      <vt:variant>
        <vt:i4>5</vt:i4>
      </vt:variant>
      <vt:variant>
        <vt:lpwstr>http://www.wellingtonwater.co.nz/your-water/drinking-water/where-does-it-come-from</vt:lpwstr>
      </vt:variant>
      <vt:variant>
        <vt:lpwstr/>
      </vt:variant>
      <vt:variant>
        <vt:i4>7143463</vt:i4>
      </vt:variant>
      <vt:variant>
        <vt:i4>447</vt:i4>
      </vt:variant>
      <vt:variant>
        <vt:i4>0</vt:i4>
      </vt:variant>
      <vt:variant>
        <vt:i4>5</vt:i4>
      </vt:variant>
      <vt:variant>
        <vt:lpwstr>http://www.wellingtonwater.co.nz/your-water/drinking-water/where-does-it-come-from</vt:lpwstr>
      </vt:variant>
      <vt:variant>
        <vt:lpwstr/>
      </vt:variant>
      <vt:variant>
        <vt:i4>6160460</vt:i4>
      </vt:variant>
      <vt:variant>
        <vt:i4>444</vt:i4>
      </vt:variant>
      <vt:variant>
        <vt:i4>0</vt:i4>
      </vt:variant>
      <vt:variant>
        <vt:i4>5</vt:i4>
      </vt:variant>
      <vt:variant>
        <vt:lpwstr>https://www.stats.govt.nz/indicators/drought</vt:lpwstr>
      </vt:variant>
      <vt:variant>
        <vt:lpwstr/>
      </vt:variant>
      <vt:variant>
        <vt:i4>4653083</vt:i4>
      </vt:variant>
      <vt:variant>
        <vt:i4>441</vt:i4>
      </vt:variant>
      <vt:variant>
        <vt:i4>0</vt:i4>
      </vt:variant>
      <vt:variant>
        <vt:i4>5</vt:i4>
      </vt:variant>
      <vt:variant>
        <vt:lpwstr>https://www.legislation.govt.nz/</vt:lpwstr>
      </vt:variant>
      <vt:variant>
        <vt:lpwstr/>
      </vt:variant>
      <vt:variant>
        <vt:i4>4653083</vt:i4>
      </vt:variant>
      <vt:variant>
        <vt:i4>438</vt:i4>
      </vt:variant>
      <vt:variant>
        <vt:i4>0</vt:i4>
      </vt:variant>
      <vt:variant>
        <vt:i4>5</vt:i4>
      </vt:variant>
      <vt:variant>
        <vt:lpwstr>https://www.legislation.govt.nz/</vt:lpwstr>
      </vt:variant>
      <vt:variant>
        <vt:lpwstr/>
      </vt:variant>
      <vt:variant>
        <vt:i4>4653083</vt:i4>
      </vt:variant>
      <vt:variant>
        <vt:i4>435</vt:i4>
      </vt:variant>
      <vt:variant>
        <vt:i4>0</vt:i4>
      </vt:variant>
      <vt:variant>
        <vt:i4>5</vt:i4>
      </vt:variant>
      <vt:variant>
        <vt:lpwstr>https://www.legislation.govt.nz/</vt:lpwstr>
      </vt:variant>
      <vt:variant>
        <vt:lpwstr/>
      </vt:variant>
      <vt:variant>
        <vt:i4>4849676</vt:i4>
      </vt:variant>
      <vt:variant>
        <vt:i4>432</vt:i4>
      </vt:variant>
      <vt:variant>
        <vt:i4>0</vt:i4>
      </vt:variant>
      <vt:variant>
        <vt:i4>5</vt:i4>
      </vt:variant>
      <vt:variant>
        <vt:lpwstr>http://www.rangitikei.govt.nz/files/general/Asset-Management-Plans/Asset-Management-Plan-RDC-3-Waters-2017-18.pdf</vt:lpwstr>
      </vt:variant>
      <vt:variant>
        <vt:lpwstr/>
      </vt:variant>
      <vt:variant>
        <vt:i4>4063294</vt:i4>
      </vt:variant>
      <vt:variant>
        <vt:i4>429</vt:i4>
      </vt:variant>
      <vt:variant>
        <vt:i4>0</vt:i4>
      </vt:variant>
      <vt:variant>
        <vt:i4>5</vt:i4>
      </vt:variant>
      <vt:variant>
        <vt:lpwstr>http://www.pncc.govt.nz/services/water</vt:lpwstr>
      </vt:variant>
      <vt:variant>
        <vt:lpwstr/>
      </vt:variant>
      <vt:variant>
        <vt:i4>983051</vt:i4>
      </vt:variant>
      <vt:variant>
        <vt:i4>426</vt:i4>
      </vt:variant>
      <vt:variant>
        <vt:i4>0</vt:i4>
      </vt:variant>
      <vt:variant>
        <vt:i4>5</vt:i4>
      </vt:variant>
      <vt:variant>
        <vt:lpwstr>http://www.stats.govt.nz/</vt:lpwstr>
      </vt:variant>
      <vt:variant>
        <vt:lpwstr/>
      </vt:variant>
      <vt:variant>
        <vt:i4>6684781</vt:i4>
      </vt:variant>
      <vt:variant>
        <vt:i4>423</vt:i4>
      </vt:variant>
      <vt:variant>
        <vt:i4>0</vt:i4>
      </vt:variant>
      <vt:variant>
        <vt:i4>5</vt:i4>
      </vt:variant>
      <vt:variant>
        <vt:lpwstr>http://www.mfe.govt.nz/</vt:lpwstr>
      </vt:variant>
      <vt:variant>
        <vt:lpwstr/>
      </vt:variant>
      <vt:variant>
        <vt:i4>983051</vt:i4>
      </vt:variant>
      <vt:variant>
        <vt:i4>420</vt:i4>
      </vt:variant>
      <vt:variant>
        <vt:i4>0</vt:i4>
      </vt:variant>
      <vt:variant>
        <vt:i4>5</vt:i4>
      </vt:variant>
      <vt:variant>
        <vt:lpwstr>http://www.stats.govt.nz/</vt:lpwstr>
      </vt:variant>
      <vt:variant>
        <vt:lpwstr/>
      </vt:variant>
      <vt:variant>
        <vt:i4>6684781</vt:i4>
      </vt:variant>
      <vt:variant>
        <vt:i4>417</vt:i4>
      </vt:variant>
      <vt:variant>
        <vt:i4>0</vt:i4>
      </vt:variant>
      <vt:variant>
        <vt:i4>5</vt:i4>
      </vt:variant>
      <vt:variant>
        <vt:lpwstr>http://www.mfe.govt.nz/</vt:lpwstr>
      </vt:variant>
      <vt:variant>
        <vt:lpwstr/>
      </vt:variant>
      <vt:variant>
        <vt:i4>3211303</vt:i4>
      </vt:variant>
      <vt:variant>
        <vt:i4>414</vt:i4>
      </vt:variant>
      <vt:variant>
        <vt:i4>0</vt:i4>
      </vt:variant>
      <vt:variant>
        <vt:i4>5</vt:i4>
      </vt:variant>
      <vt:variant>
        <vt:lpwstr>https://environment.govt.nz/publications/national-policy-statement-for-freshwater-management-2020/</vt:lpwstr>
      </vt:variant>
      <vt:variant>
        <vt:lpwstr/>
      </vt:variant>
      <vt:variant>
        <vt:i4>7274546</vt:i4>
      </vt:variant>
      <vt:variant>
        <vt:i4>411</vt:i4>
      </vt:variant>
      <vt:variant>
        <vt:i4>0</vt:i4>
      </vt:variant>
      <vt:variant>
        <vt:i4>5</vt:i4>
      </vt:variant>
      <vt:variant>
        <vt:lpwstr>http://www.mbie.govt.nz/building-and-energy/energy-and-natural-resources/energy-statistics-and-modelling/energy-statistics</vt:lpwstr>
      </vt:variant>
      <vt:variant>
        <vt:lpwstr/>
      </vt:variant>
      <vt:variant>
        <vt:i4>7536740</vt:i4>
      </vt:variant>
      <vt:variant>
        <vt:i4>408</vt:i4>
      </vt:variant>
      <vt:variant>
        <vt:i4>0</vt:i4>
      </vt:variant>
      <vt:variant>
        <vt:i4>5</vt:i4>
      </vt:variant>
      <vt:variant>
        <vt:lpwstr>http://www.lawa.org.nz/explore-data/manawat%C5%AB-whanganui-region/water-quantity/surface-water-zones/manawatu</vt:lpwstr>
      </vt:variant>
      <vt:variant>
        <vt:lpwstr/>
      </vt:variant>
      <vt:variant>
        <vt:i4>5111829</vt:i4>
      </vt:variant>
      <vt:variant>
        <vt:i4>405</vt:i4>
      </vt:variant>
      <vt:variant>
        <vt:i4>0</vt:i4>
      </vt:variant>
      <vt:variant>
        <vt:i4>5</vt:i4>
      </vt:variant>
      <vt:variant>
        <vt:lpwstr>https://horizons.govt.nz/</vt:lpwstr>
      </vt:variant>
      <vt:variant>
        <vt:lpwstr/>
      </vt:variant>
      <vt:variant>
        <vt:i4>7995517</vt:i4>
      </vt:variant>
      <vt:variant>
        <vt:i4>402</vt:i4>
      </vt:variant>
      <vt:variant>
        <vt:i4>0</vt:i4>
      </vt:variant>
      <vt:variant>
        <vt:i4>5</vt:i4>
      </vt:variant>
      <vt:variant>
        <vt:lpwstr>https://genesisenergy.co.nz/assets</vt:lpwstr>
      </vt:variant>
      <vt:variant>
        <vt:lpwstr/>
      </vt:variant>
      <vt:variant>
        <vt:i4>4653083</vt:i4>
      </vt:variant>
      <vt:variant>
        <vt:i4>399</vt:i4>
      </vt:variant>
      <vt:variant>
        <vt:i4>0</vt:i4>
      </vt:variant>
      <vt:variant>
        <vt:i4>5</vt:i4>
      </vt:variant>
      <vt:variant>
        <vt:lpwstr>https://www.legislation.govt.nz/</vt:lpwstr>
      </vt:variant>
      <vt:variant>
        <vt:lpwstr/>
      </vt:variant>
      <vt:variant>
        <vt:i4>4653083</vt:i4>
      </vt:variant>
      <vt:variant>
        <vt:i4>396</vt:i4>
      </vt:variant>
      <vt:variant>
        <vt:i4>0</vt:i4>
      </vt:variant>
      <vt:variant>
        <vt:i4>5</vt:i4>
      </vt:variant>
      <vt:variant>
        <vt:lpwstr>https://www.legislation.govt.nz/</vt:lpwstr>
      </vt:variant>
      <vt:variant>
        <vt:lpwstr/>
      </vt:variant>
      <vt:variant>
        <vt:i4>4784140</vt:i4>
      </vt:variant>
      <vt:variant>
        <vt:i4>393</vt:i4>
      </vt:variant>
      <vt:variant>
        <vt:i4>0</vt:i4>
      </vt:variant>
      <vt:variant>
        <vt:i4>5</vt:i4>
      </vt:variant>
      <vt:variant>
        <vt:lpwstr>http://www.oag.parliament.nz/2018/irrigation/docs</vt:lpwstr>
      </vt:variant>
      <vt:variant>
        <vt:lpwstr/>
      </vt:variant>
      <vt:variant>
        <vt:i4>6094871</vt:i4>
      </vt:variant>
      <vt:variant>
        <vt:i4>390</vt:i4>
      </vt:variant>
      <vt:variant>
        <vt:i4>0</vt:i4>
      </vt:variant>
      <vt:variant>
        <vt:i4>5</vt:i4>
      </vt:variant>
      <vt:variant>
        <vt:lpwstr>https://doi.org/10.1016/j.jhydrol.2013.11.007</vt:lpwstr>
      </vt:variant>
      <vt:variant>
        <vt:lpwstr/>
      </vt:variant>
      <vt:variant>
        <vt:i4>4390913</vt:i4>
      </vt:variant>
      <vt:variant>
        <vt:i4>345</vt:i4>
      </vt:variant>
      <vt:variant>
        <vt:i4>0</vt:i4>
      </vt:variant>
      <vt:variant>
        <vt:i4>5</vt:i4>
      </vt:variant>
      <vt:variant>
        <vt:lpwstr>https://environment.govt.nz/publications/our-freshwater-2020/</vt:lpwstr>
      </vt:variant>
      <vt:variant>
        <vt:lpwstr/>
      </vt:variant>
      <vt:variant>
        <vt:i4>7864438</vt:i4>
      </vt:variant>
      <vt:variant>
        <vt:i4>342</vt:i4>
      </vt:variant>
      <vt:variant>
        <vt:i4>0</vt:i4>
      </vt:variant>
      <vt:variant>
        <vt:i4>5</vt:i4>
      </vt:variant>
      <vt:variant>
        <vt:lpwstr>https://www.stats.govt.nz/indicators/consented-freshwater-takes</vt:lpwstr>
      </vt:variant>
      <vt:variant>
        <vt:lpwstr/>
      </vt:variant>
      <vt:variant>
        <vt:i4>6553682</vt:i4>
      </vt:variant>
      <vt:variant>
        <vt:i4>333</vt:i4>
      </vt:variant>
      <vt:variant>
        <vt:i4>0</vt:i4>
      </vt:variant>
      <vt:variant>
        <vt:i4>5</vt:i4>
      </vt:variant>
      <vt:variant>
        <vt:lpwstr/>
      </vt:variant>
      <vt:variant>
        <vt:lpwstr>_Comparing_estimated_streamflow</vt:lpwstr>
      </vt:variant>
      <vt:variant>
        <vt:i4>8257612</vt:i4>
      </vt:variant>
      <vt:variant>
        <vt:i4>330</vt:i4>
      </vt:variant>
      <vt:variant>
        <vt:i4>0</vt:i4>
      </vt:variant>
      <vt:variant>
        <vt:i4>5</vt:i4>
      </vt:variant>
      <vt:variant>
        <vt:lpwstr/>
      </vt:variant>
      <vt:variant>
        <vt:lpwstr>_Using_estimated_streamflow</vt:lpwstr>
      </vt:variant>
      <vt:variant>
        <vt:i4>327789</vt:i4>
      </vt:variant>
      <vt:variant>
        <vt:i4>327</vt:i4>
      </vt:variant>
      <vt:variant>
        <vt:i4>0</vt:i4>
      </vt:variant>
      <vt:variant>
        <vt:i4>5</vt:i4>
      </vt:variant>
      <vt:variant>
        <vt:lpwstr/>
      </vt:variant>
      <vt:variant>
        <vt:lpwstr>_Appendix_A:_Technical</vt:lpwstr>
      </vt:variant>
      <vt:variant>
        <vt:i4>2621454</vt:i4>
      </vt:variant>
      <vt:variant>
        <vt:i4>324</vt:i4>
      </vt:variant>
      <vt:variant>
        <vt:i4>0</vt:i4>
      </vt:variant>
      <vt:variant>
        <vt:i4>5</vt:i4>
      </vt:variant>
      <vt:variant>
        <vt:lpwstr/>
      </vt:variant>
      <vt:variant>
        <vt:lpwstr>_Estimating_streamflow_depletion</vt:lpwstr>
      </vt:variant>
      <vt:variant>
        <vt:i4>524335</vt:i4>
      </vt:variant>
      <vt:variant>
        <vt:i4>321</vt:i4>
      </vt:variant>
      <vt:variant>
        <vt:i4>0</vt:i4>
      </vt:variant>
      <vt:variant>
        <vt:i4>5</vt:i4>
      </vt:variant>
      <vt:variant>
        <vt:lpwstr/>
      </vt:variant>
      <vt:variant>
        <vt:lpwstr>_Streamflow_depletion_as</vt:lpwstr>
      </vt:variant>
      <vt:variant>
        <vt:i4>6553682</vt:i4>
      </vt:variant>
      <vt:variant>
        <vt:i4>318</vt:i4>
      </vt:variant>
      <vt:variant>
        <vt:i4>0</vt:i4>
      </vt:variant>
      <vt:variant>
        <vt:i4>5</vt:i4>
      </vt:variant>
      <vt:variant>
        <vt:lpwstr/>
      </vt:variant>
      <vt:variant>
        <vt:lpwstr>_Comparing_estimated_streamflow</vt:lpwstr>
      </vt:variant>
      <vt:variant>
        <vt:i4>2621454</vt:i4>
      </vt:variant>
      <vt:variant>
        <vt:i4>315</vt:i4>
      </vt:variant>
      <vt:variant>
        <vt:i4>0</vt:i4>
      </vt:variant>
      <vt:variant>
        <vt:i4>5</vt:i4>
      </vt:variant>
      <vt:variant>
        <vt:lpwstr/>
      </vt:variant>
      <vt:variant>
        <vt:lpwstr>_Estimating_streamflow_depletion</vt:lpwstr>
      </vt:variant>
      <vt:variant>
        <vt:i4>327789</vt:i4>
      </vt:variant>
      <vt:variant>
        <vt:i4>312</vt:i4>
      </vt:variant>
      <vt:variant>
        <vt:i4>0</vt:i4>
      </vt:variant>
      <vt:variant>
        <vt:i4>5</vt:i4>
      </vt:variant>
      <vt:variant>
        <vt:lpwstr/>
      </vt:variant>
      <vt:variant>
        <vt:lpwstr>_Appendix_A:_Technical</vt:lpwstr>
      </vt:variant>
      <vt:variant>
        <vt:i4>327789</vt:i4>
      </vt:variant>
      <vt:variant>
        <vt:i4>309</vt:i4>
      </vt:variant>
      <vt:variant>
        <vt:i4>0</vt:i4>
      </vt:variant>
      <vt:variant>
        <vt:i4>5</vt:i4>
      </vt:variant>
      <vt:variant>
        <vt:lpwstr/>
      </vt:variant>
      <vt:variant>
        <vt:lpwstr>_Appendix_A:_Technical</vt:lpwstr>
      </vt:variant>
      <vt:variant>
        <vt:i4>327789</vt:i4>
      </vt:variant>
      <vt:variant>
        <vt:i4>306</vt:i4>
      </vt:variant>
      <vt:variant>
        <vt:i4>0</vt:i4>
      </vt:variant>
      <vt:variant>
        <vt:i4>5</vt:i4>
      </vt:variant>
      <vt:variant>
        <vt:lpwstr/>
      </vt:variant>
      <vt:variant>
        <vt:lpwstr>_Appendix_A:_Technical</vt:lpwstr>
      </vt:variant>
      <vt:variant>
        <vt:i4>4390913</vt:i4>
      </vt:variant>
      <vt:variant>
        <vt:i4>303</vt:i4>
      </vt:variant>
      <vt:variant>
        <vt:i4>0</vt:i4>
      </vt:variant>
      <vt:variant>
        <vt:i4>5</vt:i4>
      </vt:variant>
      <vt:variant>
        <vt:lpwstr>https://environment.govt.nz/publications/our-freshwater-2020/</vt:lpwstr>
      </vt:variant>
      <vt:variant>
        <vt:lpwstr/>
      </vt:variant>
      <vt:variant>
        <vt:i4>4390913</vt:i4>
      </vt:variant>
      <vt:variant>
        <vt:i4>300</vt:i4>
      </vt:variant>
      <vt:variant>
        <vt:i4>0</vt:i4>
      </vt:variant>
      <vt:variant>
        <vt:i4>5</vt:i4>
      </vt:variant>
      <vt:variant>
        <vt:lpwstr>https://environment.govt.nz/publications/our-freshwater-2020/</vt:lpwstr>
      </vt:variant>
      <vt:variant>
        <vt:lpwstr/>
      </vt:variant>
      <vt:variant>
        <vt:i4>7667795</vt:i4>
      </vt:variant>
      <vt:variant>
        <vt:i4>297</vt:i4>
      </vt:variant>
      <vt:variant>
        <vt:i4>0</vt:i4>
      </vt:variant>
      <vt:variant>
        <vt:i4>5</vt:i4>
      </vt:variant>
      <vt:variant>
        <vt:lpwstr/>
      </vt:variant>
      <vt:variant>
        <vt:lpwstr>_Understanding_the_effects</vt:lpwstr>
      </vt:variant>
      <vt:variant>
        <vt:i4>4390913</vt:i4>
      </vt:variant>
      <vt:variant>
        <vt:i4>294</vt:i4>
      </vt:variant>
      <vt:variant>
        <vt:i4>0</vt:i4>
      </vt:variant>
      <vt:variant>
        <vt:i4>5</vt:i4>
      </vt:variant>
      <vt:variant>
        <vt:lpwstr>https://environment.govt.nz/publications/our-freshwater-2020/</vt:lpwstr>
      </vt:variant>
      <vt:variant>
        <vt:lpwstr/>
      </vt:variant>
      <vt:variant>
        <vt:i4>6422641</vt:i4>
      </vt:variant>
      <vt:variant>
        <vt:i4>291</vt:i4>
      </vt:variant>
      <vt:variant>
        <vt:i4>0</vt:i4>
      </vt:variant>
      <vt:variant>
        <vt:i4>5</vt:i4>
      </vt:variant>
      <vt:variant>
        <vt:lpwstr>https://environment.govt.nz/assets/Publications/Files/national-policy-statement-for-freshwater-management-2020.pdf</vt:lpwstr>
      </vt:variant>
      <vt:variant>
        <vt:lpwstr/>
      </vt:variant>
      <vt:variant>
        <vt:i4>3997813</vt:i4>
      </vt:variant>
      <vt:variant>
        <vt:i4>288</vt:i4>
      </vt:variant>
      <vt:variant>
        <vt:i4>0</vt:i4>
      </vt:variant>
      <vt:variant>
        <vt:i4>5</vt:i4>
      </vt:variant>
      <vt:variant>
        <vt:lpwstr>https://environment.govt.nz/publications/environment-aotearoa-2019/</vt:lpwstr>
      </vt:variant>
      <vt:variant>
        <vt:lpwstr/>
      </vt:variant>
      <vt:variant>
        <vt:i4>3473408</vt:i4>
      </vt:variant>
      <vt:variant>
        <vt:i4>285</vt:i4>
      </vt:variant>
      <vt:variant>
        <vt:i4>0</vt:i4>
      </vt:variant>
      <vt:variant>
        <vt:i4>5</vt:i4>
      </vt:variant>
      <vt:variant>
        <vt:lpwstr/>
      </vt:variant>
      <vt:variant>
        <vt:lpwstr>_Water_allocation_and</vt:lpwstr>
      </vt:variant>
      <vt:variant>
        <vt:i4>4390913</vt:i4>
      </vt:variant>
      <vt:variant>
        <vt:i4>282</vt:i4>
      </vt:variant>
      <vt:variant>
        <vt:i4>0</vt:i4>
      </vt:variant>
      <vt:variant>
        <vt:i4>5</vt:i4>
      </vt:variant>
      <vt:variant>
        <vt:lpwstr>https://environment.govt.nz/publications/our-freshwater-2020/</vt:lpwstr>
      </vt:variant>
      <vt:variant>
        <vt:lpwstr/>
      </vt:variant>
      <vt:variant>
        <vt:i4>1376311</vt:i4>
      </vt:variant>
      <vt:variant>
        <vt:i4>275</vt:i4>
      </vt:variant>
      <vt:variant>
        <vt:i4>0</vt:i4>
      </vt:variant>
      <vt:variant>
        <vt:i4>5</vt:i4>
      </vt:variant>
      <vt:variant>
        <vt:lpwstr/>
      </vt:variant>
      <vt:variant>
        <vt:lpwstr>_Toc88488436</vt:lpwstr>
      </vt:variant>
      <vt:variant>
        <vt:i4>1441847</vt:i4>
      </vt:variant>
      <vt:variant>
        <vt:i4>269</vt:i4>
      </vt:variant>
      <vt:variant>
        <vt:i4>0</vt:i4>
      </vt:variant>
      <vt:variant>
        <vt:i4>5</vt:i4>
      </vt:variant>
      <vt:variant>
        <vt:lpwstr/>
      </vt:variant>
      <vt:variant>
        <vt:lpwstr>_Toc88488435</vt:lpwstr>
      </vt:variant>
      <vt:variant>
        <vt:i4>1507383</vt:i4>
      </vt:variant>
      <vt:variant>
        <vt:i4>263</vt:i4>
      </vt:variant>
      <vt:variant>
        <vt:i4>0</vt:i4>
      </vt:variant>
      <vt:variant>
        <vt:i4>5</vt:i4>
      </vt:variant>
      <vt:variant>
        <vt:lpwstr/>
      </vt:variant>
      <vt:variant>
        <vt:lpwstr>_Toc88488434</vt:lpwstr>
      </vt:variant>
      <vt:variant>
        <vt:i4>1048631</vt:i4>
      </vt:variant>
      <vt:variant>
        <vt:i4>257</vt:i4>
      </vt:variant>
      <vt:variant>
        <vt:i4>0</vt:i4>
      </vt:variant>
      <vt:variant>
        <vt:i4>5</vt:i4>
      </vt:variant>
      <vt:variant>
        <vt:lpwstr/>
      </vt:variant>
      <vt:variant>
        <vt:lpwstr>_Toc88488433</vt:lpwstr>
      </vt:variant>
      <vt:variant>
        <vt:i4>1114167</vt:i4>
      </vt:variant>
      <vt:variant>
        <vt:i4>251</vt:i4>
      </vt:variant>
      <vt:variant>
        <vt:i4>0</vt:i4>
      </vt:variant>
      <vt:variant>
        <vt:i4>5</vt:i4>
      </vt:variant>
      <vt:variant>
        <vt:lpwstr/>
      </vt:variant>
      <vt:variant>
        <vt:lpwstr>_Toc88488432</vt:lpwstr>
      </vt:variant>
      <vt:variant>
        <vt:i4>1179703</vt:i4>
      </vt:variant>
      <vt:variant>
        <vt:i4>245</vt:i4>
      </vt:variant>
      <vt:variant>
        <vt:i4>0</vt:i4>
      </vt:variant>
      <vt:variant>
        <vt:i4>5</vt:i4>
      </vt:variant>
      <vt:variant>
        <vt:lpwstr/>
      </vt:variant>
      <vt:variant>
        <vt:lpwstr>_Toc88488431</vt:lpwstr>
      </vt:variant>
      <vt:variant>
        <vt:i4>1245239</vt:i4>
      </vt:variant>
      <vt:variant>
        <vt:i4>239</vt:i4>
      </vt:variant>
      <vt:variant>
        <vt:i4>0</vt:i4>
      </vt:variant>
      <vt:variant>
        <vt:i4>5</vt:i4>
      </vt:variant>
      <vt:variant>
        <vt:lpwstr/>
      </vt:variant>
      <vt:variant>
        <vt:lpwstr>_Toc88488430</vt:lpwstr>
      </vt:variant>
      <vt:variant>
        <vt:i4>1703990</vt:i4>
      </vt:variant>
      <vt:variant>
        <vt:i4>233</vt:i4>
      </vt:variant>
      <vt:variant>
        <vt:i4>0</vt:i4>
      </vt:variant>
      <vt:variant>
        <vt:i4>5</vt:i4>
      </vt:variant>
      <vt:variant>
        <vt:lpwstr/>
      </vt:variant>
      <vt:variant>
        <vt:lpwstr>_Toc88488429</vt:lpwstr>
      </vt:variant>
      <vt:variant>
        <vt:i4>1769526</vt:i4>
      </vt:variant>
      <vt:variant>
        <vt:i4>227</vt:i4>
      </vt:variant>
      <vt:variant>
        <vt:i4>0</vt:i4>
      </vt:variant>
      <vt:variant>
        <vt:i4>5</vt:i4>
      </vt:variant>
      <vt:variant>
        <vt:lpwstr/>
      </vt:variant>
      <vt:variant>
        <vt:lpwstr>_Toc88488428</vt:lpwstr>
      </vt:variant>
      <vt:variant>
        <vt:i4>1310774</vt:i4>
      </vt:variant>
      <vt:variant>
        <vt:i4>221</vt:i4>
      </vt:variant>
      <vt:variant>
        <vt:i4>0</vt:i4>
      </vt:variant>
      <vt:variant>
        <vt:i4>5</vt:i4>
      </vt:variant>
      <vt:variant>
        <vt:lpwstr/>
      </vt:variant>
      <vt:variant>
        <vt:lpwstr>_Toc88488427</vt:lpwstr>
      </vt:variant>
      <vt:variant>
        <vt:i4>1376310</vt:i4>
      </vt:variant>
      <vt:variant>
        <vt:i4>215</vt:i4>
      </vt:variant>
      <vt:variant>
        <vt:i4>0</vt:i4>
      </vt:variant>
      <vt:variant>
        <vt:i4>5</vt:i4>
      </vt:variant>
      <vt:variant>
        <vt:lpwstr/>
      </vt:variant>
      <vt:variant>
        <vt:lpwstr>_Toc88488426</vt:lpwstr>
      </vt:variant>
      <vt:variant>
        <vt:i4>1441846</vt:i4>
      </vt:variant>
      <vt:variant>
        <vt:i4>209</vt:i4>
      </vt:variant>
      <vt:variant>
        <vt:i4>0</vt:i4>
      </vt:variant>
      <vt:variant>
        <vt:i4>5</vt:i4>
      </vt:variant>
      <vt:variant>
        <vt:lpwstr/>
      </vt:variant>
      <vt:variant>
        <vt:lpwstr>_Toc88488425</vt:lpwstr>
      </vt:variant>
      <vt:variant>
        <vt:i4>1507382</vt:i4>
      </vt:variant>
      <vt:variant>
        <vt:i4>203</vt:i4>
      </vt:variant>
      <vt:variant>
        <vt:i4>0</vt:i4>
      </vt:variant>
      <vt:variant>
        <vt:i4>5</vt:i4>
      </vt:variant>
      <vt:variant>
        <vt:lpwstr/>
      </vt:variant>
      <vt:variant>
        <vt:lpwstr>_Toc88488424</vt:lpwstr>
      </vt:variant>
      <vt:variant>
        <vt:i4>1048630</vt:i4>
      </vt:variant>
      <vt:variant>
        <vt:i4>197</vt:i4>
      </vt:variant>
      <vt:variant>
        <vt:i4>0</vt:i4>
      </vt:variant>
      <vt:variant>
        <vt:i4>5</vt:i4>
      </vt:variant>
      <vt:variant>
        <vt:lpwstr/>
      </vt:variant>
      <vt:variant>
        <vt:lpwstr>_Toc88488423</vt:lpwstr>
      </vt:variant>
      <vt:variant>
        <vt:i4>1114166</vt:i4>
      </vt:variant>
      <vt:variant>
        <vt:i4>191</vt:i4>
      </vt:variant>
      <vt:variant>
        <vt:i4>0</vt:i4>
      </vt:variant>
      <vt:variant>
        <vt:i4>5</vt:i4>
      </vt:variant>
      <vt:variant>
        <vt:lpwstr/>
      </vt:variant>
      <vt:variant>
        <vt:lpwstr>_Toc88488422</vt:lpwstr>
      </vt:variant>
      <vt:variant>
        <vt:i4>1179702</vt:i4>
      </vt:variant>
      <vt:variant>
        <vt:i4>185</vt:i4>
      </vt:variant>
      <vt:variant>
        <vt:i4>0</vt:i4>
      </vt:variant>
      <vt:variant>
        <vt:i4>5</vt:i4>
      </vt:variant>
      <vt:variant>
        <vt:lpwstr/>
      </vt:variant>
      <vt:variant>
        <vt:lpwstr>_Toc88488421</vt:lpwstr>
      </vt:variant>
      <vt:variant>
        <vt:i4>1245238</vt:i4>
      </vt:variant>
      <vt:variant>
        <vt:i4>179</vt:i4>
      </vt:variant>
      <vt:variant>
        <vt:i4>0</vt:i4>
      </vt:variant>
      <vt:variant>
        <vt:i4>5</vt:i4>
      </vt:variant>
      <vt:variant>
        <vt:lpwstr/>
      </vt:variant>
      <vt:variant>
        <vt:lpwstr>_Toc88488420</vt:lpwstr>
      </vt:variant>
      <vt:variant>
        <vt:i4>1703989</vt:i4>
      </vt:variant>
      <vt:variant>
        <vt:i4>173</vt:i4>
      </vt:variant>
      <vt:variant>
        <vt:i4>0</vt:i4>
      </vt:variant>
      <vt:variant>
        <vt:i4>5</vt:i4>
      </vt:variant>
      <vt:variant>
        <vt:lpwstr/>
      </vt:variant>
      <vt:variant>
        <vt:lpwstr>_Toc88488419</vt:lpwstr>
      </vt:variant>
      <vt:variant>
        <vt:i4>1769525</vt:i4>
      </vt:variant>
      <vt:variant>
        <vt:i4>167</vt:i4>
      </vt:variant>
      <vt:variant>
        <vt:i4>0</vt:i4>
      </vt:variant>
      <vt:variant>
        <vt:i4>5</vt:i4>
      </vt:variant>
      <vt:variant>
        <vt:lpwstr/>
      </vt:variant>
      <vt:variant>
        <vt:lpwstr>_Toc88488418</vt:lpwstr>
      </vt:variant>
      <vt:variant>
        <vt:i4>1310773</vt:i4>
      </vt:variant>
      <vt:variant>
        <vt:i4>161</vt:i4>
      </vt:variant>
      <vt:variant>
        <vt:i4>0</vt:i4>
      </vt:variant>
      <vt:variant>
        <vt:i4>5</vt:i4>
      </vt:variant>
      <vt:variant>
        <vt:lpwstr/>
      </vt:variant>
      <vt:variant>
        <vt:lpwstr>_Toc88488417</vt:lpwstr>
      </vt:variant>
      <vt:variant>
        <vt:i4>1376309</vt:i4>
      </vt:variant>
      <vt:variant>
        <vt:i4>152</vt:i4>
      </vt:variant>
      <vt:variant>
        <vt:i4>0</vt:i4>
      </vt:variant>
      <vt:variant>
        <vt:i4>5</vt:i4>
      </vt:variant>
      <vt:variant>
        <vt:lpwstr/>
      </vt:variant>
      <vt:variant>
        <vt:lpwstr>_Toc88488416</vt:lpwstr>
      </vt:variant>
      <vt:variant>
        <vt:i4>1441845</vt:i4>
      </vt:variant>
      <vt:variant>
        <vt:i4>146</vt:i4>
      </vt:variant>
      <vt:variant>
        <vt:i4>0</vt:i4>
      </vt:variant>
      <vt:variant>
        <vt:i4>5</vt:i4>
      </vt:variant>
      <vt:variant>
        <vt:lpwstr/>
      </vt:variant>
      <vt:variant>
        <vt:lpwstr>_Toc88488415</vt:lpwstr>
      </vt:variant>
      <vt:variant>
        <vt:i4>1507381</vt:i4>
      </vt:variant>
      <vt:variant>
        <vt:i4>140</vt:i4>
      </vt:variant>
      <vt:variant>
        <vt:i4>0</vt:i4>
      </vt:variant>
      <vt:variant>
        <vt:i4>5</vt:i4>
      </vt:variant>
      <vt:variant>
        <vt:lpwstr/>
      </vt:variant>
      <vt:variant>
        <vt:lpwstr>_Toc88488414</vt:lpwstr>
      </vt:variant>
      <vt:variant>
        <vt:i4>1048629</vt:i4>
      </vt:variant>
      <vt:variant>
        <vt:i4>134</vt:i4>
      </vt:variant>
      <vt:variant>
        <vt:i4>0</vt:i4>
      </vt:variant>
      <vt:variant>
        <vt:i4>5</vt:i4>
      </vt:variant>
      <vt:variant>
        <vt:lpwstr/>
      </vt:variant>
      <vt:variant>
        <vt:lpwstr>_Toc88488413</vt:lpwstr>
      </vt:variant>
      <vt:variant>
        <vt:i4>1114165</vt:i4>
      </vt:variant>
      <vt:variant>
        <vt:i4>128</vt:i4>
      </vt:variant>
      <vt:variant>
        <vt:i4>0</vt:i4>
      </vt:variant>
      <vt:variant>
        <vt:i4>5</vt:i4>
      </vt:variant>
      <vt:variant>
        <vt:lpwstr/>
      </vt:variant>
      <vt:variant>
        <vt:lpwstr>_Toc88488412</vt:lpwstr>
      </vt:variant>
      <vt:variant>
        <vt:i4>1179701</vt:i4>
      </vt:variant>
      <vt:variant>
        <vt:i4>122</vt:i4>
      </vt:variant>
      <vt:variant>
        <vt:i4>0</vt:i4>
      </vt:variant>
      <vt:variant>
        <vt:i4>5</vt:i4>
      </vt:variant>
      <vt:variant>
        <vt:lpwstr/>
      </vt:variant>
      <vt:variant>
        <vt:lpwstr>_Toc88488411</vt:lpwstr>
      </vt:variant>
      <vt:variant>
        <vt:i4>1245237</vt:i4>
      </vt:variant>
      <vt:variant>
        <vt:i4>116</vt:i4>
      </vt:variant>
      <vt:variant>
        <vt:i4>0</vt:i4>
      </vt:variant>
      <vt:variant>
        <vt:i4>5</vt:i4>
      </vt:variant>
      <vt:variant>
        <vt:lpwstr/>
      </vt:variant>
      <vt:variant>
        <vt:lpwstr>_Toc88488410</vt:lpwstr>
      </vt:variant>
      <vt:variant>
        <vt:i4>1703993</vt:i4>
      </vt:variant>
      <vt:variant>
        <vt:i4>107</vt:i4>
      </vt:variant>
      <vt:variant>
        <vt:i4>0</vt:i4>
      </vt:variant>
      <vt:variant>
        <vt:i4>5</vt:i4>
      </vt:variant>
      <vt:variant>
        <vt:lpwstr/>
      </vt:variant>
      <vt:variant>
        <vt:lpwstr>_Toc88642455</vt:lpwstr>
      </vt:variant>
      <vt:variant>
        <vt:i4>1769529</vt:i4>
      </vt:variant>
      <vt:variant>
        <vt:i4>101</vt:i4>
      </vt:variant>
      <vt:variant>
        <vt:i4>0</vt:i4>
      </vt:variant>
      <vt:variant>
        <vt:i4>5</vt:i4>
      </vt:variant>
      <vt:variant>
        <vt:lpwstr/>
      </vt:variant>
      <vt:variant>
        <vt:lpwstr>_Toc88642454</vt:lpwstr>
      </vt:variant>
      <vt:variant>
        <vt:i4>1835065</vt:i4>
      </vt:variant>
      <vt:variant>
        <vt:i4>95</vt:i4>
      </vt:variant>
      <vt:variant>
        <vt:i4>0</vt:i4>
      </vt:variant>
      <vt:variant>
        <vt:i4>5</vt:i4>
      </vt:variant>
      <vt:variant>
        <vt:lpwstr/>
      </vt:variant>
      <vt:variant>
        <vt:lpwstr>_Toc88642453</vt:lpwstr>
      </vt:variant>
      <vt:variant>
        <vt:i4>1900601</vt:i4>
      </vt:variant>
      <vt:variant>
        <vt:i4>89</vt:i4>
      </vt:variant>
      <vt:variant>
        <vt:i4>0</vt:i4>
      </vt:variant>
      <vt:variant>
        <vt:i4>5</vt:i4>
      </vt:variant>
      <vt:variant>
        <vt:lpwstr/>
      </vt:variant>
      <vt:variant>
        <vt:lpwstr>_Toc88642452</vt:lpwstr>
      </vt:variant>
      <vt:variant>
        <vt:i4>1966137</vt:i4>
      </vt:variant>
      <vt:variant>
        <vt:i4>83</vt:i4>
      </vt:variant>
      <vt:variant>
        <vt:i4>0</vt:i4>
      </vt:variant>
      <vt:variant>
        <vt:i4>5</vt:i4>
      </vt:variant>
      <vt:variant>
        <vt:lpwstr/>
      </vt:variant>
      <vt:variant>
        <vt:lpwstr>_Toc88642451</vt:lpwstr>
      </vt:variant>
      <vt:variant>
        <vt:i4>2031673</vt:i4>
      </vt:variant>
      <vt:variant>
        <vt:i4>77</vt:i4>
      </vt:variant>
      <vt:variant>
        <vt:i4>0</vt:i4>
      </vt:variant>
      <vt:variant>
        <vt:i4>5</vt:i4>
      </vt:variant>
      <vt:variant>
        <vt:lpwstr/>
      </vt:variant>
      <vt:variant>
        <vt:lpwstr>_Toc88642450</vt:lpwstr>
      </vt:variant>
      <vt:variant>
        <vt:i4>1441848</vt:i4>
      </vt:variant>
      <vt:variant>
        <vt:i4>71</vt:i4>
      </vt:variant>
      <vt:variant>
        <vt:i4>0</vt:i4>
      </vt:variant>
      <vt:variant>
        <vt:i4>5</vt:i4>
      </vt:variant>
      <vt:variant>
        <vt:lpwstr/>
      </vt:variant>
      <vt:variant>
        <vt:lpwstr>_Toc88642449</vt:lpwstr>
      </vt:variant>
      <vt:variant>
        <vt:i4>1507384</vt:i4>
      </vt:variant>
      <vt:variant>
        <vt:i4>65</vt:i4>
      </vt:variant>
      <vt:variant>
        <vt:i4>0</vt:i4>
      </vt:variant>
      <vt:variant>
        <vt:i4>5</vt:i4>
      </vt:variant>
      <vt:variant>
        <vt:lpwstr/>
      </vt:variant>
      <vt:variant>
        <vt:lpwstr>_Toc88642448</vt:lpwstr>
      </vt:variant>
      <vt:variant>
        <vt:i4>1572920</vt:i4>
      </vt:variant>
      <vt:variant>
        <vt:i4>59</vt:i4>
      </vt:variant>
      <vt:variant>
        <vt:i4>0</vt:i4>
      </vt:variant>
      <vt:variant>
        <vt:i4>5</vt:i4>
      </vt:variant>
      <vt:variant>
        <vt:lpwstr/>
      </vt:variant>
      <vt:variant>
        <vt:lpwstr>_Toc88642447</vt:lpwstr>
      </vt:variant>
      <vt:variant>
        <vt:i4>1638456</vt:i4>
      </vt:variant>
      <vt:variant>
        <vt:i4>53</vt:i4>
      </vt:variant>
      <vt:variant>
        <vt:i4>0</vt:i4>
      </vt:variant>
      <vt:variant>
        <vt:i4>5</vt:i4>
      </vt:variant>
      <vt:variant>
        <vt:lpwstr/>
      </vt:variant>
      <vt:variant>
        <vt:lpwstr>_Toc88642446</vt:lpwstr>
      </vt:variant>
      <vt:variant>
        <vt:i4>1703992</vt:i4>
      </vt:variant>
      <vt:variant>
        <vt:i4>47</vt:i4>
      </vt:variant>
      <vt:variant>
        <vt:i4>0</vt:i4>
      </vt:variant>
      <vt:variant>
        <vt:i4>5</vt:i4>
      </vt:variant>
      <vt:variant>
        <vt:lpwstr/>
      </vt:variant>
      <vt:variant>
        <vt:lpwstr>_Toc88642445</vt:lpwstr>
      </vt:variant>
      <vt:variant>
        <vt:i4>1769528</vt:i4>
      </vt:variant>
      <vt:variant>
        <vt:i4>41</vt:i4>
      </vt:variant>
      <vt:variant>
        <vt:i4>0</vt:i4>
      </vt:variant>
      <vt:variant>
        <vt:i4>5</vt:i4>
      </vt:variant>
      <vt:variant>
        <vt:lpwstr/>
      </vt:variant>
      <vt:variant>
        <vt:lpwstr>_Toc88642444</vt:lpwstr>
      </vt:variant>
      <vt:variant>
        <vt:i4>1835064</vt:i4>
      </vt:variant>
      <vt:variant>
        <vt:i4>35</vt:i4>
      </vt:variant>
      <vt:variant>
        <vt:i4>0</vt:i4>
      </vt:variant>
      <vt:variant>
        <vt:i4>5</vt:i4>
      </vt:variant>
      <vt:variant>
        <vt:lpwstr/>
      </vt:variant>
      <vt:variant>
        <vt:lpwstr>_Toc88642443</vt:lpwstr>
      </vt:variant>
      <vt:variant>
        <vt:i4>1900600</vt:i4>
      </vt:variant>
      <vt:variant>
        <vt:i4>29</vt:i4>
      </vt:variant>
      <vt:variant>
        <vt:i4>0</vt:i4>
      </vt:variant>
      <vt:variant>
        <vt:i4>5</vt:i4>
      </vt:variant>
      <vt:variant>
        <vt:lpwstr/>
      </vt:variant>
      <vt:variant>
        <vt:lpwstr>_Toc88642442</vt:lpwstr>
      </vt:variant>
      <vt:variant>
        <vt:i4>1966136</vt:i4>
      </vt:variant>
      <vt:variant>
        <vt:i4>23</vt:i4>
      </vt:variant>
      <vt:variant>
        <vt:i4>0</vt:i4>
      </vt:variant>
      <vt:variant>
        <vt:i4>5</vt:i4>
      </vt:variant>
      <vt:variant>
        <vt:lpwstr/>
      </vt:variant>
      <vt:variant>
        <vt:lpwstr>_Toc88642441</vt:lpwstr>
      </vt:variant>
      <vt:variant>
        <vt:i4>2031672</vt:i4>
      </vt:variant>
      <vt:variant>
        <vt:i4>17</vt:i4>
      </vt:variant>
      <vt:variant>
        <vt:i4>0</vt:i4>
      </vt:variant>
      <vt:variant>
        <vt:i4>5</vt:i4>
      </vt:variant>
      <vt:variant>
        <vt:lpwstr/>
      </vt:variant>
      <vt:variant>
        <vt:lpwstr>_Toc88642440</vt:lpwstr>
      </vt:variant>
      <vt:variant>
        <vt:i4>1441855</vt:i4>
      </vt:variant>
      <vt:variant>
        <vt:i4>11</vt:i4>
      </vt:variant>
      <vt:variant>
        <vt:i4>0</vt:i4>
      </vt:variant>
      <vt:variant>
        <vt:i4>5</vt:i4>
      </vt:variant>
      <vt:variant>
        <vt:lpwstr/>
      </vt:variant>
      <vt:variant>
        <vt:lpwstr>_Toc88642439</vt:lpwstr>
      </vt:variant>
      <vt:variant>
        <vt:i4>1507391</vt:i4>
      </vt:variant>
      <vt:variant>
        <vt:i4>5</vt:i4>
      </vt:variant>
      <vt:variant>
        <vt:i4>0</vt:i4>
      </vt:variant>
      <vt:variant>
        <vt:i4>5</vt:i4>
      </vt:variant>
      <vt:variant>
        <vt:lpwstr/>
      </vt:variant>
      <vt:variant>
        <vt:lpwstr>_Toc88642438</vt:lpwstr>
      </vt:variant>
      <vt:variant>
        <vt:i4>6684781</vt:i4>
      </vt:variant>
      <vt:variant>
        <vt:i4>0</vt:i4>
      </vt:variant>
      <vt:variant>
        <vt:i4>0</vt:i4>
      </vt:variant>
      <vt:variant>
        <vt:i4>5</vt:i4>
      </vt:variant>
      <vt:variant>
        <vt:lpwstr>http://www.mfe.govt.nz/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Jenny</dc:creator>
  <cp:keywords/>
  <cp:lastModifiedBy>Daisy Smith</cp:lastModifiedBy>
  <cp:revision>2</cp:revision>
  <dcterms:created xsi:type="dcterms:W3CDTF">2021-12-13T23:01:00Z</dcterms:created>
  <dcterms:modified xsi:type="dcterms:W3CDTF">2021-12-13T23:01:00Z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2dda6cc-d61d-4fd2-bf18-9b3017d931cc_Enabled">
    <vt:lpwstr>true</vt:lpwstr>
  </property>
  <property fmtid="{D5CDD505-2E9C-101B-9397-08002B2CF9AE}" pid="3" name="MSIP_Label_52dda6cc-d61d-4fd2-bf18-9b3017d931cc_SetDate">
    <vt:lpwstr>2021-11-22T03:23:15Z</vt:lpwstr>
  </property>
  <property fmtid="{D5CDD505-2E9C-101B-9397-08002B2CF9AE}" pid="4" name="MSIP_Label_52dda6cc-d61d-4fd2-bf18-9b3017d931cc_Method">
    <vt:lpwstr>Privileged</vt:lpwstr>
  </property>
  <property fmtid="{D5CDD505-2E9C-101B-9397-08002B2CF9AE}" pid="5" name="MSIP_Label_52dda6cc-d61d-4fd2-bf18-9b3017d931cc_Name">
    <vt:lpwstr>[UNCLASSIFIED]</vt:lpwstr>
  </property>
  <property fmtid="{D5CDD505-2E9C-101B-9397-08002B2CF9AE}" pid="6" name="MSIP_Label_52dda6cc-d61d-4fd2-bf18-9b3017d931cc_SiteId">
    <vt:lpwstr>761dd003-d4ff-4049-8a72-8549b20fcbb1</vt:lpwstr>
  </property>
  <property fmtid="{D5CDD505-2E9C-101B-9397-08002B2CF9AE}" pid="7" name="MSIP_Label_52dda6cc-d61d-4fd2-bf18-9b3017d931cc_ActionId">
    <vt:lpwstr>0bab816a-ee1e-408c-806f-cf156ae49095</vt:lpwstr>
  </property>
  <property fmtid="{D5CDD505-2E9C-101B-9397-08002B2CF9AE}" pid="8" name="MSIP_Label_52dda6cc-d61d-4fd2-bf18-9b3017d931cc_ContentBits">
    <vt:lpwstr>0</vt:lpwstr>
  </property>
  <property fmtid="{D5CDD505-2E9C-101B-9397-08002B2CF9AE}" pid="9" name="ContentTypeId">
    <vt:lpwstr>0x010100EA5FB0BEBF7DE54D9F252D8A06C053F7</vt:lpwstr>
  </property>
  <property fmtid="{D5CDD505-2E9C-101B-9397-08002B2CF9AE}" pid="10" name="_dlc_DocIdItemGuid">
    <vt:lpwstr>7dd06600-0ad4-44ab-a041-3caedf9acdcd</vt:lpwstr>
  </property>
</Properties>
</file>