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4481" w14:textId="0A828DEE" w:rsidR="008C6F95" w:rsidRPr="006528B0" w:rsidRDefault="00EF68A7" w:rsidP="005D70A8">
      <w:pPr>
        <w:pStyle w:val="BodyText"/>
        <w:spacing w:before="0" w:after="0" w:line="20" w:lineRule="atLeast"/>
        <w:rPr>
          <w:sz w:val="2"/>
          <w:szCs w:val="2"/>
        </w:rPr>
      </w:pPr>
      <w:r w:rsidRPr="005D70A8">
        <w:rPr>
          <w:noProof/>
          <w:sz w:val="2"/>
          <w:szCs w:val="2"/>
        </w:rPr>
        <mc:AlternateContent>
          <mc:Choice Requires="wps">
            <w:drawing>
              <wp:anchor distT="0" distB="0" distL="114300" distR="114300" simplePos="0" relativeHeight="251658242" behindDoc="0" locked="0" layoutInCell="1" allowOverlap="0" wp14:anchorId="6B2FFCAF" wp14:editId="09E27149">
                <wp:simplePos x="0" y="0"/>
                <wp:positionH relativeFrom="margin">
                  <wp:posOffset>-252730</wp:posOffset>
                </wp:positionH>
                <wp:positionV relativeFrom="page">
                  <wp:posOffset>1247140</wp:posOffset>
                </wp:positionV>
                <wp:extent cx="6430010" cy="2790825"/>
                <wp:effectExtent l="0" t="0" r="0" b="0"/>
                <wp:wrapTopAndBottom/>
                <wp:docPr id="969042202" name="Text Box 969042202"/>
                <wp:cNvGraphicFramePr/>
                <a:graphic xmlns:a="http://schemas.openxmlformats.org/drawingml/2006/main">
                  <a:graphicData uri="http://schemas.microsoft.com/office/word/2010/wordprocessingShape">
                    <wps:wsp>
                      <wps:cNvSpPr/>
                      <wps:spPr>
                        <a:xfrm>
                          <a:off x="0" y="0"/>
                          <a:ext cx="6430010" cy="2790825"/>
                        </a:xfrm>
                        <a:prstGeom prst="rect">
                          <a:avLst/>
                        </a:prstGeom>
                        <a:noFill/>
                        <a:ln w="6350">
                          <a:noFill/>
                        </a:ln>
                      </wps:spPr>
                      <wps:txbx>
                        <w:txbxContent>
                          <w:p w14:paraId="0CE0317B" w14:textId="032A079B" w:rsidR="00EF68A7" w:rsidRDefault="00EF68A7" w:rsidP="00EF68A7">
                            <w:pPr>
                              <w:pStyle w:val="Title-Mori"/>
                            </w:pPr>
                            <w:r>
                              <w:t xml:space="preserve">Waste data </w:t>
                            </w:r>
                            <w:r w:rsidR="009E72EF" w:rsidRPr="009E72EF">
                              <w:t>–</w:t>
                            </w:r>
                            <w:r>
                              <w:t xml:space="preserve"> Overview of activity category reporting</w:t>
                            </w:r>
                          </w:p>
                          <w:p w14:paraId="0FD6E0B4" w14:textId="77777777" w:rsidR="00EF68A7" w:rsidRDefault="00EF68A7" w:rsidP="00EF68A7">
                            <w:pPr>
                              <w:pStyle w:val="Subtitle"/>
                            </w:pPr>
                            <w:r>
                              <w:t xml:space="preserve">Fact sheet for disposal facility operators and transfer station operators </w:t>
                            </w:r>
                          </w:p>
                        </w:txbxContent>
                      </wps:txbx>
                      <wps:bodyPr spcFirstLastPara="0"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6B2FFCAF" id="Text Box 969042202" o:spid="_x0000_s1026" style="position:absolute;margin-left:-19.9pt;margin-top:98.2pt;width:506.3pt;height:219.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" o:allowoverlap="f" filled="f" stroked="f" strokeweight=".5pt">
                <v:textbox>
                  <w:txbxContent>
                    <w:p w14:paraId="0CE0317B" w14:textId="032A079B" w:rsidR="00EF68A7" w:rsidRDefault="00EF68A7" w:rsidP="00EF68A7">
                      <w:pPr>
                        <w:pStyle w:val="Title-Mori"/>
                      </w:pPr>
                      <w:r>
                        <w:t xml:space="preserve">Waste data </w:t>
                      </w:r>
                      <w:r w:rsidR="009E72EF" w:rsidRPr="009E72EF">
                        <w:t>–</w:t>
                      </w:r>
                      <w:r>
                        <w:t xml:space="preserve"> Overview of activity category reporting</w:t>
                      </w:r>
                    </w:p>
                    <w:p w14:paraId="0FD6E0B4" w14:textId="77777777" w:rsidR="00EF68A7" w:rsidRDefault="00EF68A7" w:rsidP="00EF68A7">
                      <w:pPr>
                        <w:pStyle w:val="Subtitle"/>
                      </w:pPr>
                      <w:r>
                        <w:t xml:space="preserve">Fact sheet for disposal facility operators and transfer station operators </w:t>
                      </w:r>
                    </w:p>
                  </w:txbxContent>
                </v:textbox>
                <w10:wrap type="topAndBottom" anchorx="margin" anchory="page"/>
              </v:rect>
            </w:pict>
          </mc:Fallback>
        </mc:AlternateContent>
      </w:r>
      <w:r w:rsidRPr="005D70A8">
        <w:rPr>
          <w:noProof/>
          <w:sz w:val="2"/>
          <w:szCs w:val="2"/>
        </w:rPr>
        <w:drawing>
          <wp:anchor distT="0" distB="0" distL="114300" distR="114300" simplePos="0" relativeHeight="251658240" behindDoc="1" locked="0" layoutInCell="1" allowOverlap="1" wp14:anchorId="48EBE166" wp14:editId="00F922BB">
            <wp:simplePos x="0" y="0"/>
            <wp:positionH relativeFrom="page">
              <wp:posOffset>9525</wp:posOffset>
            </wp:positionH>
            <wp:positionV relativeFrom="page">
              <wp:posOffset>-266700</wp:posOffset>
            </wp:positionV>
            <wp:extent cx="7545070" cy="3800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144" t="-4566" r="-144" b="37376"/>
                    <a:stretch/>
                  </pic:blipFill>
                  <pic:spPr bwMode="auto">
                    <a:xfrm>
                      <a:off x="0" y="0"/>
                      <a:ext cx="7545070" cy="3800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149135238"/>
    </w:p>
    <w:p w14:paraId="18A9971C" w14:textId="481AA4B4" w:rsidR="00C942E5" w:rsidRDefault="00E52CD4" w:rsidP="00BA3CA6">
      <w:pPr>
        <w:pStyle w:val="Intro"/>
      </w:pPr>
      <w:r w:rsidRPr="00E52CD4">
        <w:t xml:space="preserve">From 1 July 2024 disposal facility operators will need to report additional information. This factsheet shows </w:t>
      </w:r>
      <w:r w:rsidR="002A4CCB">
        <w:t xml:space="preserve">operators </w:t>
      </w:r>
      <w:r w:rsidRPr="00E52CD4">
        <w:t xml:space="preserve">how to report on the </w:t>
      </w:r>
      <w:r w:rsidR="002A4CCB">
        <w:t xml:space="preserve">activity category </w:t>
      </w:r>
      <w:r w:rsidRPr="00E52CD4">
        <w:t xml:space="preserve">of the materials </w:t>
      </w:r>
      <w:r w:rsidR="002A4CCB">
        <w:t>their</w:t>
      </w:r>
      <w:r w:rsidR="00D4213F" w:rsidRPr="00E52CD4">
        <w:t xml:space="preserve"> </w:t>
      </w:r>
      <w:r w:rsidRPr="00E52CD4">
        <w:t xml:space="preserve">facility receives. </w:t>
      </w:r>
    </w:p>
    <w:p w14:paraId="504E2EE9" w14:textId="5B676531" w:rsidR="001A4BA4" w:rsidRPr="00225830" w:rsidRDefault="001A4BA4" w:rsidP="001A4BA4">
      <w:pPr>
        <w:pStyle w:val="Heading2"/>
        <w:rPr>
          <w:rFonts w:eastAsia="Georgia" w:cs="Georgia"/>
          <w:color w:val="1B546A"/>
          <w:sz w:val="32"/>
          <w:szCs w:val="32"/>
        </w:rPr>
      </w:pPr>
      <w:r w:rsidRPr="2A8F37B2">
        <w:rPr>
          <w:rFonts w:eastAsia="Georgia" w:cs="Georgia"/>
          <w:color w:val="1B546A"/>
          <w:sz w:val="32"/>
          <w:szCs w:val="32"/>
        </w:rPr>
        <w:t xml:space="preserve">What records to </w:t>
      </w:r>
      <w:r w:rsidRPr="2880EEC8">
        <w:rPr>
          <w:rFonts w:eastAsia="Georgia" w:cs="Georgia"/>
          <w:color w:val="1B546A"/>
          <w:sz w:val="32"/>
          <w:szCs w:val="32"/>
        </w:rPr>
        <w:t>ke</w:t>
      </w:r>
      <w:r w:rsidR="00527403" w:rsidRPr="2880EEC8">
        <w:rPr>
          <w:rFonts w:eastAsia="Georgia" w:cs="Georgia"/>
          <w:color w:val="1B546A"/>
          <w:sz w:val="32"/>
          <w:szCs w:val="32"/>
        </w:rPr>
        <w:t>ep</w:t>
      </w:r>
    </w:p>
    <w:p w14:paraId="626A845F" w14:textId="5A00C137" w:rsidR="001A4BA4" w:rsidRDefault="001A4BA4" w:rsidP="001A4BA4">
      <w:pPr>
        <w:pStyle w:val="BodyText"/>
      </w:pPr>
      <w:r>
        <w:t xml:space="preserve">There are seven activity categories (see </w:t>
      </w:r>
      <w:hyperlink w:anchor="Table1" w:history="1">
        <w:r w:rsidRPr="004B3EE4">
          <w:rPr>
            <w:rStyle w:val="Hyperlink"/>
          </w:rPr>
          <w:t>table 1</w:t>
        </w:r>
      </w:hyperlink>
      <w:r>
        <w:t xml:space="preserve"> below) which cover the main activities that generate waste in Aotearoa New Zealand. The categories are broad so that it’s as easy as possible for facility operators to group incoming gross waste materials. </w:t>
      </w:r>
    </w:p>
    <w:p w14:paraId="2B6527A6" w14:textId="518B9D78" w:rsidR="001A4BA4" w:rsidRDefault="001A4BA4" w:rsidP="001A4BA4">
      <w:pPr>
        <w:pStyle w:val="BodyText"/>
      </w:pPr>
      <w:r>
        <w:t>Disposal facility operators must record the activity category of all the materials their facility receives at the weighbridge or other point of measurement (eg</w:t>
      </w:r>
      <w:r w:rsidR="00F5179E">
        <w:t>,</w:t>
      </w:r>
      <w:r>
        <w:t xml:space="preserve"> kiosk,</w:t>
      </w:r>
      <w:r w:rsidDel="00F55DAA">
        <w:t xml:space="preserve"> </w:t>
      </w:r>
      <w:r>
        <w:t>record book). For waste</w:t>
      </w:r>
      <w:r w:rsidDel="00B6651B">
        <w:t xml:space="preserve"> </w:t>
      </w:r>
      <w:r>
        <w:t>from multiple activities, the disposal facility should record the main activity category for that load.</w:t>
      </w:r>
    </w:p>
    <w:p w14:paraId="62AEDDCD" w14:textId="77777777" w:rsidR="001A4BA4" w:rsidRDefault="001A4BA4" w:rsidP="001A4BA4">
      <w:pPr>
        <w:pStyle w:val="Heading2"/>
        <w:rPr>
          <w:rFonts w:eastAsia="Georgia" w:cs="Georgia"/>
          <w:color w:val="1B546A"/>
          <w:sz w:val="32"/>
          <w:szCs w:val="32"/>
        </w:rPr>
      </w:pPr>
      <w:r w:rsidRPr="30203652">
        <w:rPr>
          <w:rFonts w:eastAsia="Georgia" w:cs="Georgia"/>
          <w:color w:val="1B546A"/>
          <w:sz w:val="32"/>
          <w:szCs w:val="32"/>
        </w:rPr>
        <w:t xml:space="preserve">How to report activity category tonnages </w:t>
      </w:r>
    </w:p>
    <w:p w14:paraId="697FDAC9" w14:textId="04DFAF7C" w:rsidR="001A4BA4" w:rsidRDefault="001A4BA4" w:rsidP="001A4BA4">
      <w:pPr>
        <w:pStyle w:val="BodyText"/>
      </w:pPr>
      <w:r>
        <w:t xml:space="preserve">All disposal facility operators should </w:t>
      </w:r>
      <w:r w:rsidDel="00EB0ED4">
        <w:t xml:space="preserve">be registered with </w:t>
      </w:r>
      <w:r>
        <w:t xml:space="preserve">the Online Waste Levy System (OWLS) </w:t>
      </w:r>
      <w:r w:rsidDel="00EB0ED4">
        <w:t xml:space="preserve">and use it </w:t>
      </w:r>
      <w:r>
        <w:t xml:space="preserve">to submit their waste returns. </w:t>
      </w:r>
    </w:p>
    <w:p w14:paraId="68F93EA3" w14:textId="31891650" w:rsidR="001A4BA4" w:rsidRDefault="001A4BA4" w:rsidP="001A4BA4">
      <w:pPr>
        <w:pStyle w:val="BodyText"/>
      </w:pPr>
      <w:r>
        <w:t xml:space="preserve">From 1 July 2024, when </w:t>
      </w:r>
      <w:r w:rsidR="004B342B">
        <w:t>an o</w:t>
      </w:r>
      <w:r w:rsidR="00F12004">
        <w:t xml:space="preserve">perator submits a </w:t>
      </w:r>
      <w:r>
        <w:t>waste return</w:t>
      </w:r>
      <w:r w:rsidDel="00F12004">
        <w:t xml:space="preserve"> </w:t>
      </w:r>
      <w:r>
        <w:t xml:space="preserve">in OWLS, </w:t>
      </w:r>
      <w:r w:rsidR="00F12004">
        <w:t xml:space="preserve">they </w:t>
      </w:r>
      <w:r>
        <w:t xml:space="preserve">will </w:t>
      </w:r>
      <w:r w:rsidDel="00EB0ED4">
        <w:t xml:space="preserve">also </w:t>
      </w:r>
      <w:r w:rsidR="00EB0ED4">
        <w:t xml:space="preserve">need </w:t>
      </w:r>
      <w:r>
        <w:t>to report on the activity category of all waste tonnages received at their facility via a new activity category report.</w:t>
      </w:r>
    </w:p>
    <w:p w14:paraId="3CE4E974" w14:textId="77777777" w:rsidR="001A4BA4" w:rsidRDefault="001A4BA4" w:rsidP="001A4BA4">
      <w:pPr>
        <w:pStyle w:val="BodyText"/>
      </w:pPr>
      <w:r>
        <w:t xml:space="preserve">The gross tonnage of the waste return should match the total tonnage of the relevant activity categories. </w:t>
      </w:r>
    </w:p>
    <w:p w14:paraId="34DCD2BF" w14:textId="77777777" w:rsidR="001A4BA4" w:rsidRDefault="001A4BA4" w:rsidP="001A4BA4">
      <w:pPr>
        <w:pStyle w:val="BodyText"/>
      </w:pPr>
      <w:r>
        <w:t>An operator only needs to record the activity for waste tonnage coming into the disposal facility. Diverted tonnage reporting remains the same.</w:t>
      </w:r>
    </w:p>
    <w:p w14:paraId="79E917F7" w14:textId="77777777" w:rsidR="00506557" w:rsidRDefault="00506557" w:rsidP="00506557">
      <w:pPr>
        <w:pStyle w:val="Heading2"/>
        <w:rPr>
          <w:rFonts w:eastAsia="Georgia" w:cs="Georgia"/>
          <w:color w:val="1B546A"/>
          <w:sz w:val="32"/>
          <w:szCs w:val="32"/>
        </w:rPr>
      </w:pPr>
      <w:r w:rsidRPr="2A8F37B2">
        <w:rPr>
          <w:rFonts w:eastAsia="Georgia" w:cs="Georgia"/>
          <w:color w:val="1B546A"/>
          <w:sz w:val="32"/>
          <w:szCs w:val="32"/>
        </w:rPr>
        <w:lastRenderedPageBreak/>
        <w:t xml:space="preserve">Activity categories </w:t>
      </w:r>
    </w:p>
    <w:p w14:paraId="7E495D22" w14:textId="77777777" w:rsidR="00506557" w:rsidRPr="006B77BB" w:rsidRDefault="00506557" w:rsidP="00506557">
      <w:pPr>
        <w:pStyle w:val="Tableheading"/>
        <w:ind w:left="0" w:firstLine="0"/>
      </w:pPr>
      <w:r>
        <w:t>Table 1:</w:t>
      </w:r>
      <w:r>
        <w:tab/>
      </w:r>
      <w:bookmarkStart w:id="2" w:name="Table1"/>
      <w:bookmarkEnd w:id="2"/>
      <w:r>
        <w:t>Activity categories for waste disposal facility operators</w:t>
      </w:r>
    </w:p>
    <w:tbl>
      <w:tblPr>
        <w:tblStyle w:val="LightGrid-Accent11"/>
        <w:tblW w:w="5000" w:type="pct"/>
        <w:tblLook w:val="04A0" w:firstRow="1" w:lastRow="0" w:firstColumn="1" w:lastColumn="0" w:noHBand="0" w:noVBand="1"/>
      </w:tblPr>
      <w:tblGrid>
        <w:gridCol w:w="1561"/>
        <w:gridCol w:w="4252"/>
        <w:gridCol w:w="3258"/>
      </w:tblGrid>
      <w:tr w:rsidR="00506557" w:rsidRPr="00A2703A" w14:paraId="4F4B820E" w14:textId="77777777" w:rsidTr="00524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tcPr>
          <w:p w14:paraId="5F86CBAC" w14:textId="77777777" w:rsidR="00506557" w:rsidRPr="00A2703A" w:rsidRDefault="00506557">
            <w:pPr>
              <w:pStyle w:val="TableTextbold"/>
              <w:rPr>
                <w:b w:val="0"/>
                <w:bCs/>
              </w:rPr>
            </w:pPr>
            <w:r>
              <w:t>Activity category</w:t>
            </w:r>
            <w:r w:rsidRPr="00A2703A">
              <w:t xml:space="preserve"> </w:t>
            </w:r>
          </w:p>
        </w:tc>
        <w:tc>
          <w:tcPr>
            <w:tcW w:w="2344" w:type="pct"/>
          </w:tcPr>
          <w:p w14:paraId="51407C18" w14:textId="77777777" w:rsidR="00506557" w:rsidRPr="00A2703A" w:rsidRDefault="00506557">
            <w:pPr>
              <w:pStyle w:val="TableTextbold"/>
              <w:cnfStyle w:val="100000000000" w:firstRow="1" w:lastRow="0" w:firstColumn="0" w:lastColumn="0" w:oddVBand="0" w:evenVBand="0" w:oddHBand="0" w:evenHBand="0" w:firstRowFirstColumn="0" w:firstRowLastColumn="0" w:lastRowFirstColumn="0" w:lastRowLastColumn="0"/>
              <w:rPr>
                <w:b w:val="0"/>
                <w:bCs/>
              </w:rPr>
            </w:pPr>
            <w:r>
              <w:t>Description</w:t>
            </w:r>
          </w:p>
        </w:tc>
        <w:tc>
          <w:tcPr>
            <w:tcW w:w="1796" w:type="pct"/>
          </w:tcPr>
          <w:p w14:paraId="31E5932A" w14:textId="77777777" w:rsidR="00506557" w:rsidRDefault="00506557">
            <w:pPr>
              <w:pStyle w:val="TableTextbold"/>
              <w:cnfStyle w:val="100000000000" w:firstRow="1" w:lastRow="0" w:firstColumn="0" w:lastColumn="0" w:oddVBand="0" w:evenVBand="0" w:oddHBand="0" w:evenHBand="0" w:firstRowFirstColumn="0" w:firstRowLastColumn="0" w:lastRowFirstColumn="0" w:lastRowLastColumn="0"/>
            </w:pPr>
            <w:r w:rsidRPr="008029D7">
              <w:t>Examples</w:t>
            </w:r>
          </w:p>
        </w:tc>
      </w:tr>
      <w:tr w:rsidR="00506557" w:rsidRPr="006B77BB" w14:paraId="05D68F1D" w14:textId="77777777" w:rsidTr="00524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tcPr>
          <w:p w14:paraId="1EC93E16" w14:textId="77777777" w:rsidR="00506557" w:rsidRPr="006B77BB" w:rsidRDefault="00506557" w:rsidP="00CD7C21">
            <w:pPr>
              <w:pStyle w:val="TableText"/>
            </w:pPr>
            <w:r>
              <w:t>Construction and demolition</w:t>
            </w:r>
          </w:p>
        </w:tc>
        <w:tc>
          <w:tcPr>
            <w:tcW w:w="2344" w:type="pct"/>
          </w:tcPr>
          <w:p w14:paraId="295F9428" w14:textId="77777777" w:rsidR="00506557" w:rsidRPr="006B77BB" w:rsidRDefault="00506557" w:rsidP="00CD7C21">
            <w:pPr>
              <w:pStyle w:val="TableText"/>
              <w:cnfStyle w:val="000000100000" w:firstRow="0" w:lastRow="0" w:firstColumn="0" w:lastColumn="0" w:oddVBand="0" w:evenVBand="0" w:oddHBand="1" w:evenHBand="0" w:firstRowFirstColumn="0" w:firstRowLastColumn="0" w:lastRowFirstColumn="0" w:lastRowLastColumn="0"/>
            </w:pPr>
            <w:r>
              <w:t xml:space="preserve">Waste </w:t>
            </w:r>
            <w:r w:rsidDel="004317E0">
              <w:t xml:space="preserve">derived </w:t>
            </w:r>
            <w:r>
              <w:t>from the construction or demolition of buildings, structures</w:t>
            </w:r>
            <w:r w:rsidDel="00DF4E83">
              <w:t>,</w:t>
            </w:r>
            <w:r>
              <w:t xml:space="preserve"> and infrastructure. This includes residential, industrial</w:t>
            </w:r>
            <w:r w:rsidDel="008875DB">
              <w:t>,</w:t>
            </w:r>
            <w:r>
              <w:t xml:space="preserve"> and commercial structures, pipelines</w:t>
            </w:r>
            <w:r w:rsidDel="004317E0">
              <w:t xml:space="preserve"> (</w:t>
            </w:r>
            <w:proofErr w:type="gramStart"/>
            <w:r w:rsidDel="004317E0">
              <w:t>above-ground</w:t>
            </w:r>
            <w:proofErr w:type="gramEnd"/>
            <w:r w:rsidDel="004317E0">
              <w:t xml:space="preserve"> and underground assets)</w:t>
            </w:r>
            <w:r>
              <w:t>, roading, land development</w:t>
            </w:r>
            <w:r w:rsidDel="004317E0">
              <w:t xml:space="preserve"> (including site clearance for building or subdivision construction)</w:t>
            </w:r>
            <w:r w:rsidDel="008875DB">
              <w:t>,</w:t>
            </w:r>
            <w:r>
              <w:t xml:space="preserve"> and </w:t>
            </w:r>
            <w:r w:rsidDel="004317E0">
              <w:t xml:space="preserve">regular </w:t>
            </w:r>
            <w:r>
              <w:t>slips or other debris not associated with a major natural hazard.</w:t>
            </w:r>
          </w:p>
        </w:tc>
        <w:tc>
          <w:tcPr>
            <w:tcW w:w="1796" w:type="pct"/>
          </w:tcPr>
          <w:p w14:paraId="52C384EB"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Waste from individual or multiple building construction sites.</w:t>
            </w:r>
          </w:p>
          <w:p w14:paraId="31CF02AA"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Waste from infrastructure projects.</w:t>
            </w:r>
          </w:p>
          <w:p w14:paraId="6DA5FEAF"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Waste from the demolition of buildings.</w:t>
            </w:r>
          </w:p>
          <w:p w14:paraId="142871FE"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Soil or fill material from construction or demolition of services or foundations for buildings.</w:t>
            </w:r>
          </w:p>
          <w:p w14:paraId="6EA9DED5"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Soil from ‘greenfield’ developments.</w:t>
            </w:r>
          </w:p>
        </w:tc>
      </w:tr>
      <w:tr w:rsidR="00506557" w:rsidRPr="006B77BB" w14:paraId="25991084" w14:textId="77777777" w:rsidTr="00524FE4">
        <w:tc>
          <w:tcPr>
            <w:cnfStyle w:val="001000000000" w:firstRow="0" w:lastRow="0" w:firstColumn="1" w:lastColumn="0" w:oddVBand="0" w:evenVBand="0" w:oddHBand="0" w:evenHBand="0" w:firstRowFirstColumn="0" w:firstRowLastColumn="0" w:lastRowFirstColumn="0" w:lastRowLastColumn="0"/>
            <w:tcW w:w="860" w:type="pct"/>
          </w:tcPr>
          <w:p w14:paraId="133CF739" w14:textId="77777777" w:rsidR="00506557" w:rsidRPr="006B77BB" w:rsidRDefault="00506557" w:rsidP="00CD7C21">
            <w:pPr>
              <w:pStyle w:val="TableText"/>
            </w:pPr>
            <w:r>
              <w:t>Mixed industrial, commercial</w:t>
            </w:r>
            <w:r w:rsidDel="008875DB">
              <w:t>,</w:t>
            </w:r>
            <w:r>
              <w:t xml:space="preserve"> and institutional </w:t>
            </w:r>
          </w:p>
        </w:tc>
        <w:tc>
          <w:tcPr>
            <w:tcW w:w="2344" w:type="pct"/>
          </w:tcPr>
          <w:p w14:paraId="24E4F537" w14:textId="77777777" w:rsidR="00506557" w:rsidDel="00053418" w:rsidRDefault="00506557" w:rsidP="00CD7C21">
            <w:pPr>
              <w:pStyle w:val="TableText"/>
              <w:cnfStyle w:val="000000000000" w:firstRow="0" w:lastRow="0" w:firstColumn="0" w:lastColumn="0" w:oddVBand="0" w:evenVBand="0" w:oddHBand="0" w:evenHBand="0" w:firstRowFirstColumn="0" w:firstRowLastColumn="0" w:lastRowFirstColumn="0" w:lastRowLastColumn="0"/>
            </w:pPr>
            <w:r w:rsidDel="001C3415">
              <w:t xml:space="preserve">General </w:t>
            </w:r>
            <w:r>
              <w:t>waste from</w:t>
            </w:r>
            <w:r w:rsidDel="001C3415">
              <w:t xml:space="preserve"> activities </w:t>
            </w:r>
            <w:r w:rsidDel="00053418">
              <w:t xml:space="preserve">wholly or mainly </w:t>
            </w:r>
            <w:r w:rsidDel="001C3415">
              <w:t>for the purposes of a trade, business or industry</w:t>
            </w:r>
            <w:r>
              <w:t xml:space="preserve">, </w:t>
            </w:r>
            <w:r w:rsidDel="0092498E">
              <w:t xml:space="preserve">or for the purposes of </w:t>
            </w:r>
            <w:r>
              <w:t>sport, recreation, education, healthcare</w:t>
            </w:r>
            <w:r w:rsidDel="00BC283B">
              <w:t>,</w:t>
            </w:r>
            <w:r>
              <w:t xml:space="preserve"> or agriculture</w:t>
            </w:r>
            <w:r w:rsidDel="00053418">
              <w:t xml:space="preserve">, and not including residential premises. </w:t>
            </w:r>
          </w:p>
          <w:p w14:paraId="7E9FF899" w14:textId="77777777" w:rsidR="00506557" w:rsidRPr="006B77BB" w:rsidRDefault="00506557" w:rsidP="00CD7C21">
            <w:pPr>
              <w:pStyle w:val="TableText"/>
              <w:cnfStyle w:val="000000000000" w:firstRow="0" w:lastRow="0" w:firstColumn="0" w:lastColumn="0" w:oddVBand="0" w:evenVBand="0" w:oddHBand="0" w:evenHBand="0" w:firstRowFirstColumn="0" w:firstRowLastColumn="0" w:lastRowFirstColumn="0" w:lastRowLastColumn="0"/>
            </w:pPr>
            <w:r>
              <w:t>This includes retail and light manufacturing or industrial activities.</w:t>
            </w:r>
          </w:p>
        </w:tc>
        <w:tc>
          <w:tcPr>
            <w:tcW w:w="1796" w:type="pct"/>
          </w:tcPr>
          <w:p w14:paraId="5A10F992" w14:textId="77777777" w:rsidR="00506557" w:rsidRDefault="00506557">
            <w:pPr>
              <w:pStyle w:val="TableBullet"/>
              <w:cnfStyle w:val="000000000000" w:firstRow="0" w:lastRow="0" w:firstColumn="0" w:lastColumn="0" w:oddVBand="0" w:evenVBand="0" w:oddHBand="0" w:evenHBand="0" w:firstRowFirstColumn="0" w:firstRowLastColumn="0" w:lastRowFirstColumn="0" w:lastRowLastColumn="0"/>
            </w:pPr>
            <w:r>
              <w:t>Waste from mixed commercial sources.</w:t>
            </w:r>
          </w:p>
          <w:p w14:paraId="584336C5" w14:textId="77777777" w:rsidR="00506557" w:rsidRDefault="00506557">
            <w:pPr>
              <w:pStyle w:val="TableBullet"/>
              <w:cnfStyle w:val="000000000000" w:firstRow="0" w:lastRow="0" w:firstColumn="0" w:lastColumn="0" w:oddVBand="0" w:evenVBand="0" w:oddHBand="0" w:evenHBand="0" w:firstRowFirstColumn="0" w:firstRowLastColumn="0" w:lastRowFirstColumn="0" w:lastRowLastColumn="0"/>
            </w:pPr>
            <w:r>
              <w:t>Waste from council operations such as street sweeping and litter collection.</w:t>
            </w:r>
          </w:p>
        </w:tc>
      </w:tr>
      <w:tr w:rsidR="00506557" w:rsidRPr="006B77BB" w14:paraId="465BAECA" w14:textId="77777777" w:rsidTr="00524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tcPr>
          <w:p w14:paraId="7C1B4F79" w14:textId="77777777" w:rsidR="00506557" w:rsidRPr="006B77BB" w:rsidRDefault="00506557" w:rsidP="00CD7C21">
            <w:pPr>
              <w:pStyle w:val="TableText"/>
            </w:pPr>
            <w:r>
              <w:t>Heavy industrial</w:t>
            </w:r>
          </w:p>
        </w:tc>
        <w:tc>
          <w:tcPr>
            <w:tcW w:w="2344" w:type="pct"/>
          </w:tcPr>
          <w:p w14:paraId="3EC4C5A6" w14:textId="77777777" w:rsidR="00506557" w:rsidRPr="006B77BB" w:rsidRDefault="00506557" w:rsidP="00CD7C21">
            <w:pPr>
              <w:pStyle w:val="TableText"/>
              <w:cnfStyle w:val="000000100000" w:firstRow="0" w:lastRow="0" w:firstColumn="0" w:lastColumn="0" w:oddVBand="0" w:evenVBand="0" w:oddHBand="1" w:evenHBand="0" w:firstRowFirstColumn="0" w:firstRowLastColumn="0" w:lastRowFirstColumn="0" w:lastRowLastColumn="0"/>
            </w:pPr>
            <w:r w:rsidDel="001C3415">
              <w:t xml:space="preserve">General </w:t>
            </w:r>
            <w:r>
              <w:t xml:space="preserve">waste </w:t>
            </w:r>
            <w:r w:rsidDel="0082043C">
              <w:t xml:space="preserve">primarily derived </w:t>
            </w:r>
            <w:r>
              <w:t>from heavy industrial or manufacturing activities</w:t>
            </w:r>
            <w:r w:rsidDel="0082043C">
              <w:t>, in dedicated loads generated by the primary activity of an industry</w:t>
            </w:r>
            <w:r>
              <w:t>. This includes</w:t>
            </w:r>
            <w:r w:rsidDel="0082043C">
              <w:t>, but is not limited to,</w:t>
            </w:r>
            <w:r>
              <w:t xml:space="preserve"> tanneries, canning factories, dairy factories, timber or pulp mills, incineration activities, fisheries</w:t>
            </w:r>
            <w:r w:rsidDel="00F9555C">
              <w:t>,</w:t>
            </w:r>
            <w:r>
              <w:t xml:space="preserve"> and horticulture processing.</w:t>
            </w:r>
          </w:p>
        </w:tc>
        <w:tc>
          <w:tcPr>
            <w:tcW w:w="1796" w:type="pct"/>
          </w:tcPr>
          <w:p w14:paraId="1DDF5257"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Waste from individual large factories or large industrial businesses.</w:t>
            </w:r>
          </w:p>
          <w:p w14:paraId="1B668FB3"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Waste from food-production facilities.</w:t>
            </w:r>
          </w:p>
          <w:p w14:paraId="48A3936E"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Waste from timber-processing plants.</w:t>
            </w:r>
          </w:p>
        </w:tc>
      </w:tr>
      <w:tr w:rsidR="00506557" w:rsidRPr="006B77BB" w14:paraId="1E87AB62" w14:textId="77777777" w:rsidTr="00524FE4">
        <w:tc>
          <w:tcPr>
            <w:cnfStyle w:val="001000000000" w:firstRow="0" w:lastRow="0" w:firstColumn="1" w:lastColumn="0" w:oddVBand="0" w:evenVBand="0" w:oddHBand="0" w:evenHBand="0" w:firstRowFirstColumn="0" w:firstRowLastColumn="0" w:lastRowFirstColumn="0" w:lastRowLastColumn="0"/>
            <w:tcW w:w="860" w:type="pct"/>
          </w:tcPr>
          <w:p w14:paraId="464D4E54" w14:textId="77777777" w:rsidR="00506557" w:rsidRDefault="00506557" w:rsidP="00CD7C21">
            <w:pPr>
              <w:pStyle w:val="TableText"/>
            </w:pPr>
            <w:r>
              <w:t>Residential drop-off</w:t>
            </w:r>
          </w:p>
        </w:tc>
        <w:tc>
          <w:tcPr>
            <w:tcW w:w="2344" w:type="pct"/>
          </w:tcPr>
          <w:p w14:paraId="1EC2C947" w14:textId="77777777" w:rsidR="00506557" w:rsidRDefault="00506557" w:rsidP="00CD7C21">
            <w:pPr>
              <w:pStyle w:val="TableText"/>
              <w:cnfStyle w:val="000000000000" w:firstRow="0" w:lastRow="0" w:firstColumn="0" w:lastColumn="0" w:oddVBand="0" w:evenVBand="0" w:oddHBand="0" w:evenHBand="0" w:firstRowFirstColumn="0" w:firstRowLastColumn="0" w:lastRowFirstColumn="0" w:lastRowLastColumn="0"/>
            </w:pPr>
            <w:r>
              <w:t xml:space="preserve">Waste generated by </w:t>
            </w:r>
            <w:r w:rsidDel="001506B0">
              <w:t>residential premises</w:t>
            </w:r>
            <w:r w:rsidDel="007A6256">
              <w:t xml:space="preserve"> that is dropped off to a facility and that is not entirely from construction, renovation, or demolition of the premises</w:t>
            </w:r>
            <w:r w:rsidDel="001506B0">
              <w:t>. Residential waste is composed of waste</w:t>
            </w:r>
            <w:r w:rsidDel="0000163C">
              <w:t>s</w:t>
            </w:r>
            <w:r w:rsidDel="001506B0">
              <w:t xml:space="preserve"> from normal household activities </w:t>
            </w:r>
            <w:r w:rsidDel="0000163C">
              <w:t xml:space="preserve">and originating from residential premises </w:t>
            </w:r>
            <w:r>
              <w:t xml:space="preserve">or workplace activities </w:t>
            </w:r>
            <w:r w:rsidDel="0000163C">
              <w:t>that result in domestic-type waste (for example,</w:t>
            </w:r>
            <w:r>
              <w:t xml:space="preserve"> </w:t>
            </w:r>
            <w:proofErr w:type="gramStart"/>
            <w:r>
              <w:t>lunch</w:t>
            </w:r>
            <w:r w:rsidDel="0022144D">
              <w:t xml:space="preserve"> </w:t>
            </w:r>
            <w:r>
              <w:t>rooms</w:t>
            </w:r>
            <w:proofErr w:type="gramEnd"/>
            <w:r w:rsidDel="0000163C">
              <w:t xml:space="preserve">, </w:t>
            </w:r>
            <w:r>
              <w:t>cafeterias</w:t>
            </w:r>
            <w:r w:rsidDel="0000163C">
              <w:t>)</w:t>
            </w:r>
            <w:r>
              <w:t>.</w:t>
            </w:r>
          </w:p>
          <w:p w14:paraId="31B07DB0" w14:textId="77777777" w:rsidR="00506557" w:rsidRPr="006B77BB" w:rsidRDefault="00506557" w:rsidP="00CD7C21">
            <w:pPr>
              <w:pStyle w:val="TableText"/>
              <w:cnfStyle w:val="000000000000" w:firstRow="0" w:lastRow="0" w:firstColumn="0" w:lastColumn="0" w:oddVBand="0" w:evenVBand="0" w:oddHBand="0" w:evenHBand="0" w:firstRowFirstColumn="0" w:firstRowLastColumn="0" w:lastRowFirstColumn="0" w:lastRowLastColumn="0"/>
            </w:pPr>
            <w:r w:rsidDel="0000163C">
              <w:t xml:space="preserve">This does not include waste produced in the process of commercial or industrial undertakings. Loads of waste entirely from construction or demolition activities should be categorised as </w:t>
            </w:r>
            <w:r w:rsidDel="005E4618">
              <w:t>“</w:t>
            </w:r>
            <w:r w:rsidDel="0000163C">
              <w:t>Construction and demolition</w:t>
            </w:r>
            <w:r w:rsidDel="005E4618">
              <w:t>”</w:t>
            </w:r>
            <w:r w:rsidDel="0000163C">
              <w:t>.</w:t>
            </w:r>
          </w:p>
        </w:tc>
        <w:tc>
          <w:tcPr>
            <w:tcW w:w="1796" w:type="pct"/>
          </w:tcPr>
          <w:p w14:paraId="5AD29B0F" w14:textId="77777777" w:rsidR="00506557" w:rsidRDefault="00506557">
            <w:pPr>
              <w:pStyle w:val="TableBullet"/>
              <w:cnfStyle w:val="000000000000" w:firstRow="0" w:lastRow="0" w:firstColumn="0" w:lastColumn="0" w:oddVBand="0" w:evenVBand="0" w:oddHBand="0" w:evenHBand="0" w:firstRowFirstColumn="0" w:firstRowLastColumn="0" w:lastRowFirstColumn="0" w:lastRowLastColumn="0"/>
            </w:pPr>
            <w:r>
              <w:t>Waste from households delivered to a drop-off area.</w:t>
            </w:r>
          </w:p>
          <w:p w14:paraId="5C936B49" w14:textId="77777777" w:rsidR="00506557" w:rsidRDefault="00506557">
            <w:pPr>
              <w:pStyle w:val="TableBullet"/>
              <w:cnfStyle w:val="000000000000" w:firstRow="0" w:lastRow="0" w:firstColumn="0" w:lastColumn="0" w:oddVBand="0" w:evenVBand="0" w:oddHBand="0" w:evenHBand="0" w:firstRowFirstColumn="0" w:firstRowLastColumn="0" w:lastRowFirstColumn="0" w:lastRowLastColumn="0"/>
            </w:pPr>
            <w:r>
              <w:t>Waste from households received from gantry skip-bin collection.</w:t>
            </w:r>
          </w:p>
        </w:tc>
      </w:tr>
      <w:tr w:rsidR="00506557" w:rsidRPr="006B77BB" w14:paraId="28A99667" w14:textId="77777777" w:rsidTr="00524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tcPr>
          <w:p w14:paraId="55C69C9A" w14:textId="77777777" w:rsidR="00506557" w:rsidRDefault="00506557" w:rsidP="00CD7C21">
            <w:pPr>
              <w:pStyle w:val="TableText"/>
            </w:pPr>
            <w:r>
              <w:t>Residential kerbside collections</w:t>
            </w:r>
          </w:p>
        </w:tc>
        <w:tc>
          <w:tcPr>
            <w:tcW w:w="2344" w:type="pct"/>
          </w:tcPr>
          <w:p w14:paraId="3F729D28" w14:textId="2A92C802" w:rsidR="00506557" w:rsidDel="00F364E9" w:rsidRDefault="00506557" w:rsidP="00CD7C21">
            <w:pPr>
              <w:pStyle w:val="TableText"/>
              <w:cnfStyle w:val="000000100000" w:firstRow="0" w:lastRow="0" w:firstColumn="0" w:lastColumn="0" w:oddVBand="0" w:evenVBand="0" w:oddHBand="1" w:evenHBand="0" w:firstRowFirstColumn="0" w:firstRowLastColumn="0" w:lastRowFirstColumn="0" w:lastRowLastColumn="0"/>
            </w:pPr>
            <w:r>
              <w:t xml:space="preserve">Waste </w:t>
            </w:r>
            <w:r w:rsidDel="001506B0">
              <w:t xml:space="preserve">generated by residential activity that is </w:t>
            </w:r>
            <w:r>
              <w:t xml:space="preserve">collected at kerbside </w:t>
            </w:r>
            <w:r w:rsidDel="00F364E9">
              <w:t xml:space="preserve">and that is composed of wastes from normal household activities and originating from residential premises or workplace activities that result in domestic-type waste (for example, </w:t>
            </w:r>
            <w:proofErr w:type="gramStart"/>
            <w:r w:rsidDel="00F364E9">
              <w:t>lunch</w:t>
            </w:r>
            <w:r w:rsidDel="008768EC">
              <w:t xml:space="preserve"> </w:t>
            </w:r>
            <w:r w:rsidR="0D89C1A1">
              <w:t>room</w:t>
            </w:r>
            <w:r w:rsidR="0633A3FF">
              <w:t>s</w:t>
            </w:r>
            <w:proofErr w:type="gramEnd"/>
            <w:r w:rsidDel="00F364E9">
              <w:t>, cafeterias).</w:t>
            </w:r>
          </w:p>
          <w:p w14:paraId="2B03DFE0" w14:textId="77777777" w:rsidR="00506557" w:rsidRPr="006B77BB" w:rsidRDefault="00506557" w:rsidP="00CD7C21">
            <w:pPr>
              <w:pStyle w:val="TableText"/>
              <w:cnfStyle w:val="000000100000" w:firstRow="0" w:lastRow="0" w:firstColumn="0" w:lastColumn="0" w:oddVBand="0" w:evenVBand="0" w:oddHBand="1" w:evenHBand="0" w:firstRowFirstColumn="0" w:firstRowLastColumn="0" w:lastRowFirstColumn="0" w:lastRowLastColumn="0"/>
            </w:pPr>
            <w:r w:rsidDel="00F364E9">
              <w:t>This does not include waste produced in the process of commercial or industrial undertakings.</w:t>
            </w:r>
          </w:p>
        </w:tc>
        <w:tc>
          <w:tcPr>
            <w:tcW w:w="1796" w:type="pct"/>
          </w:tcPr>
          <w:p w14:paraId="4EB04DC5"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Residential waste received from kerbside collection.</w:t>
            </w:r>
          </w:p>
          <w:p w14:paraId="5CA45DA6" w14:textId="77777777" w:rsidR="00506557" w:rsidRDefault="00506557" w:rsidP="002B4CAE">
            <w:pPr>
              <w:pStyle w:val="TableText"/>
              <w:cnfStyle w:val="000000100000" w:firstRow="0" w:lastRow="0" w:firstColumn="0" w:lastColumn="0" w:oddVBand="0" w:evenVBand="0" w:oddHBand="1" w:evenHBand="0" w:firstRowFirstColumn="0" w:firstRowLastColumn="0" w:lastRowFirstColumn="0" w:lastRowLastColumn="0"/>
            </w:pPr>
          </w:p>
        </w:tc>
      </w:tr>
      <w:tr w:rsidR="00506557" w:rsidRPr="006B77BB" w14:paraId="1D1478BD" w14:textId="77777777" w:rsidTr="00524FE4">
        <w:tc>
          <w:tcPr>
            <w:cnfStyle w:val="001000000000" w:firstRow="0" w:lastRow="0" w:firstColumn="1" w:lastColumn="0" w:oddVBand="0" w:evenVBand="0" w:oddHBand="0" w:evenHBand="0" w:firstRowFirstColumn="0" w:firstRowLastColumn="0" w:lastRowFirstColumn="0" w:lastRowLastColumn="0"/>
            <w:tcW w:w="860" w:type="pct"/>
          </w:tcPr>
          <w:p w14:paraId="0CFBB2E1" w14:textId="77777777" w:rsidR="00506557" w:rsidRDefault="00506557" w:rsidP="00CD7C21">
            <w:pPr>
              <w:pStyle w:val="TableText"/>
            </w:pPr>
            <w:r>
              <w:t>Unusual activity</w:t>
            </w:r>
          </w:p>
        </w:tc>
        <w:tc>
          <w:tcPr>
            <w:tcW w:w="2344" w:type="pct"/>
          </w:tcPr>
          <w:p w14:paraId="2F0A23D4" w14:textId="77777777" w:rsidR="00506557" w:rsidRPr="006B77BB" w:rsidRDefault="00506557" w:rsidP="00CD7C21">
            <w:pPr>
              <w:pStyle w:val="TableText"/>
              <w:cnfStyle w:val="000000000000" w:firstRow="0" w:lastRow="0" w:firstColumn="0" w:lastColumn="0" w:oddVBand="0" w:evenVBand="0" w:oddHBand="0" w:evenHBand="0" w:firstRowFirstColumn="0" w:firstRowLastColumn="0" w:lastRowFirstColumn="0" w:lastRowLastColumn="0"/>
            </w:pPr>
            <w:r>
              <w:t>This category should be used only</w:t>
            </w:r>
            <w:r w:rsidDel="00BF5A46">
              <w:t xml:space="preserve"> as an exception,</w:t>
            </w:r>
            <w:r>
              <w:t xml:space="preserve"> to capture waste that does not fit into any of the other categories</w:t>
            </w:r>
            <w:r w:rsidDel="00BF5A46">
              <w:t xml:space="preserve"> and that is from a distinct activity that occurs irregularly and significantly affects the overall composition of the waste stream</w:t>
            </w:r>
            <w:r>
              <w:t>.</w:t>
            </w:r>
          </w:p>
        </w:tc>
        <w:tc>
          <w:tcPr>
            <w:tcW w:w="1796" w:type="pct"/>
          </w:tcPr>
          <w:p w14:paraId="330D376F" w14:textId="77777777" w:rsidR="00506557" w:rsidRDefault="00506557">
            <w:pPr>
              <w:pStyle w:val="TableBullet"/>
              <w:cnfStyle w:val="000000000000" w:firstRow="0" w:lastRow="0" w:firstColumn="0" w:lastColumn="0" w:oddVBand="0" w:evenVBand="0" w:oddHBand="0" w:evenHBand="0" w:firstRowFirstColumn="0" w:firstRowLastColumn="0" w:lastRowFirstColumn="0" w:lastRowLastColumn="0"/>
            </w:pPr>
            <w:r>
              <w:t>Severe weather/emergency waste</w:t>
            </w:r>
          </w:p>
        </w:tc>
      </w:tr>
      <w:tr w:rsidR="00506557" w:rsidRPr="006B77BB" w14:paraId="69C09BEC" w14:textId="77777777" w:rsidTr="00524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tcPr>
          <w:p w14:paraId="3568B537" w14:textId="77777777" w:rsidR="00506557" w:rsidRPr="00A95F76" w:rsidRDefault="00506557" w:rsidP="00CD7C21">
            <w:pPr>
              <w:pStyle w:val="TableText"/>
            </w:pPr>
            <w:r>
              <w:lastRenderedPageBreak/>
              <w:t>Transfer station – mixed activities</w:t>
            </w:r>
          </w:p>
        </w:tc>
        <w:tc>
          <w:tcPr>
            <w:tcW w:w="2344" w:type="pct"/>
          </w:tcPr>
          <w:p w14:paraId="0CFCCE8F" w14:textId="77777777" w:rsidR="00506557" w:rsidRPr="006B77BB" w:rsidRDefault="00506557" w:rsidP="00CD7C21">
            <w:pPr>
              <w:pStyle w:val="TableText"/>
              <w:cnfStyle w:val="000000100000" w:firstRow="0" w:lastRow="0" w:firstColumn="0" w:lastColumn="0" w:oddVBand="0" w:evenVBand="0" w:oddHBand="1" w:evenHBand="0" w:firstRowFirstColumn="0" w:firstRowLastColumn="0" w:lastRowFirstColumn="0" w:lastRowLastColumn="0"/>
            </w:pPr>
            <w:r>
              <w:t xml:space="preserve">Waste or diverted material that enters the facility from a transfer station. This includes loads from </w:t>
            </w:r>
            <w:r w:rsidDel="001D7972">
              <w:t xml:space="preserve">a </w:t>
            </w:r>
            <w:r>
              <w:t>transfer station to another transfer station and loads from a transfer station to a landfill. Waste or diverted material that enters a transfer station must be recorded under the relevant activity category associated with the activity that generated that waste.</w:t>
            </w:r>
          </w:p>
        </w:tc>
        <w:tc>
          <w:tcPr>
            <w:tcW w:w="1796" w:type="pct"/>
          </w:tcPr>
          <w:p w14:paraId="598CF3AD"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Each mixed-activity load must record the individual transfer station it is received from.</w:t>
            </w:r>
          </w:p>
          <w:p w14:paraId="0F6D28BD" w14:textId="77777777" w:rsidR="00506557" w:rsidRDefault="00506557">
            <w:pPr>
              <w:pStyle w:val="TableBullet"/>
              <w:cnfStyle w:val="000000100000" w:firstRow="0" w:lastRow="0" w:firstColumn="0" w:lastColumn="0" w:oddVBand="0" w:evenVBand="0" w:oddHBand="1" w:evenHBand="0" w:firstRowFirstColumn="0" w:firstRowLastColumn="0" w:lastRowFirstColumn="0" w:lastRowLastColumn="0"/>
            </w:pPr>
            <w:r>
              <w:t>Waste received from an individual activity (eg, construction and demolition) should instead apply the individual activity source.</w:t>
            </w:r>
          </w:p>
        </w:tc>
      </w:tr>
    </w:tbl>
    <w:p w14:paraId="04AD193E" w14:textId="77777777" w:rsidR="00506557" w:rsidRDefault="00506557" w:rsidP="00506557">
      <w:pPr>
        <w:pStyle w:val="BodyText"/>
      </w:pPr>
      <w:r>
        <w:t xml:space="preserve">The ‘transfer station’ category exists only for waste delivered </w:t>
      </w:r>
      <w:r w:rsidRPr="003C38E6">
        <w:rPr>
          <w:b/>
        </w:rPr>
        <w:t>from</w:t>
      </w:r>
      <w:r>
        <w:t xml:space="preserve"> </w:t>
      </w:r>
      <w:r w:rsidDel="00A95F76">
        <w:t xml:space="preserve">a </w:t>
      </w:r>
      <w:r>
        <w:t xml:space="preserve">transfer station to another facility. For all other loads, transfer stations must categorise the waste they </w:t>
      </w:r>
      <w:r w:rsidRPr="003C38E6">
        <w:rPr>
          <w:b/>
        </w:rPr>
        <w:t>receive</w:t>
      </w:r>
      <w:r>
        <w:t xml:space="preserve"> into the appropriate activity category. </w:t>
      </w:r>
    </w:p>
    <w:p w14:paraId="7FADFF97" w14:textId="77777777" w:rsidR="00506557" w:rsidRDefault="00506557" w:rsidP="00506557">
      <w:pPr>
        <w:pStyle w:val="Heading2"/>
        <w:rPr>
          <w:rFonts w:eastAsia="Georgia" w:cs="Georgia"/>
          <w:color w:val="1B546A"/>
          <w:sz w:val="32"/>
          <w:szCs w:val="32"/>
        </w:rPr>
      </w:pPr>
      <w:r w:rsidRPr="2A8F37B2">
        <w:rPr>
          <w:rFonts w:eastAsia="Georgia" w:cs="Georgia"/>
          <w:color w:val="1B546A"/>
          <w:sz w:val="32"/>
          <w:szCs w:val="32"/>
        </w:rPr>
        <w:t xml:space="preserve">When </w:t>
      </w:r>
      <w:r>
        <w:rPr>
          <w:rFonts w:eastAsia="Georgia" w:cs="Georgia"/>
          <w:color w:val="1B546A"/>
          <w:sz w:val="32"/>
          <w:szCs w:val="32"/>
        </w:rPr>
        <w:t>to provide the</w:t>
      </w:r>
      <w:r w:rsidRPr="2A8F37B2">
        <w:rPr>
          <w:rFonts w:eastAsia="Georgia" w:cs="Georgia"/>
          <w:color w:val="1B546A"/>
          <w:sz w:val="32"/>
          <w:szCs w:val="32"/>
        </w:rPr>
        <w:t xml:space="preserve"> report </w:t>
      </w:r>
    </w:p>
    <w:p w14:paraId="51333A2B" w14:textId="01EB867C" w:rsidR="00506557" w:rsidRDefault="00506557" w:rsidP="00506557">
      <w:pPr>
        <w:pStyle w:val="BodyText"/>
      </w:pPr>
      <w:r>
        <w:t xml:space="preserve">From </w:t>
      </w:r>
      <w:r w:rsidR="00851169">
        <w:t xml:space="preserve">1 </w:t>
      </w:r>
      <w:r>
        <w:t>July 2024 every disposal facility</w:t>
      </w:r>
      <w:r w:rsidR="003F27E7">
        <w:t xml:space="preserve"> operator</w:t>
      </w:r>
      <w:r>
        <w:t xml:space="preserve"> must provide an activity category report. This is a separate report that is completed in OWLS at the time the waste return</w:t>
      </w:r>
      <w:r w:rsidDel="00D82E62">
        <w:t xml:space="preserve"> </w:t>
      </w:r>
      <w:r w:rsidR="00851169">
        <w:t xml:space="preserve">is </w:t>
      </w:r>
      <w:r w:rsidDel="00D82E62">
        <w:t>filed</w:t>
      </w:r>
      <w:r>
        <w:t xml:space="preserve">. </w:t>
      </w:r>
    </w:p>
    <w:p w14:paraId="354B5645" w14:textId="79FAEBAD" w:rsidR="00506557" w:rsidRDefault="00506557" w:rsidP="00506557">
      <w:pPr>
        <w:pStyle w:val="BodyText"/>
      </w:pPr>
      <w:r>
        <w:t xml:space="preserve">Please see the </w:t>
      </w:r>
      <w:hyperlink r:id="rId13">
        <w:r w:rsidRPr="009B1923">
          <w:rPr>
            <w:rStyle w:val="Hyperlink"/>
            <w:i/>
            <w:iCs/>
            <w:color w:val="32809C" w:themeColor="accent2"/>
          </w:rPr>
          <w:t xml:space="preserve">Waste </w:t>
        </w:r>
        <w:r w:rsidR="00772E76" w:rsidRPr="009B1923">
          <w:rPr>
            <w:rStyle w:val="Hyperlink"/>
            <w:i/>
            <w:iCs/>
            <w:color w:val="32809C" w:themeColor="accent2"/>
          </w:rPr>
          <w:t>l</w:t>
        </w:r>
        <w:r w:rsidRPr="009B1923">
          <w:rPr>
            <w:rStyle w:val="Hyperlink"/>
            <w:i/>
            <w:iCs/>
            <w:color w:val="32809C" w:themeColor="accent2"/>
          </w:rPr>
          <w:t>evy: Filing a waste return</w:t>
        </w:r>
      </w:hyperlink>
      <w:r>
        <w:t xml:space="preserve"> factsheet for more information on when to </w:t>
      </w:r>
      <w:r w:rsidR="00DD6200">
        <w:t xml:space="preserve">file </w:t>
      </w:r>
      <w:r>
        <w:t xml:space="preserve">your waste return. </w:t>
      </w:r>
    </w:p>
    <w:p w14:paraId="263955F5" w14:textId="77777777" w:rsidR="00506557" w:rsidRDefault="00506557" w:rsidP="00506557">
      <w:pPr>
        <w:pStyle w:val="Heading2"/>
        <w:rPr>
          <w:rFonts w:eastAsia="Georgia" w:cs="Georgia"/>
          <w:color w:val="1B556B" w:themeColor="text2"/>
          <w:sz w:val="32"/>
          <w:szCs w:val="32"/>
        </w:rPr>
      </w:pPr>
      <w:r w:rsidRPr="7B74E1DB">
        <w:rPr>
          <w:rFonts w:eastAsia="Georgia" w:cs="Georgia"/>
          <w:color w:val="1B556B" w:themeColor="text2"/>
          <w:sz w:val="32"/>
          <w:szCs w:val="32"/>
        </w:rPr>
        <w:t xml:space="preserve">Why </w:t>
      </w:r>
      <w:r w:rsidRPr="1E85CBF6">
        <w:rPr>
          <w:rFonts w:eastAsia="Georgia" w:cs="Georgia"/>
          <w:color w:val="1B556B" w:themeColor="text2"/>
          <w:sz w:val="32"/>
          <w:szCs w:val="32"/>
        </w:rPr>
        <w:t xml:space="preserve">the Ministry </w:t>
      </w:r>
      <w:r w:rsidRPr="7B74E1DB">
        <w:rPr>
          <w:rFonts w:eastAsia="Georgia" w:cs="Georgia"/>
          <w:color w:val="1B556B" w:themeColor="text2"/>
          <w:sz w:val="32"/>
          <w:szCs w:val="32"/>
        </w:rPr>
        <w:t>is collecting this information</w:t>
      </w:r>
    </w:p>
    <w:p w14:paraId="2E9C5839" w14:textId="49FD8D06" w:rsidR="001308F4" w:rsidRPr="00D1660E" w:rsidRDefault="00506557" w:rsidP="004B3EE4">
      <w:pPr>
        <w:pStyle w:val="paragraph"/>
        <w:spacing w:before="120" w:beforeAutospacing="0" w:after="120" w:afterAutospacing="0" w:line="240" w:lineRule="atLeast"/>
      </w:pPr>
      <w:r w:rsidRPr="1E85CBF6">
        <w:rPr>
          <w:rFonts w:ascii="Calibri" w:eastAsia="Calibri" w:hAnsi="Calibri" w:cs="Calibri"/>
          <w:color w:val="000000" w:themeColor="text1"/>
          <w:sz w:val="22"/>
          <w:szCs w:val="22"/>
        </w:rPr>
        <w:t>The</w:t>
      </w:r>
      <w:r w:rsidRPr="7B74E1DB">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activity category </w:t>
      </w:r>
      <w:r w:rsidRPr="7B74E1DB">
        <w:rPr>
          <w:rFonts w:ascii="Calibri" w:eastAsia="Calibri" w:hAnsi="Calibri" w:cs="Calibri"/>
          <w:color w:val="000000" w:themeColor="text1"/>
          <w:sz w:val="22"/>
          <w:szCs w:val="22"/>
        </w:rPr>
        <w:t xml:space="preserve">information will give the Ministry a better insight into the regional and national flow of waste materials and help the Ministry </w:t>
      </w:r>
      <w:r>
        <w:rPr>
          <w:rFonts w:ascii="Calibri" w:eastAsia="Calibri" w:hAnsi="Calibri" w:cs="Calibri"/>
          <w:color w:val="000000" w:themeColor="text1"/>
          <w:sz w:val="22"/>
          <w:szCs w:val="22"/>
        </w:rPr>
        <w:t xml:space="preserve">shape </w:t>
      </w:r>
      <w:r w:rsidRPr="1E85CBF6">
        <w:rPr>
          <w:rFonts w:ascii="Calibri" w:eastAsia="Calibri" w:hAnsi="Calibri" w:cs="Calibri"/>
          <w:color w:val="000000" w:themeColor="text1"/>
          <w:sz w:val="22"/>
          <w:szCs w:val="22"/>
        </w:rPr>
        <w:t>policies</w:t>
      </w:r>
      <w:r w:rsidRPr="7B74E1DB" w:rsidDel="000F5210">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to </w:t>
      </w:r>
      <w:r w:rsidRPr="7B74E1DB">
        <w:rPr>
          <w:rFonts w:ascii="Calibri" w:eastAsia="Calibri" w:hAnsi="Calibri" w:cs="Calibri"/>
          <w:color w:val="000000" w:themeColor="text1"/>
          <w:sz w:val="22"/>
          <w:szCs w:val="22"/>
        </w:rPr>
        <w:t xml:space="preserve">minimise and manage waste. </w:t>
      </w:r>
      <w:r w:rsidRPr="1E85CBF6">
        <w:rPr>
          <w:rFonts w:ascii="Calibri" w:eastAsia="Calibri" w:hAnsi="Calibri" w:cs="Calibri"/>
          <w:color w:val="000000" w:themeColor="text1"/>
          <w:sz w:val="22"/>
          <w:szCs w:val="22"/>
        </w:rPr>
        <w:t xml:space="preserve">Aggregated data will be made available here: </w:t>
      </w:r>
      <w:hyperlink r:id="rId14">
        <w:r w:rsidRPr="007F0404">
          <w:rPr>
            <w:rStyle w:val="Hyperlink"/>
            <w:rFonts w:asciiTheme="minorHAnsi" w:hAnsiTheme="minorHAnsi" w:cstheme="minorHAnsi"/>
            <w:sz w:val="22"/>
            <w:szCs w:val="22"/>
          </w:rPr>
          <w:t>Waste facilities and disposal | Ministry for the Environment</w:t>
        </w:r>
      </w:hyperlink>
      <w:r w:rsidRPr="007F0404">
        <w:rPr>
          <w:rStyle w:val="Hyperlink"/>
          <w:rFonts w:asciiTheme="minorHAnsi" w:hAnsiTheme="minorHAnsi" w:cstheme="minorHAnsi"/>
          <w:sz w:val="22"/>
          <w:szCs w:val="22"/>
        </w:rPr>
        <w:t>.</w:t>
      </w:r>
      <w:r w:rsidR="001C35D9">
        <w:rPr>
          <w:rStyle w:val="Hyperlink"/>
          <w:rFonts w:asciiTheme="minorHAnsi" w:hAnsiTheme="minorHAnsi" w:cstheme="minorHAnsi"/>
          <w:sz w:val="22"/>
          <w:szCs w:val="22"/>
        </w:rPr>
        <w:br/>
      </w:r>
      <w:bookmarkEnd w:id="1"/>
    </w:p>
    <w:tbl>
      <w:tblPr>
        <w:tblW w:w="9072" w:type="dxa"/>
        <w:tblBorders>
          <w:top w:val="single" w:sz="4" w:space="0" w:color="D5EBE8"/>
          <w:left w:val="single" w:sz="4" w:space="0" w:color="D5EBE8"/>
          <w:bottom w:val="single" w:sz="4" w:space="0" w:color="D5EBE8"/>
          <w:right w:val="single" w:sz="4" w:space="0" w:color="D5EBE8"/>
          <w:insideH w:val="single" w:sz="4" w:space="0" w:color="D5EBE8"/>
          <w:insideV w:val="single" w:sz="4" w:space="0" w:color="D5EBE8"/>
        </w:tblBorders>
        <w:shd w:val="clear" w:color="auto" w:fill="D5EBE8" w:themeFill="accent3"/>
        <w:tblLook w:val="04A0" w:firstRow="1" w:lastRow="0" w:firstColumn="1" w:lastColumn="0" w:noHBand="0" w:noVBand="1"/>
      </w:tblPr>
      <w:tblGrid>
        <w:gridCol w:w="9072"/>
      </w:tblGrid>
      <w:tr w:rsidR="004C6A0C" w:rsidRPr="00A01420" w14:paraId="1076859D" w14:textId="77777777">
        <w:tc>
          <w:tcPr>
            <w:tcW w:w="8505" w:type="dxa"/>
            <w:shd w:val="clear" w:color="auto" w:fill="D5EBE8" w:themeFill="accent3"/>
          </w:tcPr>
          <w:p w14:paraId="1F068149" w14:textId="77777777" w:rsidR="00EC5C63" w:rsidRDefault="00EC5C63" w:rsidP="00EC5C63">
            <w:pPr>
              <w:pStyle w:val="Boxheading"/>
              <w:rPr>
                <w:rFonts w:ascii="Georgia" w:hAnsi="Georgia"/>
              </w:rPr>
            </w:pPr>
            <w:r>
              <w:rPr>
                <w:rFonts w:ascii="Georgia" w:hAnsi="Georgia"/>
              </w:rPr>
              <w:t>Further information</w:t>
            </w:r>
          </w:p>
          <w:p w14:paraId="596532D4" w14:textId="77777777" w:rsidR="004C6A0C" w:rsidRDefault="004C6A0C">
            <w:pPr>
              <w:pStyle w:val="Boxheading"/>
            </w:pPr>
            <w:r>
              <w:t>Fact sheets in this series</w:t>
            </w:r>
          </w:p>
          <w:p w14:paraId="1A5BE1F5" w14:textId="77777777" w:rsidR="004C6A0C" w:rsidRDefault="004C6A0C">
            <w:pPr>
              <w:pStyle w:val="Boxtext"/>
            </w:pPr>
            <w:r w:rsidRPr="00404628">
              <w:t xml:space="preserve">This fact sheet is part of a series of fact sheets for </w:t>
            </w:r>
            <w:r>
              <w:t xml:space="preserve">disposal facility operators and transfer station operators regarding their waste data and waste levy reporting obligations. </w:t>
            </w:r>
          </w:p>
          <w:p w14:paraId="41FF7FC9" w14:textId="5802A05B" w:rsidR="00BE7FF1" w:rsidRPr="008574B6" w:rsidRDefault="00BE7FF1">
            <w:pPr>
              <w:pStyle w:val="Boxbullet"/>
              <w:rPr>
                <w:i/>
                <w:iCs/>
              </w:rPr>
            </w:pPr>
            <w:r w:rsidRPr="00BE7FF1">
              <w:rPr>
                <w:rFonts w:cstheme="minorBidi"/>
              </w:rPr>
              <w:t xml:space="preserve">For more guidance on how to collect activity category data see the factsheet </w:t>
            </w:r>
            <w:hyperlink r:id="rId15" w:history="1">
              <w:r w:rsidRPr="008574B6">
                <w:rPr>
                  <w:rStyle w:val="Hyperlink"/>
                  <w:rFonts w:cstheme="minorBidi"/>
                  <w:i/>
                  <w:iCs/>
                </w:rPr>
                <w:t>Waste data – How to record and report the activity category</w:t>
              </w:r>
            </w:hyperlink>
            <w:r w:rsidRPr="008574B6">
              <w:rPr>
                <w:rFonts w:cstheme="minorBidi"/>
                <w:i/>
                <w:iCs/>
              </w:rPr>
              <w:t>.</w:t>
            </w:r>
          </w:p>
          <w:p w14:paraId="3BB88132" w14:textId="393504A2" w:rsidR="004C6A0C" w:rsidRPr="00177DE4" w:rsidRDefault="004C6A0C">
            <w:pPr>
              <w:pStyle w:val="Boxbullet"/>
            </w:pPr>
            <w:r w:rsidRPr="00177DE4">
              <w:t xml:space="preserve">For information on conversion factors and measuring waste tonnage, please refer to the fact sheet </w:t>
            </w:r>
            <w:hyperlink r:id="rId16" w:tgtFrame="_blank" w:history="1">
              <w:r w:rsidRPr="00177DE4">
                <w:rPr>
                  <w:rStyle w:val="Hyperlink"/>
                  <w:i/>
                  <w:iCs/>
                </w:rPr>
                <w:t xml:space="preserve">Waste levy – </w:t>
              </w:r>
              <w:r>
                <w:rPr>
                  <w:rStyle w:val="Hyperlink"/>
                  <w:i/>
                  <w:iCs/>
                </w:rPr>
                <w:t>M</w:t>
              </w:r>
              <w:r w:rsidRPr="00177DE4">
                <w:rPr>
                  <w:rStyle w:val="Hyperlink"/>
                  <w:i/>
                  <w:iCs/>
                </w:rPr>
                <w:t>easuring waste tonnages</w:t>
              </w:r>
            </w:hyperlink>
            <w:r w:rsidRPr="00177DE4">
              <w:t>. </w:t>
            </w:r>
          </w:p>
          <w:p w14:paraId="304133CE" w14:textId="77777777" w:rsidR="004C6A0C" w:rsidRDefault="004C6A0C">
            <w:pPr>
              <w:pStyle w:val="Boxtext"/>
              <w:rPr>
                <w:b/>
                <w:bCs/>
              </w:rPr>
            </w:pPr>
            <w:r w:rsidRPr="0093127F">
              <w:rPr>
                <w:b/>
                <w:bCs/>
              </w:rPr>
              <w:t>Find out more</w:t>
            </w:r>
          </w:p>
          <w:p w14:paraId="13BE1201" w14:textId="77777777" w:rsidR="00130627" w:rsidRDefault="00130627" w:rsidP="00130627">
            <w:pPr>
              <w:pStyle w:val="Boxtext"/>
              <w:rPr>
                <w:lang w:eastAsia="en-US"/>
              </w:rPr>
            </w:pPr>
            <w:r w:rsidRPr="00FF0AC4">
              <w:rPr>
                <w:lang w:eastAsia="en-US"/>
              </w:rPr>
              <w:t xml:space="preserve">For any questions about the new reporting requirements please email </w:t>
            </w:r>
            <w:hyperlink r:id="rId17" w:history="1">
              <w:r w:rsidRPr="00FF0AC4">
                <w:rPr>
                  <w:rStyle w:val="Hyperlink"/>
                  <w:lang w:eastAsia="en-US"/>
                </w:rPr>
                <w:t>wastedataregsupport@mfe.govt.nz</w:t>
              </w:r>
            </w:hyperlink>
            <w:r w:rsidRPr="00FF0AC4">
              <w:rPr>
                <w:lang w:eastAsia="en-US"/>
              </w:rPr>
              <w:t xml:space="preserve">. </w:t>
            </w:r>
          </w:p>
          <w:p w14:paraId="7DC560D7" w14:textId="77777777" w:rsidR="00130627" w:rsidRDefault="00130627" w:rsidP="00130627">
            <w:pPr>
              <w:pStyle w:val="Boxtext"/>
              <w:rPr>
                <w:rStyle w:val="Hyperlink"/>
                <w:lang w:eastAsia="en-US"/>
              </w:rPr>
            </w:pPr>
            <w:r w:rsidRPr="00FF0AC4">
              <w:rPr>
                <w:lang w:eastAsia="en-US"/>
              </w:rPr>
              <w:t>For any questions about using OWLS</w:t>
            </w:r>
            <w:r>
              <w:rPr>
                <w:lang w:eastAsia="en-US"/>
              </w:rPr>
              <w:t>,</w:t>
            </w:r>
            <w:r w:rsidRPr="00FF0AC4">
              <w:rPr>
                <w:lang w:eastAsia="en-US"/>
              </w:rPr>
              <w:t xml:space="preserve"> please email </w:t>
            </w:r>
            <w:hyperlink r:id="rId18" w:history="1">
              <w:r w:rsidRPr="00FF0AC4">
                <w:rPr>
                  <w:rStyle w:val="Hyperlink"/>
                  <w:lang w:eastAsia="en-US"/>
                </w:rPr>
                <w:t>info@wastelevy.govt.nz</w:t>
              </w:r>
            </w:hyperlink>
            <w:r>
              <w:rPr>
                <w:rStyle w:val="Hyperlink"/>
                <w:lang w:eastAsia="en-US"/>
              </w:rPr>
              <w:t>.</w:t>
            </w:r>
          </w:p>
          <w:p w14:paraId="3FEA0960" w14:textId="2AE6580B" w:rsidR="004C6A0C" w:rsidRPr="00A01420" w:rsidRDefault="00130627" w:rsidP="004B3EE4">
            <w:pPr>
              <w:pStyle w:val="Boxtext"/>
              <w:rPr>
                <w:lang w:eastAsia="en-US"/>
              </w:rPr>
            </w:pPr>
            <w:r>
              <w:rPr>
                <w:lang w:eastAsia="en-US"/>
              </w:rPr>
              <w:t>Or for general information</w:t>
            </w:r>
            <w:r w:rsidRPr="00FF0AC4">
              <w:rPr>
                <w:lang w:eastAsia="en-US"/>
              </w:rPr>
              <w:t xml:space="preserve"> visit </w:t>
            </w:r>
            <w:r>
              <w:rPr>
                <w:lang w:eastAsia="en-US"/>
              </w:rPr>
              <w:t xml:space="preserve">the webpage </w:t>
            </w:r>
            <w:hyperlink r:id="rId19" w:history="1">
              <w:r w:rsidRPr="003E645F">
                <w:rPr>
                  <w:rStyle w:val="Hyperlink"/>
                  <w:lang w:eastAsia="en-US"/>
                </w:rPr>
                <w:t>Waste disposal levy information and reporting requirements for site operators</w:t>
              </w:r>
            </w:hyperlink>
            <w:r>
              <w:rPr>
                <w:lang w:eastAsia="en-US"/>
              </w:rPr>
              <w:t>.</w:t>
            </w:r>
            <w:r w:rsidR="00EC5C63">
              <w:rPr>
                <w:lang w:eastAsia="en-US"/>
              </w:rPr>
              <w:br/>
            </w:r>
          </w:p>
        </w:tc>
      </w:tr>
    </w:tbl>
    <w:p w14:paraId="3EF144DE" w14:textId="77777777" w:rsidR="00FA0C86" w:rsidRDefault="006239DF" w:rsidP="00D1660E">
      <w:pPr>
        <w:pStyle w:val="BodyText"/>
      </w:pPr>
      <w:r>
        <w:rPr>
          <w:noProof/>
        </w:rPr>
        <mc:AlternateContent>
          <mc:Choice Requires="wps">
            <w:drawing>
              <wp:anchor distT="0" distB="0" distL="114300" distR="114300" simplePos="0" relativeHeight="251658241" behindDoc="0" locked="1" layoutInCell="1" allowOverlap="1" wp14:anchorId="09F28545" wp14:editId="37EF503B">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430119D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429CDD56" w14:textId="0763DA69" w:rsidR="006239DF" w:rsidRDefault="00B0632C" w:rsidP="00CD7C21">
                                  <w:pPr>
                                    <w:pStyle w:val="TableText"/>
                                  </w:pPr>
                                  <w:r>
                                    <w:br/>
                                  </w:r>
                                  <w:r w:rsidR="006239DF" w:rsidRPr="006C18C8">
                                    <w:t xml:space="preserve">Published in </w:t>
                                  </w:r>
                                  <w:r w:rsidR="00447528">
                                    <w:t>May</w:t>
                                  </w:r>
                                  <w:r w:rsidR="00506557">
                                    <w:t xml:space="preserve"> 2024</w:t>
                                  </w:r>
                                  <w:r w:rsidR="00B63A8F">
                                    <w:t>, updated in June 2024,</w:t>
                                  </w:r>
                                  <w:r w:rsidR="006239DF" w:rsidRPr="006C18C8">
                                    <w:t xml:space="preserve"> by the </w:t>
                                  </w:r>
                                  <w:r w:rsidR="006239DF" w:rsidRPr="006C18C8">
                                    <w:br/>
                                    <w:t xml:space="preserve">Ministry for the Environment – Manatū </w:t>
                                  </w:r>
                                  <w:r w:rsidR="00AA40AD">
                                    <w:t>m</w:t>
                                  </w:r>
                                  <w:r w:rsidR="006239DF" w:rsidRPr="006C18C8">
                                    <w:t xml:space="preserve">ō </w:t>
                                  </w:r>
                                  <w:r w:rsidR="00AA40AD">
                                    <w:t>t</w:t>
                                  </w:r>
                                  <w:r w:rsidR="006239DF" w:rsidRPr="006C18C8">
                                    <w:t>e Taiao</w:t>
                                  </w:r>
                                  <w:r w:rsidR="006239DF" w:rsidRPr="006C18C8">
                                    <w:br/>
                                    <w:t xml:space="preserve">Publication number: INFO </w:t>
                                  </w:r>
                                  <w:r w:rsidR="000F612C">
                                    <w:t>1240</w:t>
                                  </w:r>
                                </w:p>
                              </w:tc>
                              <w:tc>
                                <w:tcPr>
                                  <w:tcW w:w="3588" w:type="dxa"/>
                                  <w:shd w:val="clear" w:color="auto" w:fill="FFFFFF" w:themeFill="background1"/>
                                  <w:tcMar>
                                    <w:left w:w="0" w:type="dxa"/>
                                    <w:right w:w="0" w:type="dxa"/>
                                  </w:tcMar>
                                  <w:vAlign w:val="bottom"/>
                                </w:tcPr>
                                <w:p w14:paraId="16E3FA2C" w14:textId="77777777" w:rsidR="006239DF" w:rsidRDefault="006239DF" w:rsidP="00E57601">
                                  <w:pPr>
                                    <w:pStyle w:val="Footer"/>
                                    <w:jc w:val="right"/>
                                  </w:pPr>
                                  <w:r>
                                    <w:rPr>
                                      <w:noProof/>
                                    </w:rPr>
                                    <w:drawing>
                                      <wp:inline distT="0" distB="0" distL="0" distR="0" wp14:anchorId="02AF7453" wp14:editId="200E57BD">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4A0FC0"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28545" id="_x0000_t202" coordsize="21600,21600" o:spt="202" path="m,l,21600r21600,l21600,xe">
                <v:stroke joinstyle="miter"/>
                <v:path gradientshapeok="t" o:connecttype="rect"/>
              </v:shapetype>
              <v:shape id="Text Box 1" o:spid="_x0000_s1027" type="#_x0000_t202" style="position:absolute;margin-left:-.9pt;margin-top:736.75pt;width:459.5pt;height:8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430119D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429CDD56" w14:textId="0763DA69" w:rsidR="006239DF" w:rsidRDefault="00B0632C" w:rsidP="00CD7C21">
                            <w:pPr>
                              <w:pStyle w:val="TableText"/>
                            </w:pPr>
                            <w:r>
                              <w:br/>
                            </w:r>
                            <w:r w:rsidR="006239DF" w:rsidRPr="006C18C8">
                              <w:t xml:space="preserve">Published in </w:t>
                            </w:r>
                            <w:r w:rsidR="00447528">
                              <w:t>May</w:t>
                            </w:r>
                            <w:r w:rsidR="00506557">
                              <w:t xml:space="preserve"> 2024</w:t>
                            </w:r>
                            <w:r w:rsidR="00B63A8F">
                              <w:t>, updated in June 2024,</w:t>
                            </w:r>
                            <w:r w:rsidR="006239DF" w:rsidRPr="006C18C8">
                              <w:t xml:space="preserve"> by the </w:t>
                            </w:r>
                            <w:r w:rsidR="006239DF" w:rsidRPr="006C18C8">
                              <w:br/>
                              <w:t xml:space="preserve">Ministry for the Environment – Manatū </w:t>
                            </w:r>
                            <w:r w:rsidR="00AA40AD">
                              <w:t>m</w:t>
                            </w:r>
                            <w:r w:rsidR="006239DF" w:rsidRPr="006C18C8">
                              <w:t xml:space="preserve">ō </w:t>
                            </w:r>
                            <w:r w:rsidR="00AA40AD">
                              <w:t>t</w:t>
                            </w:r>
                            <w:r w:rsidR="006239DF" w:rsidRPr="006C18C8">
                              <w:t>e Taiao</w:t>
                            </w:r>
                            <w:r w:rsidR="006239DF" w:rsidRPr="006C18C8">
                              <w:br/>
                              <w:t xml:space="preserve">Publication number: INFO </w:t>
                            </w:r>
                            <w:r w:rsidR="000F612C">
                              <w:t>1240</w:t>
                            </w:r>
                          </w:p>
                        </w:tc>
                        <w:tc>
                          <w:tcPr>
                            <w:tcW w:w="3588" w:type="dxa"/>
                            <w:shd w:val="clear" w:color="auto" w:fill="FFFFFF" w:themeFill="background1"/>
                            <w:tcMar>
                              <w:left w:w="0" w:type="dxa"/>
                              <w:right w:w="0" w:type="dxa"/>
                            </w:tcMar>
                            <w:vAlign w:val="bottom"/>
                          </w:tcPr>
                          <w:p w14:paraId="16E3FA2C" w14:textId="77777777" w:rsidR="006239DF" w:rsidRDefault="006239DF" w:rsidP="00E57601">
                            <w:pPr>
                              <w:pStyle w:val="Footer"/>
                              <w:jc w:val="right"/>
                            </w:pPr>
                            <w:r>
                              <w:rPr>
                                <w:noProof/>
                              </w:rPr>
                              <w:drawing>
                                <wp:inline distT="0" distB="0" distL="0" distR="0" wp14:anchorId="02AF7453" wp14:editId="200E57BD">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4A0FC0"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F455E3">
      <w:footerReference w:type="even" r:id="rId21"/>
      <w:footerReference w:type="default" r:id="rId22"/>
      <w:headerReference w:type="first" r:id="rId23"/>
      <w:footerReference w:type="first" r:id="rId24"/>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136D" w14:textId="77777777" w:rsidR="00C64080" w:rsidRDefault="00C64080" w:rsidP="0080531E">
      <w:pPr>
        <w:spacing w:before="0" w:after="0" w:line="240" w:lineRule="auto"/>
      </w:pPr>
      <w:r>
        <w:separator/>
      </w:r>
    </w:p>
    <w:p w14:paraId="0846F9D1" w14:textId="77777777" w:rsidR="00C64080" w:rsidRDefault="00C64080"/>
  </w:endnote>
  <w:endnote w:type="continuationSeparator" w:id="0">
    <w:p w14:paraId="31B3D894" w14:textId="77777777" w:rsidR="00C64080" w:rsidRDefault="00C64080" w:rsidP="0080531E">
      <w:pPr>
        <w:spacing w:before="0" w:after="0" w:line="240" w:lineRule="auto"/>
      </w:pPr>
      <w:r>
        <w:continuationSeparator/>
      </w:r>
    </w:p>
    <w:p w14:paraId="5B887E54" w14:textId="77777777" w:rsidR="00C64080" w:rsidRDefault="00C64080"/>
  </w:endnote>
  <w:endnote w:type="continuationNotice" w:id="1">
    <w:p w14:paraId="632E246E" w14:textId="77777777" w:rsidR="00C64080" w:rsidRDefault="00C640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05AC" w14:textId="5EF2B810"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524FE4" w:rsidRPr="00524FE4">
      <w:t>Activity category reporting for disposal facility operators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86C0" w14:textId="402D192D" w:rsidR="006C18C8" w:rsidRPr="003A6769" w:rsidRDefault="00FE4F91" w:rsidP="00FE4F91">
    <w:pPr>
      <w:pStyle w:val="Footerodd"/>
    </w:pPr>
    <w:r>
      <w:tab/>
    </w:r>
    <w:r w:rsidRPr="00345E4E">
      <w:t>Insert running footer</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54B5" w14:textId="45CBB95C" w:rsidR="0085118C" w:rsidRDefault="0085118C" w:rsidP="0085118C">
    <w:pPr>
      <w:pStyle w:val="Footerodd"/>
    </w:pPr>
    <w:r>
      <w:tab/>
    </w:r>
    <w:r w:rsidR="00524FE4" w:rsidRPr="00524FE4">
      <w:t>Activity category reporting for disposal facility operators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41A72" w14:textId="77777777" w:rsidR="00C64080" w:rsidRDefault="00C64080" w:rsidP="00CB5C5F">
      <w:pPr>
        <w:spacing w:before="0" w:after="80" w:line="240" w:lineRule="auto"/>
      </w:pPr>
      <w:bookmarkStart w:id="0" w:name="_Hlk86912439"/>
      <w:bookmarkEnd w:id="0"/>
      <w:r>
        <w:separator/>
      </w:r>
    </w:p>
  </w:footnote>
  <w:footnote w:type="continuationSeparator" w:id="0">
    <w:p w14:paraId="38BD2FC7" w14:textId="77777777" w:rsidR="00C64080" w:rsidRDefault="00C64080" w:rsidP="0080531E">
      <w:pPr>
        <w:spacing w:before="0" w:after="0" w:line="240" w:lineRule="auto"/>
      </w:pPr>
      <w:r>
        <w:continuationSeparator/>
      </w:r>
    </w:p>
    <w:p w14:paraId="4CDEBADC" w14:textId="77777777" w:rsidR="00C64080" w:rsidRDefault="00C64080"/>
  </w:footnote>
  <w:footnote w:type="continuationNotice" w:id="1">
    <w:p w14:paraId="5A8524CD" w14:textId="77777777" w:rsidR="00C64080" w:rsidRDefault="00C640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1A07" w14:textId="77777777" w:rsidR="0013076D" w:rsidRDefault="0013076D">
    <w:pPr>
      <w:pStyle w:val="Header"/>
    </w:pPr>
  </w:p>
  <w:p w14:paraId="34242462" w14:textId="77777777" w:rsidR="0013076D" w:rsidRDefault="00130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4"/>
  </w:num>
  <w:num w:numId="2" w16cid:durableId="659116008">
    <w:abstractNumId w:val="24"/>
  </w:num>
  <w:num w:numId="3" w16cid:durableId="428039246">
    <w:abstractNumId w:val="35"/>
  </w:num>
  <w:num w:numId="4" w16cid:durableId="1688940720">
    <w:abstractNumId w:val="19"/>
  </w:num>
  <w:num w:numId="5" w16cid:durableId="1790082978">
    <w:abstractNumId w:val="12"/>
  </w:num>
  <w:num w:numId="6" w16cid:durableId="571161853">
    <w:abstractNumId w:val="7"/>
  </w:num>
  <w:num w:numId="7" w16cid:durableId="851066908">
    <w:abstractNumId w:val="22"/>
  </w:num>
  <w:num w:numId="8" w16cid:durableId="61224443">
    <w:abstractNumId w:val="21"/>
  </w:num>
  <w:num w:numId="9" w16cid:durableId="972250063">
    <w:abstractNumId w:val="34"/>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8"/>
  </w:num>
  <w:num w:numId="13" w16cid:durableId="948007045">
    <w:abstractNumId w:val="11"/>
  </w:num>
  <w:num w:numId="14" w16cid:durableId="823200718">
    <w:abstractNumId w:val="30"/>
  </w:num>
  <w:num w:numId="15" w16cid:durableId="703866721">
    <w:abstractNumId w:val="20"/>
  </w:num>
  <w:num w:numId="16" w16cid:durableId="192305151">
    <w:abstractNumId w:val="10"/>
  </w:num>
  <w:num w:numId="17" w16cid:durableId="24016450">
    <w:abstractNumId w:val="29"/>
  </w:num>
  <w:num w:numId="18" w16cid:durableId="717705514">
    <w:abstractNumId w:val="25"/>
  </w:num>
  <w:num w:numId="19" w16cid:durableId="691230062">
    <w:abstractNumId w:val="31"/>
  </w:num>
  <w:num w:numId="20" w16cid:durableId="1343435891">
    <w:abstractNumId w:val="13"/>
  </w:num>
  <w:num w:numId="21" w16cid:durableId="4983556">
    <w:abstractNumId w:val="26"/>
  </w:num>
  <w:num w:numId="22" w16cid:durableId="1442725474">
    <w:abstractNumId w:val="4"/>
  </w:num>
  <w:num w:numId="23" w16cid:durableId="380246717">
    <w:abstractNumId w:val="23"/>
  </w:num>
  <w:num w:numId="24" w16cid:durableId="1964146203">
    <w:abstractNumId w:val="15"/>
  </w:num>
  <w:num w:numId="25" w16cid:durableId="1810130802">
    <w:abstractNumId w:val="33"/>
  </w:num>
  <w:num w:numId="26" w16cid:durableId="404837251">
    <w:abstractNumId w:val="27"/>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2"/>
  </w:num>
  <w:num w:numId="38" w16cid:durableId="592393198">
    <w:abstractNumId w:val="24"/>
  </w:num>
  <w:num w:numId="39" w16cid:durableId="5885368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D21"/>
    <w:rsid w:val="00000F04"/>
    <w:rsid w:val="0000197E"/>
    <w:rsid w:val="000020F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2168"/>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5C4A"/>
    <w:rsid w:val="000F5E94"/>
    <w:rsid w:val="000F612C"/>
    <w:rsid w:val="000F6464"/>
    <w:rsid w:val="000F6628"/>
    <w:rsid w:val="000F6C25"/>
    <w:rsid w:val="000F76EB"/>
    <w:rsid w:val="000F78AE"/>
    <w:rsid w:val="000F7E25"/>
    <w:rsid w:val="001007EE"/>
    <w:rsid w:val="00100F76"/>
    <w:rsid w:val="0010148E"/>
    <w:rsid w:val="0010194C"/>
    <w:rsid w:val="0010253C"/>
    <w:rsid w:val="00102BD1"/>
    <w:rsid w:val="00102CB9"/>
    <w:rsid w:val="00103569"/>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69A9"/>
    <w:rsid w:val="0012731C"/>
    <w:rsid w:val="00127945"/>
    <w:rsid w:val="00127D94"/>
    <w:rsid w:val="00127E90"/>
    <w:rsid w:val="001302C1"/>
    <w:rsid w:val="00130627"/>
    <w:rsid w:val="001306D3"/>
    <w:rsid w:val="0013076D"/>
    <w:rsid w:val="001308F4"/>
    <w:rsid w:val="001310BF"/>
    <w:rsid w:val="00131EC2"/>
    <w:rsid w:val="0013326A"/>
    <w:rsid w:val="00133E73"/>
    <w:rsid w:val="00133FDB"/>
    <w:rsid w:val="00134779"/>
    <w:rsid w:val="00134C79"/>
    <w:rsid w:val="00134F4A"/>
    <w:rsid w:val="00135E4E"/>
    <w:rsid w:val="00135F23"/>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87A"/>
    <w:rsid w:val="00147E21"/>
    <w:rsid w:val="00150BA8"/>
    <w:rsid w:val="00150D19"/>
    <w:rsid w:val="0015181B"/>
    <w:rsid w:val="00151A9F"/>
    <w:rsid w:val="00152213"/>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4BA4"/>
    <w:rsid w:val="001A65C8"/>
    <w:rsid w:val="001A732E"/>
    <w:rsid w:val="001A7F30"/>
    <w:rsid w:val="001B06E2"/>
    <w:rsid w:val="001B103A"/>
    <w:rsid w:val="001B103D"/>
    <w:rsid w:val="001B1513"/>
    <w:rsid w:val="001B1767"/>
    <w:rsid w:val="001B2453"/>
    <w:rsid w:val="001B3D48"/>
    <w:rsid w:val="001B4085"/>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5D9"/>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2805"/>
    <w:rsid w:val="001F2ACA"/>
    <w:rsid w:val="001F2E79"/>
    <w:rsid w:val="001F2F07"/>
    <w:rsid w:val="001F3123"/>
    <w:rsid w:val="001F376D"/>
    <w:rsid w:val="001F418C"/>
    <w:rsid w:val="001F4B2D"/>
    <w:rsid w:val="001F4EE2"/>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B4A"/>
    <w:rsid w:val="00214EA2"/>
    <w:rsid w:val="002160FA"/>
    <w:rsid w:val="002166DD"/>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AFB"/>
    <w:rsid w:val="00251EEE"/>
    <w:rsid w:val="00253177"/>
    <w:rsid w:val="002534EA"/>
    <w:rsid w:val="002538B8"/>
    <w:rsid w:val="0025396F"/>
    <w:rsid w:val="00254319"/>
    <w:rsid w:val="0025539F"/>
    <w:rsid w:val="002554B8"/>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00"/>
    <w:rsid w:val="002A45AA"/>
    <w:rsid w:val="002A4B0B"/>
    <w:rsid w:val="002A4B6F"/>
    <w:rsid w:val="002A4CCB"/>
    <w:rsid w:val="002A4FFF"/>
    <w:rsid w:val="002A533C"/>
    <w:rsid w:val="002A56E1"/>
    <w:rsid w:val="002A59BD"/>
    <w:rsid w:val="002A75CA"/>
    <w:rsid w:val="002A7889"/>
    <w:rsid w:val="002A799A"/>
    <w:rsid w:val="002B031A"/>
    <w:rsid w:val="002B072D"/>
    <w:rsid w:val="002B097D"/>
    <w:rsid w:val="002B11B2"/>
    <w:rsid w:val="002B17DD"/>
    <w:rsid w:val="002B18F7"/>
    <w:rsid w:val="002B3ED7"/>
    <w:rsid w:val="002B4778"/>
    <w:rsid w:val="002B4CAE"/>
    <w:rsid w:val="002B4F0F"/>
    <w:rsid w:val="002B53F1"/>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41C"/>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6954"/>
    <w:rsid w:val="00337368"/>
    <w:rsid w:val="00337B4D"/>
    <w:rsid w:val="003407A9"/>
    <w:rsid w:val="00340BA3"/>
    <w:rsid w:val="00340BAF"/>
    <w:rsid w:val="00340C2B"/>
    <w:rsid w:val="00340E31"/>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66D"/>
    <w:rsid w:val="003678BE"/>
    <w:rsid w:val="003700F8"/>
    <w:rsid w:val="00370949"/>
    <w:rsid w:val="0037243B"/>
    <w:rsid w:val="0037251C"/>
    <w:rsid w:val="0037272C"/>
    <w:rsid w:val="00372B9A"/>
    <w:rsid w:val="00372D7D"/>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4DD"/>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3A9"/>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154E"/>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7E7"/>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193B"/>
    <w:rsid w:val="004425D9"/>
    <w:rsid w:val="00443244"/>
    <w:rsid w:val="00444AF6"/>
    <w:rsid w:val="0044519D"/>
    <w:rsid w:val="00445544"/>
    <w:rsid w:val="00445C0B"/>
    <w:rsid w:val="00446195"/>
    <w:rsid w:val="00447528"/>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3E33"/>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784"/>
    <w:rsid w:val="00477947"/>
    <w:rsid w:val="00480FA1"/>
    <w:rsid w:val="00481FD7"/>
    <w:rsid w:val="00482DE5"/>
    <w:rsid w:val="00483266"/>
    <w:rsid w:val="0048352E"/>
    <w:rsid w:val="004836A9"/>
    <w:rsid w:val="00483B23"/>
    <w:rsid w:val="004840D7"/>
    <w:rsid w:val="004846F4"/>
    <w:rsid w:val="0048573F"/>
    <w:rsid w:val="00485C26"/>
    <w:rsid w:val="00485EC0"/>
    <w:rsid w:val="004875E1"/>
    <w:rsid w:val="00487B37"/>
    <w:rsid w:val="00490636"/>
    <w:rsid w:val="00490FF0"/>
    <w:rsid w:val="004910FE"/>
    <w:rsid w:val="00491198"/>
    <w:rsid w:val="004917E0"/>
    <w:rsid w:val="0049196D"/>
    <w:rsid w:val="00491BF6"/>
    <w:rsid w:val="00491FED"/>
    <w:rsid w:val="00492DFE"/>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42B"/>
    <w:rsid w:val="004B352E"/>
    <w:rsid w:val="004B3EE4"/>
    <w:rsid w:val="004B41DA"/>
    <w:rsid w:val="004B470D"/>
    <w:rsid w:val="004B4764"/>
    <w:rsid w:val="004B4846"/>
    <w:rsid w:val="004B5394"/>
    <w:rsid w:val="004B5BDD"/>
    <w:rsid w:val="004B6E9E"/>
    <w:rsid w:val="004B6F83"/>
    <w:rsid w:val="004B7C29"/>
    <w:rsid w:val="004C06E5"/>
    <w:rsid w:val="004C0CCA"/>
    <w:rsid w:val="004C198D"/>
    <w:rsid w:val="004C1B7D"/>
    <w:rsid w:val="004C1CE6"/>
    <w:rsid w:val="004C1E3C"/>
    <w:rsid w:val="004C2171"/>
    <w:rsid w:val="004C25F0"/>
    <w:rsid w:val="004C26DD"/>
    <w:rsid w:val="004C2811"/>
    <w:rsid w:val="004C2B5D"/>
    <w:rsid w:val="004C2D68"/>
    <w:rsid w:val="004C2F56"/>
    <w:rsid w:val="004C339D"/>
    <w:rsid w:val="004C33E8"/>
    <w:rsid w:val="004C426D"/>
    <w:rsid w:val="004C4307"/>
    <w:rsid w:val="004C4309"/>
    <w:rsid w:val="004C49E3"/>
    <w:rsid w:val="004C4E8A"/>
    <w:rsid w:val="004C514A"/>
    <w:rsid w:val="004C6572"/>
    <w:rsid w:val="004C6A0C"/>
    <w:rsid w:val="004C6D4F"/>
    <w:rsid w:val="004C6E1C"/>
    <w:rsid w:val="004C7541"/>
    <w:rsid w:val="004C775F"/>
    <w:rsid w:val="004D0813"/>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4D22"/>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6083"/>
    <w:rsid w:val="00506557"/>
    <w:rsid w:val="005068D6"/>
    <w:rsid w:val="00506B86"/>
    <w:rsid w:val="00506EEC"/>
    <w:rsid w:val="00506FD4"/>
    <w:rsid w:val="00507A53"/>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6CB"/>
    <w:rsid w:val="00523B23"/>
    <w:rsid w:val="00523DFA"/>
    <w:rsid w:val="00524D5E"/>
    <w:rsid w:val="00524FE4"/>
    <w:rsid w:val="005254BC"/>
    <w:rsid w:val="005256FC"/>
    <w:rsid w:val="00526C27"/>
    <w:rsid w:val="00526DFF"/>
    <w:rsid w:val="00527403"/>
    <w:rsid w:val="00527473"/>
    <w:rsid w:val="00527EF9"/>
    <w:rsid w:val="005305FF"/>
    <w:rsid w:val="00530C9B"/>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171"/>
    <w:rsid w:val="0054027D"/>
    <w:rsid w:val="005404E5"/>
    <w:rsid w:val="00541222"/>
    <w:rsid w:val="00541A8D"/>
    <w:rsid w:val="00541D4D"/>
    <w:rsid w:val="00542693"/>
    <w:rsid w:val="0054309B"/>
    <w:rsid w:val="00543263"/>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404"/>
    <w:rsid w:val="005606B6"/>
    <w:rsid w:val="005608D6"/>
    <w:rsid w:val="00560F19"/>
    <w:rsid w:val="005618C1"/>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4F3D"/>
    <w:rsid w:val="00575DF4"/>
    <w:rsid w:val="00576D65"/>
    <w:rsid w:val="0057765D"/>
    <w:rsid w:val="005777FC"/>
    <w:rsid w:val="005779F3"/>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87"/>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3FE7"/>
    <w:rsid w:val="005A3FEA"/>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DE5"/>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1C"/>
    <w:rsid w:val="005C5143"/>
    <w:rsid w:val="005C5639"/>
    <w:rsid w:val="005C5742"/>
    <w:rsid w:val="005C760E"/>
    <w:rsid w:val="005C7E9E"/>
    <w:rsid w:val="005D18C9"/>
    <w:rsid w:val="005D1B72"/>
    <w:rsid w:val="005D23BD"/>
    <w:rsid w:val="005D2471"/>
    <w:rsid w:val="005D25A3"/>
    <w:rsid w:val="005D2779"/>
    <w:rsid w:val="005D2E2A"/>
    <w:rsid w:val="005D3242"/>
    <w:rsid w:val="005D610C"/>
    <w:rsid w:val="005D70A8"/>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3D5"/>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6C69"/>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27F21"/>
    <w:rsid w:val="0063164E"/>
    <w:rsid w:val="0063191D"/>
    <w:rsid w:val="00632E08"/>
    <w:rsid w:val="00633224"/>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93"/>
    <w:rsid w:val="006626E8"/>
    <w:rsid w:val="0066271C"/>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70"/>
    <w:rsid w:val="0068703C"/>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3C9"/>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6D3"/>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172"/>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A69"/>
    <w:rsid w:val="006F5CC1"/>
    <w:rsid w:val="006F608D"/>
    <w:rsid w:val="006F67A5"/>
    <w:rsid w:val="006F73E1"/>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C32"/>
    <w:rsid w:val="00730EA6"/>
    <w:rsid w:val="00731C15"/>
    <w:rsid w:val="00732045"/>
    <w:rsid w:val="007322A0"/>
    <w:rsid w:val="007326CB"/>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6963"/>
    <w:rsid w:val="00767793"/>
    <w:rsid w:val="007679D8"/>
    <w:rsid w:val="0077075C"/>
    <w:rsid w:val="00770803"/>
    <w:rsid w:val="00771319"/>
    <w:rsid w:val="007713E8"/>
    <w:rsid w:val="00771794"/>
    <w:rsid w:val="00771CCF"/>
    <w:rsid w:val="00771F7D"/>
    <w:rsid w:val="00772C3E"/>
    <w:rsid w:val="00772E76"/>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3F96"/>
    <w:rsid w:val="007B5401"/>
    <w:rsid w:val="007B5FB4"/>
    <w:rsid w:val="007B6B2B"/>
    <w:rsid w:val="007B70F4"/>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313"/>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242"/>
    <w:rsid w:val="007E48DD"/>
    <w:rsid w:val="007E57DE"/>
    <w:rsid w:val="007E5902"/>
    <w:rsid w:val="007E6719"/>
    <w:rsid w:val="007E68ED"/>
    <w:rsid w:val="007E69ED"/>
    <w:rsid w:val="007E7B2D"/>
    <w:rsid w:val="007F0221"/>
    <w:rsid w:val="007F034B"/>
    <w:rsid w:val="007F0404"/>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17EF3"/>
    <w:rsid w:val="0082000D"/>
    <w:rsid w:val="0082037E"/>
    <w:rsid w:val="00820C9C"/>
    <w:rsid w:val="00820F55"/>
    <w:rsid w:val="00821572"/>
    <w:rsid w:val="00821919"/>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69"/>
    <w:rsid w:val="0085118C"/>
    <w:rsid w:val="00851728"/>
    <w:rsid w:val="00851DFF"/>
    <w:rsid w:val="00853064"/>
    <w:rsid w:val="00853084"/>
    <w:rsid w:val="00853142"/>
    <w:rsid w:val="008540A6"/>
    <w:rsid w:val="00854420"/>
    <w:rsid w:val="00854481"/>
    <w:rsid w:val="008574B6"/>
    <w:rsid w:val="00857591"/>
    <w:rsid w:val="00857E88"/>
    <w:rsid w:val="008612DB"/>
    <w:rsid w:val="00861B57"/>
    <w:rsid w:val="00862AC4"/>
    <w:rsid w:val="008630CC"/>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01DD"/>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C72"/>
    <w:rsid w:val="008B04F2"/>
    <w:rsid w:val="008B0D0E"/>
    <w:rsid w:val="008B12BB"/>
    <w:rsid w:val="008B1411"/>
    <w:rsid w:val="008B17A2"/>
    <w:rsid w:val="008B25F2"/>
    <w:rsid w:val="008B2643"/>
    <w:rsid w:val="008B2AE0"/>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6F95"/>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10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B07"/>
    <w:rsid w:val="00901F59"/>
    <w:rsid w:val="00902E5B"/>
    <w:rsid w:val="00903FD9"/>
    <w:rsid w:val="00904CF5"/>
    <w:rsid w:val="009050D7"/>
    <w:rsid w:val="00905259"/>
    <w:rsid w:val="0090556C"/>
    <w:rsid w:val="00905633"/>
    <w:rsid w:val="00905EAE"/>
    <w:rsid w:val="009060C4"/>
    <w:rsid w:val="00906C91"/>
    <w:rsid w:val="00906C95"/>
    <w:rsid w:val="00907656"/>
    <w:rsid w:val="009077DE"/>
    <w:rsid w:val="00907E47"/>
    <w:rsid w:val="009107BA"/>
    <w:rsid w:val="009115EF"/>
    <w:rsid w:val="009116DD"/>
    <w:rsid w:val="00912D1C"/>
    <w:rsid w:val="00912F15"/>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1FFB"/>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2D1"/>
    <w:rsid w:val="009507C8"/>
    <w:rsid w:val="0095115E"/>
    <w:rsid w:val="0095118A"/>
    <w:rsid w:val="00952468"/>
    <w:rsid w:val="00954767"/>
    <w:rsid w:val="0095487A"/>
    <w:rsid w:val="009548F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1F1B"/>
    <w:rsid w:val="0097216F"/>
    <w:rsid w:val="00972C3B"/>
    <w:rsid w:val="00973057"/>
    <w:rsid w:val="00973604"/>
    <w:rsid w:val="00974D50"/>
    <w:rsid w:val="009751AF"/>
    <w:rsid w:val="00975326"/>
    <w:rsid w:val="009757C3"/>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923"/>
    <w:rsid w:val="009B1B0E"/>
    <w:rsid w:val="009B2596"/>
    <w:rsid w:val="009B42B6"/>
    <w:rsid w:val="009B42CC"/>
    <w:rsid w:val="009B43D6"/>
    <w:rsid w:val="009B504A"/>
    <w:rsid w:val="009B5081"/>
    <w:rsid w:val="009B6985"/>
    <w:rsid w:val="009B69B3"/>
    <w:rsid w:val="009B7011"/>
    <w:rsid w:val="009B71E4"/>
    <w:rsid w:val="009C04EE"/>
    <w:rsid w:val="009C0CD4"/>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2EF"/>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5ED"/>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5898"/>
    <w:rsid w:val="00A05ED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06B"/>
    <w:rsid w:val="00A14DC2"/>
    <w:rsid w:val="00A14DD6"/>
    <w:rsid w:val="00A15D5E"/>
    <w:rsid w:val="00A161F8"/>
    <w:rsid w:val="00A169FA"/>
    <w:rsid w:val="00A1766A"/>
    <w:rsid w:val="00A1796C"/>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705"/>
    <w:rsid w:val="00A40ED7"/>
    <w:rsid w:val="00A40F83"/>
    <w:rsid w:val="00A412BA"/>
    <w:rsid w:val="00A41416"/>
    <w:rsid w:val="00A4200D"/>
    <w:rsid w:val="00A42427"/>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889"/>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7FA"/>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280"/>
    <w:rsid w:val="00AA0C3A"/>
    <w:rsid w:val="00AA1723"/>
    <w:rsid w:val="00AA190D"/>
    <w:rsid w:val="00AA1FDD"/>
    <w:rsid w:val="00AA22C3"/>
    <w:rsid w:val="00AA230D"/>
    <w:rsid w:val="00AA40A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B22"/>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3E5D"/>
    <w:rsid w:val="00B04CE3"/>
    <w:rsid w:val="00B04CEA"/>
    <w:rsid w:val="00B05607"/>
    <w:rsid w:val="00B0565F"/>
    <w:rsid w:val="00B05A08"/>
    <w:rsid w:val="00B05F14"/>
    <w:rsid w:val="00B0632C"/>
    <w:rsid w:val="00B06737"/>
    <w:rsid w:val="00B0784C"/>
    <w:rsid w:val="00B079BE"/>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17EA9"/>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526"/>
    <w:rsid w:val="00B50E18"/>
    <w:rsid w:val="00B513A9"/>
    <w:rsid w:val="00B51568"/>
    <w:rsid w:val="00B51610"/>
    <w:rsid w:val="00B5167B"/>
    <w:rsid w:val="00B520E3"/>
    <w:rsid w:val="00B52336"/>
    <w:rsid w:val="00B5314C"/>
    <w:rsid w:val="00B5388C"/>
    <w:rsid w:val="00B554AC"/>
    <w:rsid w:val="00B55CED"/>
    <w:rsid w:val="00B55D57"/>
    <w:rsid w:val="00B55F80"/>
    <w:rsid w:val="00B56480"/>
    <w:rsid w:val="00B565D6"/>
    <w:rsid w:val="00B56C66"/>
    <w:rsid w:val="00B576A4"/>
    <w:rsid w:val="00B57998"/>
    <w:rsid w:val="00B57CD0"/>
    <w:rsid w:val="00B57DA9"/>
    <w:rsid w:val="00B60177"/>
    <w:rsid w:val="00B60639"/>
    <w:rsid w:val="00B6308E"/>
    <w:rsid w:val="00B63A8F"/>
    <w:rsid w:val="00B63D58"/>
    <w:rsid w:val="00B64E8A"/>
    <w:rsid w:val="00B6507C"/>
    <w:rsid w:val="00B65588"/>
    <w:rsid w:val="00B658D1"/>
    <w:rsid w:val="00B66064"/>
    <w:rsid w:val="00B6651B"/>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3E80"/>
    <w:rsid w:val="00B84FB4"/>
    <w:rsid w:val="00B8756E"/>
    <w:rsid w:val="00B87A7D"/>
    <w:rsid w:val="00B87DF9"/>
    <w:rsid w:val="00B91951"/>
    <w:rsid w:val="00B91A58"/>
    <w:rsid w:val="00B91EAD"/>
    <w:rsid w:val="00B920B9"/>
    <w:rsid w:val="00B930D2"/>
    <w:rsid w:val="00B937CD"/>
    <w:rsid w:val="00B938BC"/>
    <w:rsid w:val="00B93997"/>
    <w:rsid w:val="00B93C98"/>
    <w:rsid w:val="00B95ACA"/>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1D70"/>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000"/>
    <w:rsid w:val="00BD7FF4"/>
    <w:rsid w:val="00BE1061"/>
    <w:rsid w:val="00BE1321"/>
    <w:rsid w:val="00BE2893"/>
    <w:rsid w:val="00BE2EB4"/>
    <w:rsid w:val="00BE2F5A"/>
    <w:rsid w:val="00BE357D"/>
    <w:rsid w:val="00BE37D3"/>
    <w:rsid w:val="00BE4098"/>
    <w:rsid w:val="00BE522A"/>
    <w:rsid w:val="00BE57B5"/>
    <w:rsid w:val="00BE5ABE"/>
    <w:rsid w:val="00BE7A7C"/>
    <w:rsid w:val="00BE7FF1"/>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39"/>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2F6"/>
    <w:rsid w:val="00C119AD"/>
    <w:rsid w:val="00C1228D"/>
    <w:rsid w:val="00C13E0E"/>
    <w:rsid w:val="00C13FED"/>
    <w:rsid w:val="00C14E7D"/>
    <w:rsid w:val="00C15722"/>
    <w:rsid w:val="00C16103"/>
    <w:rsid w:val="00C16897"/>
    <w:rsid w:val="00C16AB4"/>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175"/>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68AE"/>
    <w:rsid w:val="00C577F7"/>
    <w:rsid w:val="00C60667"/>
    <w:rsid w:val="00C61AB9"/>
    <w:rsid w:val="00C61F84"/>
    <w:rsid w:val="00C62FF7"/>
    <w:rsid w:val="00C63135"/>
    <w:rsid w:val="00C637DC"/>
    <w:rsid w:val="00C63EE8"/>
    <w:rsid w:val="00C64080"/>
    <w:rsid w:val="00C6432E"/>
    <w:rsid w:val="00C65718"/>
    <w:rsid w:val="00C65B9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9FA"/>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62DD"/>
    <w:rsid w:val="00CA69BA"/>
    <w:rsid w:val="00CA77E5"/>
    <w:rsid w:val="00CA7B0F"/>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D7C21"/>
    <w:rsid w:val="00CE157C"/>
    <w:rsid w:val="00CE1665"/>
    <w:rsid w:val="00CE1AF6"/>
    <w:rsid w:val="00CE2298"/>
    <w:rsid w:val="00CE2E78"/>
    <w:rsid w:val="00CE3064"/>
    <w:rsid w:val="00CE39E4"/>
    <w:rsid w:val="00CE4282"/>
    <w:rsid w:val="00CE54E1"/>
    <w:rsid w:val="00CE55B6"/>
    <w:rsid w:val="00CE5856"/>
    <w:rsid w:val="00CE5BDE"/>
    <w:rsid w:val="00CE6647"/>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512"/>
    <w:rsid w:val="00D14C15"/>
    <w:rsid w:val="00D14D0E"/>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748"/>
    <w:rsid w:val="00D32EC3"/>
    <w:rsid w:val="00D32EF4"/>
    <w:rsid w:val="00D33F81"/>
    <w:rsid w:val="00D34850"/>
    <w:rsid w:val="00D3486B"/>
    <w:rsid w:val="00D34F8E"/>
    <w:rsid w:val="00D35060"/>
    <w:rsid w:val="00D369D4"/>
    <w:rsid w:val="00D36AD7"/>
    <w:rsid w:val="00D373E9"/>
    <w:rsid w:val="00D37C61"/>
    <w:rsid w:val="00D403FF"/>
    <w:rsid w:val="00D404C4"/>
    <w:rsid w:val="00D40CE9"/>
    <w:rsid w:val="00D40D0B"/>
    <w:rsid w:val="00D42115"/>
    <w:rsid w:val="00D4213F"/>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5235"/>
    <w:rsid w:val="00D55D78"/>
    <w:rsid w:val="00D57071"/>
    <w:rsid w:val="00D5714E"/>
    <w:rsid w:val="00D572B2"/>
    <w:rsid w:val="00D57F53"/>
    <w:rsid w:val="00D60710"/>
    <w:rsid w:val="00D60CAB"/>
    <w:rsid w:val="00D610FD"/>
    <w:rsid w:val="00D612AF"/>
    <w:rsid w:val="00D619F3"/>
    <w:rsid w:val="00D627A8"/>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67E22"/>
    <w:rsid w:val="00D7009C"/>
    <w:rsid w:val="00D70F17"/>
    <w:rsid w:val="00D712DA"/>
    <w:rsid w:val="00D719EF"/>
    <w:rsid w:val="00D72327"/>
    <w:rsid w:val="00D727E0"/>
    <w:rsid w:val="00D72B87"/>
    <w:rsid w:val="00D72C08"/>
    <w:rsid w:val="00D72C72"/>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6C7"/>
    <w:rsid w:val="00D8290E"/>
    <w:rsid w:val="00D82AD1"/>
    <w:rsid w:val="00D82E6E"/>
    <w:rsid w:val="00D83040"/>
    <w:rsid w:val="00D8323B"/>
    <w:rsid w:val="00D83489"/>
    <w:rsid w:val="00D83D13"/>
    <w:rsid w:val="00D841AC"/>
    <w:rsid w:val="00D8589D"/>
    <w:rsid w:val="00D85A81"/>
    <w:rsid w:val="00D86466"/>
    <w:rsid w:val="00D864D5"/>
    <w:rsid w:val="00D870E8"/>
    <w:rsid w:val="00D87423"/>
    <w:rsid w:val="00D87452"/>
    <w:rsid w:val="00D87485"/>
    <w:rsid w:val="00D87E58"/>
    <w:rsid w:val="00D907CB"/>
    <w:rsid w:val="00D91BF2"/>
    <w:rsid w:val="00D93873"/>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641"/>
    <w:rsid w:val="00DA4838"/>
    <w:rsid w:val="00DA4989"/>
    <w:rsid w:val="00DA5721"/>
    <w:rsid w:val="00DA6173"/>
    <w:rsid w:val="00DA6F61"/>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101"/>
    <w:rsid w:val="00DC4D1D"/>
    <w:rsid w:val="00DC4D87"/>
    <w:rsid w:val="00DC54EB"/>
    <w:rsid w:val="00DC580A"/>
    <w:rsid w:val="00DC5B50"/>
    <w:rsid w:val="00DC66BC"/>
    <w:rsid w:val="00DC727F"/>
    <w:rsid w:val="00DC7E78"/>
    <w:rsid w:val="00DD0493"/>
    <w:rsid w:val="00DD0924"/>
    <w:rsid w:val="00DD0AA4"/>
    <w:rsid w:val="00DD0CBF"/>
    <w:rsid w:val="00DD1071"/>
    <w:rsid w:val="00DD12FD"/>
    <w:rsid w:val="00DD1576"/>
    <w:rsid w:val="00DD2893"/>
    <w:rsid w:val="00DD4717"/>
    <w:rsid w:val="00DD4F74"/>
    <w:rsid w:val="00DD531F"/>
    <w:rsid w:val="00DD556C"/>
    <w:rsid w:val="00DD5737"/>
    <w:rsid w:val="00DD5E81"/>
    <w:rsid w:val="00DD6200"/>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18"/>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4155"/>
    <w:rsid w:val="00E4441D"/>
    <w:rsid w:val="00E453AB"/>
    <w:rsid w:val="00E462E6"/>
    <w:rsid w:val="00E463A0"/>
    <w:rsid w:val="00E465B5"/>
    <w:rsid w:val="00E47839"/>
    <w:rsid w:val="00E513CF"/>
    <w:rsid w:val="00E51CDE"/>
    <w:rsid w:val="00E5210B"/>
    <w:rsid w:val="00E52CD4"/>
    <w:rsid w:val="00E53631"/>
    <w:rsid w:val="00E5388F"/>
    <w:rsid w:val="00E54239"/>
    <w:rsid w:val="00E54272"/>
    <w:rsid w:val="00E542BC"/>
    <w:rsid w:val="00E54521"/>
    <w:rsid w:val="00E54617"/>
    <w:rsid w:val="00E5484B"/>
    <w:rsid w:val="00E56023"/>
    <w:rsid w:val="00E56471"/>
    <w:rsid w:val="00E56BC2"/>
    <w:rsid w:val="00E56D6E"/>
    <w:rsid w:val="00E56ED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192B"/>
    <w:rsid w:val="00E922C4"/>
    <w:rsid w:val="00E943AE"/>
    <w:rsid w:val="00E947B0"/>
    <w:rsid w:val="00E952C8"/>
    <w:rsid w:val="00E95D82"/>
    <w:rsid w:val="00E95F21"/>
    <w:rsid w:val="00E96273"/>
    <w:rsid w:val="00E96E97"/>
    <w:rsid w:val="00E97D49"/>
    <w:rsid w:val="00EA0251"/>
    <w:rsid w:val="00EA1065"/>
    <w:rsid w:val="00EA1434"/>
    <w:rsid w:val="00EA16B6"/>
    <w:rsid w:val="00EA1C80"/>
    <w:rsid w:val="00EA3C3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0ED4"/>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5C63"/>
    <w:rsid w:val="00EC650B"/>
    <w:rsid w:val="00EC7808"/>
    <w:rsid w:val="00EC7BFA"/>
    <w:rsid w:val="00ED042E"/>
    <w:rsid w:val="00ED1295"/>
    <w:rsid w:val="00ED2725"/>
    <w:rsid w:val="00ED2F9A"/>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3BC1"/>
    <w:rsid w:val="00EF4D42"/>
    <w:rsid w:val="00EF4FD1"/>
    <w:rsid w:val="00EF5318"/>
    <w:rsid w:val="00EF599F"/>
    <w:rsid w:val="00EF68A7"/>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004"/>
    <w:rsid w:val="00F126BD"/>
    <w:rsid w:val="00F13433"/>
    <w:rsid w:val="00F134FC"/>
    <w:rsid w:val="00F1350E"/>
    <w:rsid w:val="00F1431C"/>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55E3"/>
    <w:rsid w:val="00F46AC4"/>
    <w:rsid w:val="00F473A5"/>
    <w:rsid w:val="00F473F3"/>
    <w:rsid w:val="00F474B8"/>
    <w:rsid w:val="00F478CA"/>
    <w:rsid w:val="00F47CE2"/>
    <w:rsid w:val="00F501F3"/>
    <w:rsid w:val="00F50A98"/>
    <w:rsid w:val="00F50E5F"/>
    <w:rsid w:val="00F51460"/>
    <w:rsid w:val="00F51667"/>
    <w:rsid w:val="00F5179E"/>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2808"/>
    <w:rsid w:val="00F63E59"/>
    <w:rsid w:val="00F64915"/>
    <w:rsid w:val="00F64BE0"/>
    <w:rsid w:val="00F65B68"/>
    <w:rsid w:val="00F67846"/>
    <w:rsid w:val="00F67B42"/>
    <w:rsid w:val="00F70B72"/>
    <w:rsid w:val="00F70DEF"/>
    <w:rsid w:val="00F70EA3"/>
    <w:rsid w:val="00F71398"/>
    <w:rsid w:val="00F7294C"/>
    <w:rsid w:val="00F72C5F"/>
    <w:rsid w:val="00F73549"/>
    <w:rsid w:val="00F73FB2"/>
    <w:rsid w:val="00F7451B"/>
    <w:rsid w:val="00F75782"/>
    <w:rsid w:val="00F759E0"/>
    <w:rsid w:val="00F80C1D"/>
    <w:rsid w:val="00F81130"/>
    <w:rsid w:val="00F81469"/>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72"/>
    <w:rsid w:val="00FB12D8"/>
    <w:rsid w:val="00FB176A"/>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003"/>
    <w:rsid w:val="00FF01FA"/>
    <w:rsid w:val="00FF1472"/>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0633A3FF"/>
    <w:rsid w:val="0D89C1A1"/>
    <w:rsid w:val="16521504"/>
    <w:rsid w:val="1EF9A3B3"/>
    <w:rsid w:val="264E0A26"/>
    <w:rsid w:val="285D71B0"/>
    <w:rsid w:val="2880EEC8"/>
    <w:rsid w:val="292460BA"/>
    <w:rsid w:val="3B287823"/>
    <w:rsid w:val="3D150C41"/>
    <w:rsid w:val="4232AE4E"/>
    <w:rsid w:val="4C20648D"/>
    <w:rsid w:val="501AC076"/>
    <w:rsid w:val="58198A85"/>
    <w:rsid w:val="595AFF40"/>
    <w:rsid w:val="5F285EFA"/>
    <w:rsid w:val="68BE6D90"/>
    <w:rsid w:val="6B038DBB"/>
    <w:rsid w:val="6EEEC455"/>
    <w:rsid w:val="71686EE8"/>
    <w:rsid w:val="7AB00F7A"/>
    <w:rsid w:val="7E9DAD5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E920FF4A-4140-4A3D-89D6-20F8D25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B50526"/>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B50526"/>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autoRedefine/>
    <w:qFormat/>
    <w:rsid w:val="00CD7C21"/>
    <w:pPr>
      <w:spacing w:before="60" w:after="60" w:line="240" w:lineRule="atLeast"/>
      <w:jc w:val="left"/>
    </w:pPr>
    <w:rPr>
      <w:sz w:val="18"/>
    </w:rPr>
  </w:style>
  <w:style w:type="paragraph" w:customStyle="1" w:styleId="TableTextbold">
    <w:name w:val="TableText bold"/>
    <w:basedOn w:val="Normal"/>
    <w:autoRedefine/>
    <w:qFormat/>
    <w:rsid w:val="00560404"/>
    <w:rPr>
      <w:rFonts w:asciiTheme="minorHAnsi" w:hAnsiTheme="minorHAnsi"/>
      <w:bCs/>
      <w:color w:val="FFFFFF" w:themeColor="background1"/>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D57071"/>
    <w:pPr>
      <w:spacing w:line="400" w:lineRule="exact"/>
    </w:pPr>
    <w:rPr>
      <w:color w:val="32809C" w:themeColor="accent2"/>
      <w:sz w:val="32"/>
      <w:szCs w:val="32"/>
    </w:rPr>
  </w:style>
  <w:style w:type="character" w:styleId="Mention">
    <w:name w:val="Mention"/>
    <w:basedOn w:val="DefaultParagraphFont"/>
    <w:uiPriority w:val="99"/>
    <w:unhideWhenUsed/>
    <w:rsid w:val="00506557"/>
    <w:rPr>
      <w:color w:val="2B579A"/>
      <w:shd w:val="clear" w:color="auto" w:fill="E6E6E6"/>
    </w:rPr>
  </w:style>
  <w:style w:type="paragraph" w:customStyle="1" w:styleId="paragraph">
    <w:name w:val="paragraph"/>
    <w:basedOn w:val="Normal"/>
    <w:rsid w:val="00506557"/>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58847327">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publications/waste-levy-filing-a-waste-return/" TargetMode="External"/><Relationship Id="rId18" Type="http://schemas.openxmlformats.org/officeDocument/2006/relationships/hyperlink" Target="mailto:info@wastelevy.govt.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wastedataregsupport@mfe.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vironment.govt.nz/assets/publications/Waste/Measuring-waste-tonnages-fact-sheet.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nvironment.govt.nz/publications/waste-data-how-to-record-and-report-the-activity-category"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nvironment.govt.nz/what-government-is-doing/areas-of-work/waste/waste-disposal-levy/waste-disposal-levy-information-for-site-operato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facts-and-science/waste/waste-facilities-and-dispos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69ac39cd43e1d0c5cfb9234e6fb1c3d">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a8b803c479febee59a7c559bf882883"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ECM-1122293896-117297</_dlc_DocId>
    <_dlc_DocIdUrl xmlns="58a6f171-52cb-4404-b47d-af1c8daf8fd1">
      <Url>https://ministryforenvironment.sharepoint.com/sites/ECM-ER-Comms/_layouts/15/DocIdRedir.aspx?ID=ECM-1122293896-117297</Url>
      <Description>ECM-1122293896-117297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7017E770-6109-4E38-88F1-C68C63164D2D}">
  <ds:schemaRefs>
    <ds:schemaRef ds:uri="http://schemas.microsoft.com/sharepoint/events"/>
  </ds:schemaRefs>
</ds:datastoreItem>
</file>

<file path=customXml/itemProps3.xml><?xml version="1.0" encoding="utf-8"?>
<ds:datastoreItem xmlns:ds="http://schemas.openxmlformats.org/officeDocument/2006/customXml" ds:itemID="{BFCA2AB9-BF09-42FB-B4C1-16645CF88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82A9D-DC48-4629-895C-D762F7C3ACF5}">
  <ds:schemaRefs>
    <ds:schemaRef ds:uri="http://purl.org/dc/terms/"/>
    <ds:schemaRef ds:uri="4a94300e-a927-4b92-9d3a-682523035cb6"/>
    <ds:schemaRef ds:uri="http://www.w3.org/XML/1998/namespace"/>
    <ds:schemaRef ds:uri="http://schemas.microsoft.com/sharepoint/v3"/>
    <ds:schemaRef ds:uri="http://schemas.microsoft.com/office/infopath/2007/PartnerControls"/>
    <ds:schemaRef ds:uri="http://schemas.microsoft.com/office/2006/documentManagement/types"/>
    <ds:schemaRef ds:uri="0a5b0190-e301-4766-933d-448c7c363fce"/>
    <ds:schemaRef ds:uri="http://schemas.openxmlformats.org/package/2006/metadata/core-properties"/>
    <ds:schemaRef ds:uri="http://purl.org/dc/dcmitype/"/>
    <ds:schemaRef ds:uri="http://purl.org/dc/elements/1.1/"/>
    <ds:schemaRef ds:uri="http://schemas.microsoft.com/sharepoint/v4"/>
    <ds:schemaRef ds:uri="58a6f171-52cb-4404-b47d-af1c8daf8fd1"/>
    <ds:schemaRef ds:uri="http://schemas.microsoft.com/office/2006/metadata/properties"/>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Links>
    <vt:vector size="60" baseType="variant">
      <vt:variant>
        <vt:i4>1572886</vt:i4>
      </vt:variant>
      <vt:variant>
        <vt:i4>27</vt:i4>
      </vt:variant>
      <vt:variant>
        <vt:i4>0</vt:i4>
      </vt:variant>
      <vt:variant>
        <vt:i4>5</vt:i4>
      </vt:variant>
      <vt:variant>
        <vt:lpwstr>https://environment.govt.nz/what-government-is-doing/areas-of-work/waste/waste-disposal-levy/waste-disposal-levy-information-for-site-operators/</vt:lpwstr>
      </vt:variant>
      <vt:variant>
        <vt:lpwstr/>
      </vt:variant>
      <vt:variant>
        <vt:i4>7929865</vt:i4>
      </vt:variant>
      <vt:variant>
        <vt:i4>24</vt:i4>
      </vt:variant>
      <vt:variant>
        <vt:i4>0</vt:i4>
      </vt:variant>
      <vt:variant>
        <vt:i4>5</vt:i4>
      </vt:variant>
      <vt:variant>
        <vt:lpwstr>mailto:info@wastelevy.govt.nz</vt:lpwstr>
      </vt:variant>
      <vt:variant>
        <vt:lpwstr/>
      </vt:variant>
      <vt:variant>
        <vt:i4>3342416</vt:i4>
      </vt:variant>
      <vt:variant>
        <vt:i4>21</vt:i4>
      </vt:variant>
      <vt:variant>
        <vt:i4>0</vt:i4>
      </vt:variant>
      <vt:variant>
        <vt:i4>5</vt:i4>
      </vt:variant>
      <vt:variant>
        <vt:lpwstr>mailto:wastedataregsupport@mfe.govt.nz</vt:lpwstr>
      </vt:variant>
      <vt:variant>
        <vt:lpwstr/>
      </vt:variant>
      <vt:variant>
        <vt:i4>393219</vt:i4>
      </vt:variant>
      <vt:variant>
        <vt:i4>18</vt:i4>
      </vt:variant>
      <vt:variant>
        <vt:i4>0</vt:i4>
      </vt:variant>
      <vt:variant>
        <vt:i4>5</vt:i4>
      </vt:variant>
      <vt:variant>
        <vt:lpwstr>https://environment.govt.nz/assets/publications/Waste/Measuring-waste-tonnages-fact-sheet.pdf</vt:lpwstr>
      </vt:variant>
      <vt:variant>
        <vt:lpwstr/>
      </vt:variant>
      <vt:variant>
        <vt:i4>2555964</vt:i4>
      </vt:variant>
      <vt:variant>
        <vt:i4>15</vt:i4>
      </vt:variant>
      <vt:variant>
        <vt:i4>0</vt:i4>
      </vt:variant>
      <vt:variant>
        <vt:i4>5</vt:i4>
      </vt:variant>
      <vt:variant>
        <vt:lpwstr>https://environment.govt.nz/publications/waste-data-how-to-record-and-report-the-activity-category</vt:lpwstr>
      </vt:variant>
      <vt:variant>
        <vt:lpwstr/>
      </vt:variant>
      <vt:variant>
        <vt:i4>7667817</vt:i4>
      </vt:variant>
      <vt:variant>
        <vt:i4>3</vt:i4>
      </vt:variant>
      <vt:variant>
        <vt:i4>0</vt:i4>
      </vt:variant>
      <vt:variant>
        <vt:i4>5</vt:i4>
      </vt:variant>
      <vt:variant>
        <vt:lpwstr>https://environment.govt.nz/facts-and-science/waste/waste-facilities-and-disposal/</vt:lpwstr>
      </vt:variant>
      <vt:variant>
        <vt:lpwstr/>
      </vt:variant>
      <vt:variant>
        <vt:i4>7733295</vt:i4>
      </vt:variant>
      <vt:variant>
        <vt:i4>0</vt:i4>
      </vt:variant>
      <vt:variant>
        <vt:i4>0</vt:i4>
      </vt:variant>
      <vt:variant>
        <vt:i4>5</vt:i4>
      </vt:variant>
      <vt:variant>
        <vt:lpwstr>https://environment.govt.nz/publications/waste-levy-filing-a-waste-return/</vt:lpwstr>
      </vt:variant>
      <vt:variant>
        <vt:lpwstr/>
      </vt:variant>
      <vt:variant>
        <vt:i4>4915321</vt:i4>
      </vt:variant>
      <vt:variant>
        <vt:i4>6</vt:i4>
      </vt:variant>
      <vt:variant>
        <vt:i4>0</vt:i4>
      </vt:variant>
      <vt:variant>
        <vt:i4>5</vt:i4>
      </vt:variant>
      <vt:variant>
        <vt:lpwstr>mailto:Anna.Herbert@mfe.govt.nz</vt:lpwstr>
      </vt:variant>
      <vt:variant>
        <vt:lpwstr/>
      </vt:variant>
      <vt:variant>
        <vt:i4>4915321</vt:i4>
      </vt:variant>
      <vt:variant>
        <vt:i4>3</vt:i4>
      </vt:variant>
      <vt:variant>
        <vt:i4>0</vt:i4>
      </vt:variant>
      <vt:variant>
        <vt:i4>5</vt:i4>
      </vt:variant>
      <vt:variant>
        <vt:lpwstr>mailto:Anna.Herbert@mfe.govt.nz</vt:lpwstr>
      </vt:variant>
      <vt:variant>
        <vt:lpwstr/>
      </vt:variant>
      <vt:variant>
        <vt:i4>4915321</vt:i4>
      </vt:variant>
      <vt:variant>
        <vt:i4>0</vt:i4>
      </vt:variant>
      <vt:variant>
        <vt:i4>0</vt:i4>
      </vt:variant>
      <vt:variant>
        <vt:i4>5</vt:i4>
      </vt:variant>
      <vt:variant>
        <vt:lpwstr>mailto:Anna.Herbert@mfe.govt.nz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Lisette Du Plessis</cp:lastModifiedBy>
  <cp:revision>81</cp:revision>
  <cp:lastPrinted>2024-06-12T00:28:00Z</cp:lastPrinted>
  <dcterms:created xsi:type="dcterms:W3CDTF">2024-04-18T09:01:00Z</dcterms:created>
  <dcterms:modified xsi:type="dcterms:W3CDTF">2024-06-12T00:28:00Z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MediaServiceImageTags">
    <vt:lpwstr/>
  </property>
  <property fmtid="{D5CDD505-2E9C-101B-9397-08002B2CF9AE}" pid="10" name="ContentTypeId">
    <vt:lpwstr>0x010100EA5FB0BEBF7DE54D9F252D8A06C053F7</vt:lpwstr>
  </property>
  <property fmtid="{D5CDD505-2E9C-101B-9397-08002B2CF9AE}" pid="11" name="_dlc_DocIdItemGuid">
    <vt:lpwstr>81836b21-131e-43f2-b396-5cb0689a8ce1</vt:lpwstr>
  </property>
</Properties>
</file>