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AC06" w14:textId="394B3657" w:rsidR="00BE3AA6" w:rsidRPr="00195B67" w:rsidRDefault="00381561" w:rsidP="00BE3AA6">
      <w:pPr>
        <w:pStyle w:val="Title"/>
      </w:pPr>
      <w:r>
        <w:rPr>
          <w:noProof/>
        </w:rPr>
        <w:drawing>
          <wp:anchor distT="0" distB="0" distL="114300" distR="114300" simplePos="0" relativeHeight="251661312" behindDoc="0" locked="0" layoutInCell="1" allowOverlap="1" wp14:anchorId="15707190" wp14:editId="3E375D0D">
            <wp:simplePos x="0" y="0"/>
            <wp:positionH relativeFrom="column">
              <wp:posOffset>-1253177</wp:posOffset>
            </wp:positionH>
            <wp:positionV relativeFrom="paragraph">
              <wp:posOffset>-784225</wp:posOffset>
            </wp:positionV>
            <wp:extent cx="7724644" cy="10918746"/>
            <wp:effectExtent l="0" t="0" r="0" b="0"/>
            <wp:wrapNone/>
            <wp:docPr id="78" name="Picture 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24644" cy="10918746"/>
                    </a:xfrm>
                    <a:prstGeom prst="rect">
                      <a:avLst/>
                    </a:prstGeom>
                  </pic:spPr>
                </pic:pic>
              </a:graphicData>
            </a:graphic>
            <wp14:sizeRelH relativeFrom="page">
              <wp14:pctWidth>0</wp14:pctWidth>
            </wp14:sizeRelH>
            <wp14:sizeRelV relativeFrom="page">
              <wp14:pctHeight>0</wp14:pctHeight>
            </wp14:sizeRelV>
          </wp:anchor>
        </w:drawing>
      </w:r>
    </w:p>
    <w:p w14:paraId="5EA6164F" w14:textId="77777777" w:rsidR="0080531E" w:rsidRPr="00195B67" w:rsidRDefault="0080531E" w:rsidP="0003640E">
      <w:pPr>
        <w:pStyle w:val="BodyText"/>
      </w:pPr>
    </w:p>
    <w:p w14:paraId="24B2B608" w14:textId="77777777" w:rsidR="0003640E" w:rsidRPr="00195B67" w:rsidRDefault="0003640E" w:rsidP="0003640E">
      <w:pPr>
        <w:pStyle w:val="BodyText"/>
      </w:pPr>
    </w:p>
    <w:p w14:paraId="76FE28DE" w14:textId="77777777" w:rsidR="0003640E" w:rsidRPr="00195B67" w:rsidRDefault="0003640E" w:rsidP="0080531E">
      <w:pPr>
        <w:jc w:val="left"/>
        <w:rPr>
          <w:color w:val="FF0000"/>
        </w:rPr>
        <w:sectPr w:rsidR="0003640E" w:rsidRPr="00195B67" w:rsidSect="00381561">
          <w:headerReference w:type="even" r:id="rId9"/>
          <w:headerReference w:type="default" r:id="rId10"/>
          <w:footerReference w:type="even" r:id="rId11"/>
          <w:footerReference w:type="default" r:id="rId12"/>
          <w:headerReference w:type="first" r:id="rId13"/>
          <w:footerReference w:type="first" r:id="rId14"/>
          <w:pgSz w:w="11907" w:h="16840" w:code="9"/>
          <w:pgMar w:top="0" w:right="1701" w:bottom="0" w:left="1701" w:header="567" w:footer="1134" w:gutter="0"/>
          <w:cols w:space="720"/>
        </w:sectPr>
      </w:pPr>
    </w:p>
    <w:p w14:paraId="458B2B10" w14:textId="77777777" w:rsidR="00D47AEF" w:rsidRPr="008A09D3" w:rsidRDefault="00D47AEF" w:rsidP="00D47AEF">
      <w:pPr>
        <w:pStyle w:val="Imprint"/>
        <w:rPr>
          <w:rStyle w:val="Strong"/>
        </w:rPr>
      </w:pPr>
      <w:bookmarkStart w:id="0" w:name="_Toc50453078"/>
      <w:bookmarkStart w:id="1" w:name="_Toc50637686"/>
      <w:r w:rsidRPr="008A09D3">
        <w:rPr>
          <w:rStyle w:val="Strong"/>
        </w:rPr>
        <w:lastRenderedPageBreak/>
        <w:t>Disclaimer</w:t>
      </w:r>
    </w:p>
    <w:p w14:paraId="06FFD703" w14:textId="77777777" w:rsidR="00D47AEF" w:rsidRPr="008A09D3" w:rsidRDefault="00D47AEF" w:rsidP="00D47AEF">
      <w:pPr>
        <w:pStyle w:val="BodyText"/>
      </w:pPr>
      <w:r w:rsidRPr="008F26BC">
        <w:t>The information in this publication is, according to the Ministry for the Environment’s best efforts, accurate at the time of publication. The Ministry will make every reasonable effort to keep it current and accurate. However, users of this publication are advised that:</w:t>
      </w:r>
      <w:r w:rsidRPr="008A09D3">
        <w:t xml:space="preserve"> </w:t>
      </w:r>
    </w:p>
    <w:p w14:paraId="1FE84B89" w14:textId="77777777" w:rsidR="00D47AEF" w:rsidRDefault="00D47AEF" w:rsidP="00D47AEF">
      <w:pPr>
        <w:pStyle w:val="Bullets"/>
      </w:pPr>
      <w:r>
        <w:t xml:space="preserve">The information does not alter the laws of New Zealand, other official guidelines, or requirements. </w:t>
      </w:r>
    </w:p>
    <w:p w14:paraId="2DA67826" w14:textId="77777777" w:rsidR="00D47AEF" w:rsidRDefault="00D47AEF" w:rsidP="00D47AEF">
      <w:pPr>
        <w:pStyle w:val="Bullets"/>
      </w:pPr>
      <w:r>
        <w:t xml:space="preserve">It does not constitute legal advice, and users should take specific advice from qualified professionals before taking any action based on information in this publication. </w:t>
      </w:r>
    </w:p>
    <w:p w14:paraId="665C182D" w14:textId="77777777" w:rsidR="00D47AEF" w:rsidRDefault="00D47AEF" w:rsidP="00D47AEF">
      <w:pPr>
        <w:pStyle w:val="Bullets"/>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 </w:t>
      </w:r>
    </w:p>
    <w:p w14:paraId="76187666" w14:textId="77777777" w:rsidR="00D47AEF" w:rsidRPr="008A09D3" w:rsidRDefault="00D47AEF" w:rsidP="00D47AEF">
      <w:pPr>
        <w:pStyle w:val="Bullets"/>
        <w:spacing w:after="240"/>
      </w:pPr>
      <w:r>
        <w:t xml:space="preserve">All references to websites, </w:t>
      </w:r>
      <w:proofErr w:type="gramStart"/>
      <w:r>
        <w:t>organisations</w:t>
      </w:r>
      <w:proofErr w:type="gramEnd"/>
      <w:r>
        <w:t xml:space="preserve"> or people not within the Ministry are for convenience only and should not be taken as endorsement of those websites or information contained in those websites nor of organisations or people referred to.</w:t>
      </w:r>
      <w:r w:rsidRPr="008A09D3">
        <w:t xml:space="preserve"> </w:t>
      </w:r>
    </w:p>
    <w:bookmarkEnd w:id="0"/>
    <w:bookmarkEnd w:id="1"/>
    <w:p w14:paraId="2BEAF189" w14:textId="41D6C9BA" w:rsidR="0080531E" w:rsidRPr="00195B67" w:rsidRDefault="0080531E" w:rsidP="0080531E">
      <w:pPr>
        <w:pStyle w:val="Imprint"/>
        <w:rPr>
          <w:b/>
        </w:rPr>
      </w:pPr>
    </w:p>
    <w:p w14:paraId="2FB0603E" w14:textId="62D4C738" w:rsidR="0076379C" w:rsidRPr="00195B67" w:rsidRDefault="0076379C" w:rsidP="0080531E">
      <w:pPr>
        <w:pStyle w:val="Imprint"/>
        <w:rPr>
          <w:bCs/>
        </w:rPr>
      </w:pPr>
      <w:r w:rsidRPr="00195B67">
        <w:rPr>
          <w:bCs/>
        </w:rPr>
        <w:t xml:space="preserve">This document may be cited as: Ministry for the Environment. 2021. </w:t>
      </w:r>
      <w:r w:rsidR="00F32315" w:rsidRPr="00ED6B7D">
        <w:rPr>
          <w:bCs/>
          <w:i/>
          <w:iCs/>
        </w:rPr>
        <w:t xml:space="preserve">Ko </w:t>
      </w:r>
      <w:proofErr w:type="spellStart"/>
      <w:r w:rsidR="00F32315" w:rsidRPr="00ED6B7D">
        <w:rPr>
          <w:bCs/>
          <w:i/>
          <w:iCs/>
        </w:rPr>
        <w:t>te</w:t>
      </w:r>
      <w:proofErr w:type="spellEnd"/>
      <w:r w:rsidR="00F32315" w:rsidRPr="00ED6B7D">
        <w:rPr>
          <w:bCs/>
          <w:i/>
          <w:iCs/>
        </w:rPr>
        <w:t xml:space="preserve"> </w:t>
      </w:r>
      <w:proofErr w:type="spellStart"/>
      <w:r w:rsidR="00F32315" w:rsidRPr="00ED6B7D">
        <w:rPr>
          <w:bCs/>
          <w:i/>
          <w:iCs/>
        </w:rPr>
        <w:t>whakamimiti</w:t>
      </w:r>
      <w:proofErr w:type="spellEnd"/>
      <w:r w:rsidR="00F32315" w:rsidRPr="00ED6B7D">
        <w:rPr>
          <w:bCs/>
          <w:i/>
          <w:iCs/>
        </w:rPr>
        <w:t xml:space="preserve"> </w:t>
      </w:r>
      <w:proofErr w:type="spellStart"/>
      <w:r w:rsidR="00F32315" w:rsidRPr="00ED6B7D">
        <w:rPr>
          <w:bCs/>
          <w:i/>
          <w:iCs/>
        </w:rPr>
        <w:t>i</w:t>
      </w:r>
      <w:proofErr w:type="spellEnd"/>
      <w:r w:rsidR="00F32315" w:rsidRPr="00ED6B7D">
        <w:rPr>
          <w:bCs/>
          <w:i/>
          <w:iCs/>
        </w:rPr>
        <w:t xml:space="preserve"> </w:t>
      </w:r>
      <w:proofErr w:type="spellStart"/>
      <w:r w:rsidR="00F32315" w:rsidRPr="00ED6B7D">
        <w:rPr>
          <w:bCs/>
          <w:i/>
          <w:iCs/>
        </w:rPr>
        <w:t>te</w:t>
      </w:r>
      <w:proofErr w:type="spellEnd"/>
      <w:r w:rsidR="00F32315" w:rsidRPr="00ED6B7D">
        <w:rPr>
          <w:bCs/>
          <w:i/>
          <w:iCs/>
        </w:rPr>
        <w:t xml:space="preserve"> </w:t>
      </w:r>
      <w:proofErr w:type="spellStart"/>
      <w:r w:rsidR="00F32315" w:rsidRPr="00ED6B7D">
        <w:rPr>
          <w:bCs/>
          <w:i/>
          <w:iCs/>
        </w:rPr>
        <w:t>pānga</w:t>
      </w:r>
      <w:proofErr w:type="spellEnd"/>
      <w:r w:rsidR="00F32315" w:rsidRPr="00ED6B7D">
        <w:rPr>
          <w:bCs/>
          <w:i/>
          <w:iCs/>
        </w:rPr>
        <w:t xml:space="preserve"> o </w:t>
      </w:r>
      <w:proofErr w:type="spellStart"/>
      <w:r w:rsidR="00F32315" w:rsidRPr="00ED6B7D">
        <w:rPr>
          <w:bCs/>
          <w:i/>
          <w:iCs/>
        </w:rPr>
        <w:t>te</w:t>
      </w:r>
      <w:proofErr w:type="spellEnd"/>
      <w:r w:rsidR="00F32315" w:rsidRPr="00ED6B7D">
        <w:rPr>
          <w:bCs/>
          <w:i/>
          <w:iCs/>
        </w:rPr>
        <w:t xml:space="preserve"> </w:t>
      </w:r>
      <w:proofErr w:type="spellStart"/>
      <w:r w:rsidR="00F32315" w:rsidRPr="00ED6B7D">
        <w:rPr>
          <w:bCs/>
          <w:i/>
          <w:iCs/>
        </w:rPr>
        <w:t>kirihou</w:t>
      </w:r>
      <w:proofErr w:type="spellEnd"/>
      <w:r w:rsidR="00F32315" w:rsidRPr="00ED6B7D">
        <w:rPr>
          <w:bCs/>
          <w:i/>
          <w:iCs/>
        </w:rPr>
        <w:t xml:space="preserve"> ki </w:t>
      </w:r>
      <w:proofErr w:type="spellStart"/>
      <w:r w:rsidR="00F32315" w:rsidRPr="00ED6B7D">
        <w:rPr>
          <w:bCs/>
          <w:i/>
          <w:iCs/>
        </w:rPr>
        <w:t>tō</w:t>
      </w:r>
      <w:proofErr w:type="spellEnd"/>
      <w:r w:rsidR="00F32315" w:rsidRPr="00ED6B7D">
        <w:rPr>
          <w:bCs/>
          <w:i/>
          <w:iCs/>
        </w:rPr>
        <w:t xml:space="preserve"> </w:t>
      </w:r>
      <w:proofErr w:type="spellStart"/>
      <w:r w:rsidR="00F32315" w:rsidRPr="00ED6B7D">
        <w:rPr>
          <w:bCs/>
          <w:i/>
          <w:iCs/>
        </w:rPr>
        <w:t>tātou</w:t>
      </w:r>
      <w:proofErr w:type="spellEnd"/>
      <w:r w:rsidR="00F32315" w:rsidRPr="00ED6B7D">
        <w:rPr>
          <w:bCs/>
          <w:i/>
          <w:iCs/>
        </w:rPr>
        <w:t xml:space="preserve"> </w:t>
      </w:r>
      <w:proofErr w:type="spellStart"/>
      <w:r w:rsidR="00F32315" w:rsidRPr="00ED6B7D">
        <w:rPr>
          <w:bCs/>
          <w:i/>
          <w:iCs/>
        </w:rPr>
        <w:t>taiao</w:t>
      </w:r>
      <w:proofErr w:type="spellEnd"/>
      <w:r w:rsidR="00F32315" w:rsidRPr="00195B67">
        <w:rPr>
          <w:bCs/>
        </w:rPr>
        <w:t xml:space="preserve"> – </w:t>
      </w:r>
      <w:r w:rsidR="00F32315" w:rsidRPr="00195B67">
        <w:rPr>
          <w:bCs/>
        </w:rPr>
        <w:softHyphen/>
      </w:r>
      <w:r w:rsidRPr="00195B67">
        <w:rPr>
          <w:bCs/>
          <w:i/>
          <w:iCs/>
        </w:rPr>
        <w:t>Reducing the impact of plastic on our environment: Summary of submissions</w:t>
      </w:r>
      <w:r w:rsidRPr="00195B67">
        <w:rPr>
          <w:bCs/>
        </w:rPr>
        <w:t xml:space="preserve">. Wellington: Ministry for the Environment. </w:t>
      </w:r>
    </w:p>
    <w:p w14:paraId="6F40F174" w14:textId="48D133CA" w:rsidR="0080531E" w:rsidRDefault="0080531E" w:rsidP="0080531E">
      <w:pPr>
        <w:pStyle w:val="Imprint"/>
      </w:pPr>
    </w:p>
    <w:p w14:paraId="1CBCB31D" w14:textId="0E301423" w:rsidR="00D47AEF" w:rsidRDefault="00D47AEF" w:rsidP="0080531E">
      <w:pPr>
        <w:pStyle w:val="Imprint"/>
      </w:pPr>
    </w:p>
    <w:p w14:paraId="658149D2" w14:textId="77777777" w:rsidR="00D47AEF" w:rsidRPr="00195B67" w:rsidRDefault="00D47AEF" w:rsidP="0080531E">
      <w:pPr>
        <w:pStyle w:val="Imprint"/>
      </w:pPr>
    </w:p>
    <w:p w14:paraId="297BE36E" w14:textId="77777777" w:rsidR="0080531E" w:rsidRPr="00195B67" w:rsidRDefault="0080531E" w:rsidP="0080531E">
      <w:pPr>
        <w:pStyle w:val="Imprint"/>
      </w:pPr>
    </w:p>
    <w:p w14:paraId="53243772" w14:textId="77777777" w:rsidR="00632427" w:rsidRPr="00195B67" w:rsidRDefault="00632427" w:rsidP="00F26FDE">
      <w:pPr>
        <w:pStyle w:val="Imprint"/>
      </w:pPr>
    </w:p>
    <w:p w14:paraId="379611EA" w14:textId="133A1B12" w:rsidR="00A9440E" w:rsidRPr="00195B67" w:rsidRDefault="00A9440E" w:rsidP="0080531E">
      <w:pPr>
        <w:pStyle w:val="Imprint"/>
      </w:pPr>
    </w:p>
    <w:p w14:paraId="372D4BF2" w14:textId="6540AA89" w:rsidR="00A9440E" w:rsidRPr="00195B67" w:rsidRDefault="00A9440E" w:rsidP="0080531E">
      <w:pPr>
        <w:pStyle w:val="Imprint"/>
      </w:pPr>
    </w:p>
    <w:p w14:paraId="2A5DDE04" w14:textId="77777777" w:rsidR="00DD412B" w:rsidRPr="00195B67" w:rsidRDefault="00DD412B" w:rsidP="0080531E">
      <w:pPr>
        <w:pStyle w:val="Imprint"/>
      </w:pPr>
    </w:p>
    <w:p w14:paraId="52D3D0FD" w14:textId="750707B1" w:rsidR="0080531E" w:rsidRPr="00195B67" w:rsidRDefault="0080531E" w:rsidP="004D0933">
      <w:pPr>
        <w:pStyle w:val="Imprint"/>
        <w:spacing w:before="0"/>
      </w:pPr>
      <w:r w:rsidRPr="00195B67">
        <w:t xml:space="preserve">Published in </w:t>
      </w:r>
      <w:r w:rsidR="009F5FE0">
        <w:t>July</w:t>
      </w:r>
      <w:r w:rsidR="00ED6B7D">
        <w:t xml:space="preserve"> </w:t>
      </w:r>
      <w:r w:rsidR="008732A3" w:rsidRPr="00195B67">
        <w:t>2021</w:t>
      </w:r>
      <w:r w:rsidRPr="00195B67">
        <w:t xml:space="preserve"> by the</w:t>
      </w:r>
      <w:r w:rsidRPr="00195B67">
        <w:br/>
        <w:t xml:space="preserve">Ministry for the Environment </w:t>
      </w:r>
      <w:r w:rsidRPr="00195B67">
        <w:br/>
      </w:r>
      <w:proofErr w:type="spellStart"/>
      <w:r w:rsidRPr="00195B67">
        <w:t>Manatū</w:t>
      </w:r>
      <w:proofErr w:type="spellEnd"/>
      <w:r w:rsidRPr="00195B67">
        <w:t xml:space="preserve"> </w:t>
      </w:r>
      <w:proofErr w:type="spellStart"/>
      <w:r w:rsidRPr="00195B67">
        <w:t>Mō</w:t>
      </w:r>
      <w:proofErr w:type="spellEnd"/>
      <w:r w:rsidRPr="00195B67">
        <w:t xml:space="preserve"> </w:t>
      </w:r>
      <w:proofErr w:type="spellStart"/>
      <w:r w:rsidRPr="00195B67">
        <w:t>Te</w:t>
      </w:r>
      <w:proofErr w:type="spellEnd"/>
      <w:r w:rsidRPr="00195B67">
        <w:t xml:space="preserve"> </w:t>
      </w:r>
      <w:proofErr w:type="spellStart"/>
      <w:r w:rsidRPr="00195B67">
        <w:t>Taiao</w:t>
      </w:r>
      <w:proofErr w:type="spellEnd"/>
      <w:r w:rsidRPr="00195B67">
        <w:br/>
        <w:t>PO Box 10362, Wellington 6143, New Zealand</w:t>
      </w:r>
    </w:p>
    <w:p w14:paraId="230552ED" w14:textId="62281A48" w:rsidR="0080531E" w:rsidRPr="00195B67" w:rsidRDefault="0080531E" w:rsidP="0080531E">
      <w:pPr>
        <w:pStyle w:val="Imprint"/>
        <w:tabs>
          <w:tab w:val="left" w:pos="720"/>
        </w:tabs>
        <w:ind w:left="720" w:hanging="720"/>
      </w:pPr>
      <w:r w:rsidRPr="00195B67">
        <w:t xml:space="preserve">ISBN: </w:t>
      </w:r>
      <w:r w:rsidR="00381561" w:rsidRPr="00381561">
        <w:rPr>
          <w:lang w:val="en-US"/>
        </w:rPr>
        <w:t>978-1-99-003359-9</w:t>
      </w:r>
      <w:r w:rsidR="00ED6B7D">
        <w:t xml:space="preserve"> </w:t>
      </w:r>
      <w:r w:rsidRPr="00195B67">
        <w:t>(</w:t>
      </w:r>
      <w:r w:rsidR="00775F57" w:rsidRPr="00195B67">
        <w:t>online</w:t>
      </w:r>
      <w:r w:rsidRPr="00195B67">
        <w:t>)</w:t>
      </w:r>
    </w:p>
    <w:p w14:paraId="1E4B1FD9" w14:textId="48D6166A" w:rsidR="0080531E" w:rsidRPr="00195B67" w:rsidRDefault="0080531E" w:rsidP="0080531E">
      <w:pPr>
        <w:pStyle w:val="Imprint"/>
        <w:ind w:left="720" w:hanging="720"/>
      </w:pPr>
      <w:r w:rsidRPr="00195B67">
        <w:t xml:space="preserve">Publication number: </w:t>
      </w:r>
      <w:r w:rsidR="00ED6B7D" w:rsidRPr="00ED6B7D">
        <w:t>ME</w:t>
      </w:r>
      <w:r w:rsidR="00DD412B">
        <w:t xml:space="preserve"> </w:t>
      </w:r>
      <w:r w:rsidR="00ED6B7D" w:rsidRPr="00ED6B7D">
        <w:t>15</w:t>
      </w:r>
      <w:r w:rsidR="00A40CE2">
        <w:t>71</w:t>
      </w:r>
    </w:p>
    <w:p w14:paraId="431181D4" w14:textId="0631AEEB" w:rsidR="0080531E" w:rsidRPr="00195B67" w:rsidRDefault="0080531E" w:rsidP="00593E94">
      <w:pPr>
        <w:pStyle w:val="Imprint"/>
        <w:spacing w:after="80"/>
      </w:pPr>
      <w:r w:rsidRPr="00195B67">
        <w:t xml:space="preserve">© Crown copyright New Zealand </w:t>
      </w:r>
      <w:r w:rsidR="008732A3" w:rsidRPr="00195B67">
        <w:t>2021</w:t>
      </w:r>
    </w:p>
    <w:p w14:paraId="6B76AD63" w14:textId="480432AD" w:rsidR="00A84FE1" w:rsidRPr="00195B67" w:rsidRDefault="0080531E" w:rsidP="00A9440E">
      <w:pPr>
        <w:pStyle w:val="Imprint"/>
        <w:spacing w:before="240" w:after="0"/>
      </w:pPr>
      <w:r w:rsidRPr="00195B67">
        <w:t>This document is available on the Ministry for</w:t>
      </w:r>
      <w:r w:rsidR="004C4E8A" w:rsidRPr="00195B67">
        <w:t xml:space="preserve"> the Environment </w:t>
      </w:r>
      <w:r w:rsidR="00CB557F" w:rsidRPr="00195B67">
        <w:t>website</w:t>
      </w:r>
      <w:r w:rsidRPr="00195B67">
        <w:t xml:space="preserve">: </w:t>
      </w:r>
      <w:hyperlink r:id="rId15" w:history="1">
        <w:r w:rsidR="008732A3" w:rsidRPr="00195B67">
          <w:rPr>
            <w:rStyle w:val="Hyperlink"/>
          </w:rPr>
          <w:t>environment.govt.nz</w:t>
        </w:r>
      </w:hyperlink>
    </w:p>
    <w:p w14:paraId="42E69DC9" w14:textId="77777777" w:rsidR="0080531E" w:rsidRPr="00195B67" w:rsidRDefault="0080531E" w:rsidP="00F26FDE">
      <w:pPr>
        <w:spacing w:before="0" w:after="0"/>
        <w:sectPr w:rsidR="0080531E" w:rsidRPr="00195B67" w:rsidSect="0098451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6671AECE" w14:textId="4B52A207" w:rsidR="00713922" w:rsidRPr="00195B67" w:rsidRDefault="0080531E" w:rsidP="00E66E0F">
      <w:pPr>
        <w:pStyle w:val="Heading"/>
      </w:pPr>
      <w:r w:rsidRPr="00195B67">
        <w:lastRenderedPageBreak/>
        <w:t>Contents</w:t>
      </w:r>
    </w:p>
    <w:p w14:paraId="445A4AAC" w14:textId="77777777" w:rsidR="00381DAE" w:rsidRPr="00195B67" w:rsidRDefault="00381DAE" w:rsidP="00381DAE">
      <w:pPr>
        <w:pStyle w:val="TOC1"/>
        <w:rPr>
          <w:rFonts w:asciiTheme="minorHAnsi" w:hAnsiTheme="minorHAnsi"/>
        </w:rPr>
      </w:pPr>
      <w:r w:rsidRPr="00195B67">
        <w:fldChar w:fldCharType="begin"/>
      </w:r>
      <w:r w:rsidRPr="00195B67">
        <w:instrText xml:space="preserve"> TOC \o "2-2" \h \z \t "Heading 1,1" </w:instrText>
      </w:r>
      <w:r w:rsidRPr="00195B67">
        <w:fldChar w:fldCharType="separate"/>
      </w:r>
      <w:hyperlink w:anchor="_Toc72137486" w:history="1">
        <w:r w:rsidRPr="00195B67">
          <w:rPr>
            <w:rStyle w:val="Hyperlink"/>
          </w:rPr>
          <w:t xml:space="preserve">Message from the </w:t>
        </w:r>
        <w:r>
          <w:rPr>
            <w:rStyle w:val="Hyperlink"/>
          </w:rPr>
          <w:t>Secretary for the Environment</w:t>
        </w:r>
        <w:r w:rsidRPr="00195B67">
          <w:rPr>
            <w:webHidden/>
          </w:rPr>
          <w:tab/>
        </w:r>
        <w:r w:rsidRPr="00195B67">
          <w:rPr>
            <w:webHidden/>
          </w:rPr>
          <w:fldChar w:fldCharType="begin"/>
        </w:r>
        <w:r w:rsidRPr="00195B67">
          <w:rPr>
            <w:webHidden/>
          </w:rPr>
          <w:instrText xml:space="preserve"> PAGEREF _Toc72137486 \h </w:instrText>
        </w:r>
        <w:r w:rsidRPr="00195B67">
          <w:rPr>
            <w:webHidden/>
          </w:rPr>
        </w:r>
        <w:r w:rsidRPr="00195B67">
          <w:rPr>
            <w:webHidden/>
          </w:rPr>
          <w:fldChar w:fldCharType="separate"/>
        </w:r>
        <w:r w:rsidRPr="00195B67">
          <w:rPr>
            <w:webHidden/>
          </w:rPr>
          <w:t>5</w:t>
        </w:r>
        <w:r w:rsidRPr="00195B67">
          <w:rPr>
            <w:webHidden/>
          </w:rPr>
          <w:fldChar w:fldCharType="end"/>
        </w:r>
      </w:hyperlink>
    </w:p>
    <w:p w14:paraId="56EF8685" w14:textId="77777777" w:rsidR="00381DAE" w:rsidRPr="00195B67" w:rsidRDefault="009F5FE0" w:rsidP="00381DAE">
      <w:pPr>
        <w:pStyle w:val="TOC1"/>
        <w:rPr>
          <w:rFonts w:asciiTheme="minorHAnsi" w:hAnsiTheme="minorHAnsi"/>
        </w:rPr>
      </w:pPr>
      <w:hyperlink w:anchor="_Toc72137487" w:history="1">
        <w:r w:rsidR="00381DAE" w:rsidRPr="00195B67">
          <w:rPr>
            <w:rStyle w:val="Hyperlink"/>
          </w:rPr>
          <w:t>Executive summary</w:t>
        </w:r>
        <w:r w:rsidR="00381DAE" w:rsidRPr="00195B67">
          <w:rPr>
            <w:webHidden/>
          </w:rPr>
          <w:tab/>
        </w:r>
        <w:r w:rsidR="00381DAE" w:rsidRPr="00195B67">
          <w:rPr>
            <w:webHidden/>
          </w:rPr>
          <w:fldChar w:fldCharType="begin"/>
        </w:r>
        <w:r w:rsidR="00381DAE" w:rsidRPr="00195B67">
          <w:rPr>
            <w:webHidden/>
          </w:rPr>
          <w:instrText xml:space="preserve"> PAGEREF _Toc72137487 \h </w:instrText>
        </w:r>
        <w:r w:rsidR="00381DAE" w:rsidRPr="00195B67">
          <w:rPr>
            <w:webHidden/>
          </w:rPr>
        </w:r>
        <w:r w:rsidR="00381DAE" w:rsidRPr="00195B67">
          <w:rPr>
            <w:webHidden/>
          </w:rPr>
          <w:fldChar w:fldCharType="separate"/>
        </w:r>
        <w:r w:rsidR="00381DAE" w:rsidRPr="00195B67">
          <w:rPr>
            <w:webHidden/>
          </w:rPr>
          <w:t>6</w:t>
        </w:r>
        <w:r w:rsidR="00381DAE" w:rsidRPr="00195B67">
          <w:rPr>
            <w:webHidden/>
          </w:rPr>
          <w:fldChar w:fldCharType="end"/>
        </w:r>
      </w:hyperlink>
    </w:p>
    <w:p w14:paraId="3E087495" w14:textId="77777777" w:rsidR="00381DAE" w:rsidRPr="00195B67" w:rsidRDefault="009F5FE0" w:rsidP="00381DAE">
      <w:pPr>
        <w:pStyle w:val="TOC1"/>
        <w:rPr>
          <w:rFonts w:asciiTheme="minorHAnsi" w:hAnsiTheme="minorHAnsi"/>
        </w:rPr>
      </w:pPr>
      <w:hyperlink w:anchor="_Toc72137488" w:history="1">
        <w:r w:rsidR="00381DAE" w:rsidRPr="00195B67">
          <w:rPr>
            <w:rStyle w:val="Hyperlink"/>
          </w:rPr>
          <w:t>About the consultation</w:t>
        </w:r>
        <w:r w:rsidR="00381DAE" w:rsidRPr="00195B67">
          <w:rPr>
            <w:webHidden/>
          </w:rPr>
          <w:tab/>
        </w:r>
        <w:r w:rsidR="00381DAE" w:rsidRPr="00195B67">
          <w:rPr>
            <w:webHidden/>
          </w:rPr>
          <w:fldChar w:fldCharType="begin"/>
        </w:r>
        <w:r w:rsidR="00381DAE" w:rsidRPr="00195B67">
          <w:rPr>
            <w:webHidden/>
          </w:rPr>
          <w:instrText xml:space="preserve"> PAGEREF _Toc72137488 \h </w:instrText>
        </w:r>
        <w:r w:rsidR="00381DAE" w:rsidRPr="00195B67">
          <w:rPr>
            <w:webHidden/>
          </w:rPr>
        </w:r>
        <w:r w:rsidR="00381DAE" w:rsidRPr="00195B67">
          <w:rPr>
            <w:webHidden/>
          </w:rPr>
          <w:fldChar w:fldCharType="separate"/>
        </w:r>
        <w:r w:rsidR="00381DAE" w:rsidRPr="00195B67">
          <w:rPr>
            <w:webHidden/>
          </w:rPr>
          <w:t>8</w:t>
        </w:r>
        <w:r w:rsidR="00381DAE" w:rsidRPr="00195B67">
          <w:rPr>
            <w:webHidden/>
          </w:rPr>
          <w:fldChar w:fldCharType="end"/>
        </w:r>
      </w:hyperlink>
    </w:p>
    <w:p w14:paraId="656D50EB" w14:textId="77777777" w:rsidR="00381DAE" w:rsidRPr="00195B67" w:rsidRDefault="009F5FE0" w:rsidP="00381DAE">
      <w:pPr>
        <w:pStyle w:val="TOC2"/>
        <w:rPr>
          <w:rFonts w:asciiTheme="minorHAnsi" w:hAnsiTheme="minorHAnsi"/>
        </w:rPr>
      </w:pPr>
      <w:hyperlink w:anchor="_Toc72137489" w:history="1">
        <w:r w:rsidR="00381DAE" w:rsidRPr="00195B67">
          <w:rPr>
            <w:rStyle w:val="Hyperlink"/>
          </w:rPr>
          <w:t>Proposals</w:t>
        </w:r>
        <w:r w:rsidR="00381DAE" w:rsidRPr="00195B67">
          <w:rPr>
            <w:webHidden/>
          </w:rPr>
          <w:tab/>
        </w:r>
        <w:r w:rsidR="00381DAE" w:rsidRPr="00195B67">
          <w:rPr>
            <w:webHidden/>
          </w:rPr>
          <w:fldChar w:fldCharType="begin"/>
        </w:r>
        <w:r w:rsidR="00381DAE" w:rsidRPr="00195B67">
          <w:rPr>
            <w:webHidden/>
          </w:rPr>
          <w:instrText xml:space="preserve"> PAGEREF _Toc72137489 \h </w:instrText>
        </w:r>
        <w:r w:rsidR="00381DAE" w:rsidRPr="00195B67">
          <w:rPr>
            <w:webHidden/>
          </w:rPr>
        </w:r>
        <w:r w:rsidR="00381DAE" w:rsidRPr="00195B67">
          <w:rPr>
            <w:webHidden/>
          </w:rPr>
          <w:fldChar w:fldCharType="separate"/>
        </w:r>
        <w:r w:rsidR="00381DAE" w:rsidRPr="00195B67">
          <w:rPr>
            <w:webHidden/>
          </w:rPr>
          <w:t>8</w:t>
        </w:r>
        <w:r w:rsidR="00381DAE" w:rsidRPr="00195B67">
          <w:rPr>
            <w:webHidden/>
          </w:rPr>
          <w:fldChar w:fldCharType="end"/>
        </w:r>
      </w:hyperlink>
    </w:p>
    <w:p w14:paraId="2DC62A94" w14:textId="77777777" w:rsidR="00381DAE" w:rsidRPr="00195B67" w:rsidRDefault="009F5FE0" w:rsidP="00381DAE">
      <w:pPr>
        <w:pStyle w:val="TOC2"/>
        <w:rPr>
          <w:rFonts w:asciiTheme="minorHAnsi" w:hAnsiTheme="minorHAnsi"/>
        </w:rPr>
      </w:pPr>
      <w:hyperlink w:anchor="_Toc72137490" w:history="1">
        <w:r w:rsidR="00381DAE" w:rsidRPr="00195B67">
          <w:rPr>
            <w:rStyle w:val="Hyperlink"/>
            <w:rFonts w:eastAsia="Times New Roman"/>
          </w:rPr>
          <w:t>Background to the consultation</w:t>
        </w:r>
        <w:r w:rsidR="00381DAE" w:rsidRPr="00195B67">
          <w:rPr>
            <w:webHidden/>
          </w:rPr>
          <w:tab/>
        </w:r>
        <w:r w:rsidR="00381DAE" w:rsidRPr="00195B67">
          <w:rPr>
            <w:webHidden/>
          </w:rPr>
          <w:fldChar w:fldCharType="begin"/>
        </w:r>
        <w:r w:rsidR="00381DAE" w:rsidRPr="00195B67">
          <w:rPr>
            <w:webHidden/>
          </w:rPr>
          <w:instrText xml:space="preserve"> PAGEREF _Toc72137490 \h </w:instrText>
        </w:r>
        <w:r w:rsidR="00381DAE" w:rsidRPr="00195B67">
          <w:rPr>
            <w:webHidden/>
          </w:rPr>
        </w:r>
        <w:r w:rsidR="00381DAE" w:rsidRPr="00195B67">
          <w:rPr>
            <w:webHidden/>
          </w:rPr>
          <w:fldChar w:fldCharType="separate"/>
        </w:r>
        <w:r w:rsidR="00381DAE" w:rsidRPr="00195B67">
          <w:rPr>
            <w:webHidden/>
          </w:rPr>
          <w:t>9</w:t>
        </w:r>
        <w:r w:rsidR="00381DAE" w:rsidRPr="00195B67">
          <w:rPr>
            <w:webHidden/>
          </w:rPr>
          <w:fldChar w:fldCharType="end"/>
        </w:r>
      </w:hyperlink>
    </w:p>
    <w:p w14:paraId="265C3620" w14:textId="77777777" w:rsidR="00381DAE" w:rsidRPr="00195B67" w:rsidRDefault="009F5FE0" w:rsidP="00381DAE">
      <w:pPr>
        <w:pStyle w:val="TOC2"/>
        <w:rPr>
          <w:rFonts w:asciiTheme="minorHAnsi" w:hAnsiTheme="minorHAnsi"/>
        </w:rPr>
      </w:pPr>
      <w:hyperlink w:anchor="_Toc72137491" w:history="1">
        <w:r w:rsidR="00381DAE" w:rsidRPr="00195B67">
          <w:rPr>
            <w:rStyle w:val="Hyperlink"/>
            <w:rFonts w:eastAsia="Times New Roman"/>
          </w:rPr>
          <w:t>Consultation process</w:t>
        </w:r>
        <w:r w:rsidR="00381DAE" w:rsidRPr="00195B67">
          <w:rPr>
            <w:webHidden/>
          </w:rPr>
          <w:tab/>
        </w:r>
        <w:r w:rsidR="00381DAE" w:rsidRPr="00195B67">
          <w:rPr>
            <w:webHidden/>
          </w:rPr>
          <w:fldChar w:fldCharType="begin"/>
        </w:r>
        <w:r w:rsidR="00381DAE" w:rsidRPr="00195B67">
          <w:rPr>
            <w:webHidden/>
          </w:rPr>
          <w:instrText xml:space="preserve"> PAGEREF _Toc72137491 \h </w:instrText>
        </w:r>
        <w:r w:rsidR="00381DAE" w:rsidRPr="00195B67">
          <w:rPr>
            <w:webHidden/>
          </w:rPr>
        </w:r>
        <w:r w:rsidR="00381DAE" w:rsidRPr="00195B67">
          <w:rPr>
            <w:webHidden/>
          </w:rPr>
          <w:fldChar w:fldCharType="separate"/>
        </w:r>
        <w:r w:rsidR="00381DAE" w:rsidRPr="00195B67">
          <w:rPr>
            <w:webHidden/>
          </w:rPr>
          <w:t>9</w:t>
        </w:r>
        <w:r w:rsidR="00381DAE" w:rsidRPr="00195B67">
          <w:rPr>
            <w:webHidden/>
          </w:rPr>
          <w:fldChar w:fldCharType="end"/>
        </w:r>
      </w:hyperlink>
    </w:p>
    <w:p w14:paraId="3A95329B" w14:textId="77777777" w:rsidR="00381DAE" w:rsidRPr="00195B67" w:rsidRDefault="009F5FE0" w:rsidP="00381DAE">
      <w:pPr>
        <w:pStyle w:val="TOC1"/>
        <w:rPr>
          <w:rFonts w:asciiTheme="minorHAnsi" w:hAnsiTheme="minorHAnsi"/>
        </w:rPr>
      </w:pPr>
      <w:hyperlink w:anchor="_Toc72137492" w:history="1">
        <w:r w:rsidR="00381DAE" w:rsidRPr="00195B67">
          <w:rPr>
            <w:rStyle w:val="Hyperlink"/>
          </w:rPr>
          <w:t>What we heard – Overall support</w:t>
        </w:r>
        <w:r w:rsidR="00381DAE" w:rsidRPr="00195B67">
          <w:rPr>
            <w:webHidden/>
          </w:rPr>
          <w:tab/>
        </w:r>
        <w:r w:rsidR="00381DAE" w:rsidRPr="00195B67">
          <w:rPr>
            <w:webHidden/>
          </w:rPr>
          <w:fldChar w:fldCharType="begin"/>
        </w:r>
        <w:r w:rsidR="00381DAE" w:rsidRPr="00195B67">
          <w:rPr>
            <w:webHidden/>
          </w:rPr>
          <w:instrText xml:space="preserve"> PAGEREF _Toc72137492 \h </w:instrText>
        </w:r>
        <w:r w:rsidR="00381DAE" w:rsidRPr="00195B67">
          <w:rPr>
            <w:webHidden/>
          </w:rPr>
        </w:r>
        <w:r w:rsidR="00381DAE" w:rsidRPr="00195B67">
          <w:rPr>
            <w:webHidden/>
          </w:rPr>
          <w:fldChar w:fldCharType="separate"/>
        </w:r>
        <w:r w:rsidR="00381DAE" w:rsidRPr="00195B67">
          <w:rPr>
            <w:webHidden/>
          </w:rPr>
          <w:t>11</w:t>
        </w:r>
        <w:r w:rsidR="00381DAE" w:rsidRPr="00195B67">
          <w:rPr>
            <w:webHidden/>
          </w:rPr>
          <w:fldChar w:fldCharType="end"/>
        </w:r>
      </w:hyperlink>
    </w:p>
    <w:p w14:paraId="08C33B01" w14:textId="77777777" w:rsidR="00381DAE" w:rsidRPr="00195B67" w:rsidRDefault="009F5FE0" w:rsidP="00381DAE">
      <w:pPr>
        <w:pStyle w:val="TOC1"/>
        <w:rPr>
          <w:rFonts w:asciiTheme="minorHAnsi" w:hAnsiTheme="minorHAnsi"/>
        </w:rPr>
      </w:pPr>
      <w:hyperlink w:anchor="_Toc72137493" w:history="1">
        <w:r w:rsidR="00381DAE" w:rsidRPr="00195B67">
          <w:rPr>
            <w:rStyle w:val="Hyperlink"/>
          </w:rPr>
          <w:t>What we heard – Proposal one</w:t>
        </w:r>
        <w:r w:rsidR="00381DAE" w:rsidRPr="00195B67">
          <w:rPr>
            <w:webHidden/>
          </w:rPr>
          <w:tab/>
        </w:r>
        <w:r w:rsidR="00381DAE" w:rsidRPr="00195B67">
          <w:rPr>
            <w:webHidden/>
          </w:rPr>
          <w:fldChar w:fldCharType="begin"/>
        </w:r>
        <w:r w:rsidR="00381DAE" w:rsidRPr="00195B67">
          <w:rPr>
            <w:webHidden/>
          </w:rPr>
          <w:instrText xml:space="preserve"> PAGEREF _Toc72137493 \h </w:instrText>
        </w:r>
        <w:r w:rsidR="00381DAE" w:rsidRPr="00195B67">
          <w:rPr>
            <w:webHidden/>
          </w:rPr>
        </w:r>
        <w:r w:rsidR="00381DAE" w:rsidRPr="00195B67">
          <w:rPr>
            <w:webHidden/>
          </w:rPr>
          <w:fldChar w:fldCharType="separate"/>
        </w:r>
        <w:r w:rsidR="00381DAE" w:rsidRPr="00195B67">
          <w:rPr>
            <w:webHidden/>
          </w:rPr>
          <w:t>13</w:t>
        </w:r>
        <w:r w:rsidR="00381DAE" w:rsidRPr="00195B67">
          <w:rPr>
            <w:webHidden/>
          </w:rPr>
          <w:fldChar w:fldCharType="end"/>
        </w:r>
      </w:hyperlink>
    </w:p>
    <w:p w14:paraId="44BB4EE9" w14:textId="77777777" w:rsidR="00381DAE" w:rsidRPr="00195B67" w:rsidRDefault="009F5FE0" w:rsidP="00381DAE">
      <w:pPr>
        <w:pStyle w:val="TOC2"/>
        <w:rPr>
          <w:rFonts w:asciiTheme="minorHAnsi" w:hAnsiTheme="minorHAnsi"/>
        </w:rPr>
      </w:pPr>
      <w:hyperlink w:anchor="_Toc72137494" w:history="1">
        <w:r w:rsidR="00381DAE" w:rsidRPr="00195B67">
          <w:rPr>
            <w:rStyle w:val="Hyperlink"/>
            <w:rFonts w:eastAsia="Times New Roman"/>
          </w:rPr>
          <w:t>Strong support for phasing out PVC and polystyrene food and beverage packaging</w:t>
        </w:r>
        <w:r w:rsidR="00381DAE" w:rsidRPr="00195B67">
          <w:rPr>
            <w:webHidden/>
          </w:rPr>
          <w:tab/>
        </w:r>
        <w:r w:rsidR="00381DAE" w:rsidRPr="00195B67">
          <w:rPr>
            <w:webHidden/>
          </w:rPr>
          <w:fldChar w:fldCharType="begin"/>
        </w:r>
        <w:r w:rsidR="00381DAE" w:rsidRPr="00195B67">
          <w:rPr>
            <w:webHidden/>
          </w:rPr>
          <w:instrText xml:space="preserve"> PAGEREF _Toc72137494 \h </w:instrText>
        </w:r>
        <w:r w:rsidR="00381DAE" w:rsidRPr="00195B67">
          <w:rPr>
            <w:webHidden/>
          </w:rPr>
        </w:r>
        <w:r w:rsidR="00381DAE" w:rsidRPr="00195B67">
          <w:rPr>
            <w:webHidden/>
          </w:rPr>
          <w:fldChar w:fldCharType="separate"/>
        </w:r>
        <w:r w:rsidR="00381DAE" w:rsidRPr="00195B67">
          <w:rPr>
            <w:webHidden/>
          </w:rPr>
          <w:t>13</w:t>
        </w:r>
        <w:r w:rsidR="00381DAE" w:rsidRPr="00195B67">
          <w:rPr>
            <w:webHidden/>
          </w:rPr>
          <w:fldChar w:fldCharType="end"/>
        </w:r>
      </w:hyperlink>
    </w:p>
    <w:p w14:paraId="60CF074D" w14:textId="77777777" w:rsidR="00381DAE" w:rsidRPr="00195B67" w:rsidRDefault="009F5FE0" w:rsidP="00381DAE">
      <w:pPr>
        <w:pStyle w:val="TOC2"/>
        <w:rPr>
          <w:rFonts w:asciiTheme="minorHAnsi" w:hAnsiTheme="minorHAnsi"/>
        </w:rPr>
      </w:pPr>
      <w:hyperlink w:anchor="_Toc72137495" w:history="1">
        <w:r w:rsidR="00381DAE" w:rsidRPr="00195B67">
          <w:rPr>
            <w:rStyle w:val="Hyperlink"/>
            <w:rFonts w:eastAsia="Times New Roman"/>
          </w:rPr>
          <w:t>Oxo-degradable items can easily be phased out</w:t>
        </w:r>
        <w:r w:rsidR="00381DAE" w:rsidRPr="00195B67">
          <w:rPr>
            <w:webHidden/>
          </w:rPr>
          <w:tab/>
        </w:r>
        <w:r w:rsidR="00381DAE" w:rsidRPr="00195B67">
          <w:rPr>
            <w:webHidden/>
          </w:rPr>
          <w:fldChar w:fldCharType="begin"/>
        </w:r>
        <w:r w:rsidR="00381DAE" w:rsidRPr="00195B67">
          <w:rPr>
            <w:webHidden/>
          </w:rPr>
          <w:instrText xml:space="preserve"> PAGEREF _Toc72137495 \h </w:instrText>
        </w:r>
        <w:r w:rsidR="00381DAE" w:rsidRPr="00195B67">
          <w:rPr>
            <w:webHidden/>
          </w:rPr>
        </w:r>
        <w:r w:rsidR="00381DAE" w:rsidRPr="00195B67">
          <w:rPr>
            <w:webHidden/>
          </w:rPr>
          <w:fldChar w:fldCharType="separate"/>
        </w:r>
        <w:r w:rsidR="00381DAE" w:rsidRPr="00195B67">
          <w:rPr>
            <w:webHidden/>
          </w:rPr>
          <w:t>15</w:t>
        </w:r>
        <w:r w:rsidR="00381DAE" w:rsidRPr="00195B67">
          <w:rPr>
            <w:webHidden/>
          </w:rPr>
          <w:fldChar w:fldCharType="end"/>
        </w:r>
      </w:hyperlink>
    </w:p>
    <w:p w14:paraId="0157F9D5" w14:textId="77777777" w:rsidR="00381DAE" w:rsidRPr="00195B67" w:rsidRDefault="009F5FE0" w:rsidP="00381DAE">
      <w:pPr>
        <w:pStyle w:val="TOC2"/>
        <w:rPr>
          <w:rFonts w:asciiTheme="minorHAnsi" w:hAnsiTheme="minorHAnsi"/>
        </w:rPr>
      </w:pPr>
      <w:hyperlink w:anchor="_Toc72137496" w:history="1">
        <w:r w:rsidR="00381DAE" w:rsidRPr="00195B67">
          <w:rPr>
            <w:rStyle w:val="Hyperlink"/>
            <w:rFonts w:eastAsia="Times New Roman"/>
          </w:rPr>
          <w:t>Most submitters support proposed timeframes, many wanted faster action</w:t>
        </w:r>
        <w:r w:rsidR="00381DAE" w:rsidRPr="00195B67">
          <w:rPr>
            <w:webHidden/>
          </w:rPr>
          <w:tab/>
        </w:r>
        <w:r w:rsidR="00381DAE" w:rsidRPr="00195B67">
          <w:rPr>
            <w:webHidden/>
          </w:rPr>
          <w:fldChar w:fldCharType="begin"/>
        </w:r>
        <w:r w:rsidR="00381DAE" w:rsidRPr="00195B67">
          <w:rPr>
            <w:webHidden/>
          </w:rPr>
          <w:instrText xml:space="preserve"> PAGEREF _Toc72137496 \h </w:instrText>
        </w:r>
        <w:r w:rsidR="00381DAE" w:rsidRPr="00195B67">
          <w:rPr>
            <w:webHidden/>
          </w:rPr>
        </w:r>
        <w:r w:rsidR="00381DAE" w:rsidRPr="00195B67">
          <w:rPr>
            <w:webHidden/>
          </w:rPr>
          <w:fldChar w:fldCharType="separate"/>
        </w:r>
        <w:r w:rsidR="00381DAE" w:rsidRPr="00195B67">
          <w:rPr>
            <w:webHidden/>
          </w:rPr>
          <w:t>16</w:t>
        </w:r>
        <w:r w:rsidR="00381DAE" w:rsidRPr="00195B67">
          <w:rPr>
            <w:webHidden/>
          </w:rPr>
          <w:fldChar w:fldCharType="end"/>
        </w:r>
      </w:hyperlink>
    </w:p>
    <w:p w14:paraId="2718003A" w14:textId="77777777" w:rsidR="00381DAE" w:rsidRPr="00195B67" w:rsidRDefault="009F5FE0" w:rsidP="00381DAE">
      <w:pPr>
        <w:pStyle w:val="TOC2"/>
        <w:rPr>
          <w:rFonts w:asciiTheme="minorHAnsi" w:hAnsiTheme="minorHAnsi"/>
        </w:rPr>
      </w:pPr>
      <w:hyperlink w:anchor="_Toc72137497" w:history="1">
        <w:r w:rsidR="00381DAE" w:rsidRPr="00195B67">
          <w:rPr>
            <w:rStyle w:val="Hyperlink"/>
            <w:rFonts w:eastAsia="Times New Roman"/>
          </w:rPr>
          <w:t xml:space="preserve">Some items are more challenging to phase out, requiring a longer lead-in </w:t>
        </w:r>
        <w:r w:rsidR="00381DAE" w:rsidRPr="00195B67">
          <w:rPr>
            <w:rStyle w:val="Hyperlink"/>
          </w:rPr>
          <w:t>time</w:t>
        </w:r>
        <w:r w:rsidR="00381DAE" w:rsidRPr="00195B67">
          <w:rPr>
            <w:webHidden/>
          </w:rPr>
          <w:tab/>
        </w:r>
        <w:r w:rsidR="00381DAE" w:rsidRPr="00195B67">
          <w:rPr>
            <w:webHidden/>
          </w:rPr>
          <w:fldChar w:fldCharType="begin"/>
        </w:r>
        <w:r w:rsidR="00381DAE" w:rsidRPr="00195B67">
          <w:rPr>
            <w:webHidden/>
          </w:rPr>
          <w:instrText xml:space="preserve"> PAGEREF _Toc72137497 \h </w:instrText>
        </w:r>
        <w:r w:rsidR="00381DAE" w:rsidRPr="00195B67">
          <w:rPr>
            <w:webHidden/>
          </w:rPr>
        </w:r>
        <w:r w:rsidR="00381DAE" w:rsidRPr="00195B67">
          <w:rPr>
            <w:webHidden/>
          </w:rPr>
          <w:fldChar w:fldCharType="separate"/>
        </w:r>
        <w:r w:rsidR="00381DAE" w:rsidRPr="00195B67">
          <w:rPr>
            <w:webHidden/>
          </w:rPr>
          <w:t>17</w:t>
        </w:r>
        <w:r w:rsidR="00381DAE" w:rsidRPr="00195B67">
          <w:rPr>
            <w:webHidden/>
          </w:rPr>
          <w:fldChar w:fldCharType="end"/>
        </w:r>
      </w:hyperlink>
    </w:p>
    <w:p w14:paraId="5ECD6C1D" w14:textId="77777777" w:rsidR="00381DAE" w:rsidRPr="00195B67" w:rsidRDefault="009F5FE0" w:rsidP="00381DAE">
      <w:pPr>
        <w:pStyle w:val="TOC2"/>
        <w:rPr>
          <w:rFonts w:asciiTheme="minorHAnsi" w:hAnsiTheme="minorHAnsi"/>
        </w:rPr>
      </w:pPr>
      <w:hyperlink w:anchor="_Toc72137498" w:history="1">
        <w:r w:rsidR="00381DAE" w:rsidRPr="00195B67">
          <w:rPr>
            <w:rStyle w:val="Hyperlink"/>
            <w:rFonts w:eastAsia="Times New Roman"/>
          </w:rPr>
          <w:t>Costs and benefits</w:t>
        </w:r>
        <w:r w:rsidR="00381DAE" w:rsidRPr="00195B67">
          <w:rPr>
            <w:webHidden/>
          </w:rPr>
          <w:tab/>
        </w:r>
        <w:r w:rsidR="00381DAE" w:rsidRPr="00195B67">
          <w:rPr>
            <w:webHidden/>
          </w:rPr>
          <w:fldChar w:fldCharType="begin"/>
        </w:r>
        <w:r w:rsidR="00381DAE" w:rsidRPr="00195B67">
          <w:rPr>
            <w:webHidden/>
          </w:rPr>
          <w:instrText xml:space="preserve"> PAGEREF _Toc72137498 \h </w:instrText>
        </w:r>
        <w:r w:rsidR="00381DAE" w:rsidRPr="00195B67">
          <w:rPr>
            <w:webHidden/>
          </w:rPr>
        </w:r>
        <w:r w:rsidR="00381DAE" w:rsidRPr="00195B67">
          <w:rPr>
            <w:webHidden/>
          </w:rPr>
          <w:fldChar w:fldCharType="separate"/>
        </w:r>
        <w:r w:rsidR="00381DAE" w:rsidRPr="00195B67">
          <w:rPr>
            <w:webHidden/>
          </w:rPr>
          <w:t>20</w:t>
        </w:r>
        <w:r w:rsidR="00381DAE" w:rsidRPr="00195B67">
          <w:rPr>
            <w:webHidden/>
          </w:rPr>
          <w:fldChar w:fldCharType="end"/>
        </w:r>
      </w:hyperlink>
    </w:p>
    <w:p w14:paraId="09B97EF9" w14:textId="77777777" w:rsidR="00381DAE" w:rsidRPr="00195B67" w:rsidRDefault="009F5FE0" w:rsidP="00381DAE">
      <w:pPr>
        <w:pStyle w:val="TOC1"/>
        <w:rPr>
          <w:rFonts w:asciiTheme="minorHAnsi" w:hAnsiTheme="minorHAnsi"/>
        </w:rPr>
      </w:pPr>
      <w:hyperlink w:anchor="_Toc72137499" w:history="1">
        <w:r w:rsidR="00381DAE" w:rsidRPr="00195B67">
          <w:rPr>
            <w:rStyle w:val="Hyperlink"/>
            <w:rFonts w:eastAsia="Times New Roman"/>
          </w:rPr>
          <w:t>What we heard – Proposal two</w:t>
        </w:r>
        <w:r w:rsidR="00381DAE" w:rsidRPr="00195B67">
          <w:rPr>
            <w:webHidden/>
          </w:rPr>
          <w:tab/>
        </w:r>
        <w:r w:rsidR="00381DAE">
          <w:rPr>
            <w:webHidden/>
          </w:rPr>
          <w:t>20</w:t>
        </w:r>
      </w:hyperlink>
    </w:p>
    <w:p w14:paraId="2C48DDF1" w14:textId="77777777" w:rsidR="00381DAE" w:rsidRPr="00195B67" w:rsidRDefault="009F5FE0" w:rsidP="00381DAE">
      <w:pPr>
        <w:pStyle w:val="TOC2"/>
        <w:rPr>
          <w:rFonts w:asciiTheme="minorHAnsi" w:hAnsiTheme="minorHAnsi"/>
        </w:rPr>
      </w:pPr>
      <w:hyperlink w:anchor="_Toc72137500" w:history="1">
        <w:r w:rsidR="00381DAE" w:rsidRPr="00195B67">
          <w:rPr>
            <w:rStyle w:val="Hyperlink"/>
            <w:rFonts w:eastAsia="Times New Roman"/>
          </w:rPr>
          <w:t>Widespread support for phasing out single-use plastics</w:t>
        </w:r>
        <w:r w:rsidR="00381DAE" w:rsidRPr="00195B67">
          <w:rPr>
            <w:webHidden/>
          </w:rPr>
          <w:tab/>
        </w:r>
        <w:r w:rsidR="00381DAE">
          <w:rPr>
            <w:webHidden/>
          </w:rPr>
          <w:t>20</w:t>
        </w:r>
      </w:hyperlink>
    </w:p>
    <w:p w14:paraId="027724F8" w14:textId="77777777" w:rsidR="00381DAE" w:rsidRPr="00195B67" w:rsidRDefault="009F5FE0" w:rsidP="00381DAE">
      <w:pPr>
        <w:pStyle w:val="TOC2"/>
        <w:rPr>
          <w:rFonts w:asciiTheme="minorHAnsi" w:hAnsiTheme="minorHAnsi"/>
        </w:rPr>
      </w:pPr>
      <w:hyperlink w:anchor="_Toc72137501" w:history="1">
        <w:r w:rsidR="00381DAE" w:rsidRPr="00195B67">
          <w:rPr>
            <w:rStyle w:val="Hyperlink"/>
            <w:rFonts w:eastAsia="Times New Roman"/>
          </w:rPr>
          <w:t>Produce bags can easily be phased out</w:t>
        </w:r>
        <w:r w:rsidR="00381DAE" w:rsidRPr="00195B67">
          <w:rPr>
            <w:webHidden/>
          </w:rPr>
          <w:tab/>
        </w:r>
        <w:r w:rsidR="00381DAE">
          <w:rPr>
            <w:webHidden/>
          </w:rPr>
          <w:t>21</w:t>
        </w:r>
      </w:hyperlink>
    </w:p>
    <w:p w14:paraId="2FD1FD56" w14:textId="77777777" w:rsidR="00381DAE" w:rsidRPr="00195B67" w:rsidRDefault="009F5FE0" w:rsidP="00381DAE">
      <w:pPr>
        <w:pStyle w:val="TOC2"/>
        <w:rPr>
          <w:rFonts w:asciiTheme="minorHAnsi" w:hAnsiTheme="minorHAnsi"/>
        </w:rPr>
      </w:pPr>
      <w:hyperlink w:anchor="_Toc72137502" w:history="1">
        <w:r w:rsidR="00381DAE" w:rsidRPr="00195B67">
          <w:rPr>
            <w:rStyle w:val="Hyperlink"/>
          </w:rPr>
          <w:t>Tableware can easily be phased out</w:t>
        </w:r>
        <w:r w:rsidR="00381DAE" w:rsidRPr="00195B67">
          <w:rPr>
            <w:webHidden/>
          </w:rPr>
          <w:tab/>
        </w:r>
        <w:r w:rsidR="00381DAE">
          <w:rPr>
            <w:webHidden/>
          </w:rPr>
          <w:t>21</w:t>
        </w:r>
      </w:hyperlink>
    </w:p>
    <w:p w14:paraId="25F08B69" w14:textId="77777777" w:rsidR="00381DAE" w:rsidRPr="00195B67" w:rsidRDefault="009F5FE0" w:rsidP="00381DAE">
      <w:pPr>
        <w:pStyle w:val="TOC2"/>
        <w:rPr>
          <w:rFonts w:asciiTheme="minorHAnsi" w:hAnsiTheme="minorHAnsi"/>
        </w:rPr>
      </w:pPr>
      <w:hyperlink w:anchor="_Toc72137503" w:history="1">
        <w:r w:rsidR="00381DAE" w:rsidRPr="00195B67">
          <w:rPr>
            <w:rStyle w:val="Hyperlink"/>
            <w:rFonts w:eastAsia="Times New Roman"/>
          </w:rPr>
          <w:t>Significant support for phasing out produce labels, with </w:t>
        </w:r>
        <w:r w:rsidR="00381DAE" w:rsidRPr="00195B67">
          <w:rPr>
            <w:rStyle w:val="Hyperlink"/>
          </w:rPr>
          <w:t>some challenges</w:t>
        </w:r>
        <w:r w:rsidR="00381DAE" w:rsidRPr="00195B67">
          <w:rPr>
            <w:webHidden/>
          </w:rPr>
          <w:tab/>
        </w:r>
        <w:r w:rsidR="00381DAE">
          <w:rPr>
            <w:webHidden/>
          </w:rPr>
          <w:t>21</w:t>
        </w:r>
      </w:hyperlink>
    </w:p>
    <w:p w14:paraId="18210A59" w14:textId="77777777" w:rsidR="00381DAE" w:rsidRPr="00195B67" w:rsidRDefault="009F5FE0" w:rsidP="00381DAE">
      <w:pPr>
        <w:pStyle w:val="TOC2"/>
        <w:rPr>
          <w:rFonts w:asciiTheme="minorHAnsi" w:hAnsiTheme="minorHAnsi"/>
        </w:rPr>
      </w:pPr>
      <w:hyperlink w:anchor="_Toc72137504" w:history="1">
        <w:r w:rsidR="00381DAE" w:rsidRPr="00195B67">
          <w:rPr>
            <w:rStyle w:val="Hyperlink"/>
          </w:rPr>
          <w:t>Drink stirrers can easily be phased out</w:t>
        </w:r>
        <w:r w:rsidR="00381DAE" w:rsidRPr="00195B67">
          <w:rPr>
            <w:webHidden/>
          </w:rPr>
          <w:tab/>
        </w:r>
        <w:r w:rsidR="00381DAE">
          <w:rPr>
            <w:webHidden/>
          </w:rPr>
          <w:t>22</w:t>
        </w:r>
      </w:hyperlink>
    </w:p>
    <w:p w14:paraId="4696AB95" w14:textId="77777777" w:rsidR="00381DAE" w:rsidRPr="00195B67" w:rsidRDefault="009F5FE0" w:rsidP="00381DAE">
      <w:pPr>
        <w:pStyle w:val="TOC2"/>
        <w:rPr>
          <w:rFonts w:asciiTheme="minorHAnsi" w:hAnsiTheme="minorHAnsi"/>
        </w:rPr>
      </w:pPr>
      <w:hyperlink w:anchor="_Toc72137505" w:history="1">
        <w:r w:rsidR="00381DAE" w:rsidRPr="00195B67">
          <w:rPr>
            <w:rStyle w:val="Hyperlink"/>
            <w:rFonts w:eastAsia="Times New Roman"/>
          </w:rPr>
          <w:t>Cotton buds can easily be phased out</w:t>
        </w:r>
        <w:r w:rsidR="00381DAE" w:rsidRPr="00195B67">
          <w:rPr>
            <w:webHidden/>
          </w:rPr>
          <w:tab/>
        </w:r>
        <w:r w:rsidR="00381DAE">
          <w:rPr>
            <w:webHidden/>
          </w:rPr>
          <w:t>22</w:t>
        </w:r>
      </w:hyperlink>
    </w:p>
    <w:p w14:paraId="1D415643" w14:textId="77777777" w:rsidR="00381DAE" w:rsidRPr="00195B67" w:rsidRDefault="009F5FE0" w:rsidP="00381DAE">
      <w:pPr>
        <w:pStyle w:val="TOC2"/>
        <w:rPr>
          <w:rFonts w:asciiTheme="minorHAnsi" w:hAnsiTheme="minorHAnsi"/>
        </w:rPr>
      </w:pPr>
      <w:hyperlink w:anchor="_Toc72137506" w:history="1">
        <w:r w:rsidR="00381DAE" w:rsidRPr="00195B67">
          <w:rPr>
            <w:rStyle w:val="Hyperlink"/>
          </w:rPr>
          <w:t>Feedback on phasing out drinking straws is mixed</w:t>
        </w:r>
        <w:r w:rsidR="00381DAE" w:rsidRPr="00195B67">
          <w:rPr>
            <w:webHidden/>
          </w:rPr>
          <w:tab/>
        </w:r>
        <w:r w:rsidR="00381DAE">
          <w:rPr>
            <w:webHidden/>
          </w:rPr>
          <w:t>23</w:t>
        </w:r>
      </w:hyperlink>
    </w:p>
    <w:p w14:paraId="6E9707BA" w14:textId="15CDFBD7" w:rsidR="00381DAE" w:rsidRPr="00195B67" w:rsidRDefault="009F5FE0" w:rsidP="00381DAE">
      <w:pPr>
        <w:pStyle w:val="TOC2"/>
        <w:rPr>
          <w:rFonts w:asciiTheme="minorHAnsi" w:hAnsiTheme="minorHAnsi"/>
        </w:rPr>
      </w:pPr>
      <w:hyperlink w:anchor="_Toc72137507" w:history="1">
        <w:r w:rsidR="00381DAE" w:rsidRPr="00195B67">
          <w:rPr>
            <w:rStyle w:val="Hyperlink"/>
          </w:rPr>
          <w:t>Widespread support for phasing out cups and their lids</w:t>
        </w:r>
        <w:r w:rsidR="00381DAE" w:rsidRPr="00195B67">
          <w:rPr>
            <w:webHidden/>
          </w:rPr>
          <w:tab/>
        </w:r>
        <w:r w:rsidR="007B238A">
          <w:rPr>
            <w:webHidden/>
          </w:rPr>
          <w:t>23</w:t>
        </w:r>
      </w:hyperlink>
    </w:p>
    <w:p w14:paraId="33105E09" w14:textId="77777777" w:rsidR="00381DAE" w:rsidRPr="00195B67" w:rsidRDefault="009F5FE0" w:rsidP="00381DAE">
      <w:pPr>
        <w:pStyle w:val="TOC2"/>
        <w:rPr>
          <w:rFonts w:asciiTheme="minorHAnsi" w:hAnsiTheme="minorHAnsi"/>
        </w:rPr>
      </w:pPr>
      <w:hyperlink w:anchor="_Toc72137508" w:history="1">
        <w:r w:rsidR="00381DAE" w:rsidRPr="00195B67">
          <w:rPr>
            <w:rStyle w:val="Hyperlink"/>
            <w:rFonts w:eastAsia="Times New Roman"/>
          </w:rPr>
          <w:t>Taking action on other single-use items</w:t>
        </w:r>
        <w:r w:rsidR="00381DAE" w:rsidRPr="00195B67">
          <w:rPr>
            <w:webHidden/>
          </w:rPr>
          <w:tab/>
        </w:r>
        <w:r w:rsidR="00381DAE">
          <w:rPr>
            <w:webHidden/>
          </w:rPr>
          <w:t>24</w:t>
        </w:r>
      </w:hyperlink>
    </w:p>
    <w:p w14:paraId="15F455AA" w14:textId="77777777" w:rsidR="00381DAE" w:rsidRPr="00195B67" w:rsidRDefault="009F5FE0" w:rsidP="00381DAE">
      <w:pPr>
        <w:pStyle w:val="TOC2"/>
        <w:rPr>
          <w:rFonts w:asciiTheme="minorHAnsi" w:hAnsiTheme="minorHAnsi"/>
        </w:rPr>
      </w:pPr>
      <w:hyperlink w:anchor="_Toc72137509" w:history="1">
        <w:r w:rsidR="00381DAE" w:rsidRPr="00195B67">
          <w:rPr>
            <w:rStyle w:val="Hyperlink"/>
          </w:rPr>
          <w:t>Phase-out period</w:t>
        </w:r>
        <w:r w:rsidR="00381DAE" w:rsidRPr="00195B67">
          <w:rPr>
            <w:webHidden/>
          </w:rPr>
          <w:tab/>
        </w:r>
        <w:r w:rsidR="00381DAE">
          <w:rPr>
            <w:webHidden/>
          </w:rPr>
          <w:t>26</w:t>
        </w:r>
      </w:hyperlink>
    </w:p>
    <w:p w14:paraId="59871ECB" w14:textId="77777777" w:rsidR="00381DAE" w:rsidRPr="00195B67" w:rsidRDefault="009F5FE0" w:rsidP="00381DAE">
      <w:pPr>
        <w:pStyle w:val="TOC1"/>
        <w:rPr>
          <w:rFonts w:asciiTheme="minorHAnsi" w:hAnsiTheme="minorHAnsi"/>
        </w:rPr>
      </w:pPr>
      <w:hyperlink w:anchor="_Toc72137510" w:history="1">
        <w:r w:rsidR="00381DAE" w:rsidRPr="00195B67">
          <w:rPr>
            <w:rStyle w:val="Hyperlink"/>
          </w:rPr>
          <w:t>Where to from here?</w:t>
        </w:r>
        <w:r w:rsidR="00381DAE" w:rsidRPr="00195B67">
          <w:rPr>
            <w:webHidden/>
          </w:rPr>
          <w:tab/>
        </w:r>
        <w:r w:rsidR="00381DAE">
          <w:rPr>
            <w:webHidden/>
          </w:rPr>
          <w:t>28</w:t>
        </w:r>
      </w:hyperlink>
    </w:p>
    <w:p w14:paraId="2FB528E4" w14:textId="77777777" w:rsidR="00381DAE" w:rsidRPr="00195B67" w:rsidRDefault="009F5FE0" w:rsidP="00381DAE">
      <w:pPr>
        <w:pStyle w:val="TOC2"/>
        <w:rPr>
          <w:rFonts w:asciiTheme="minorHAnsi" w:hAnsiTheme="minorHAnsi"/>
        </w:rPr>
      </w:pPr>
      <w:hyperlink w:anchor="_Toc72137511" w:history="1">
        <w:r w:rsidR="00381DAE" w:rsidRPr="00195B67">
          <w:rPr>
            <w:rStyle w:val="Hyperlink"/>
            <w:rFonts w:eastAsia="Times New Roman"/>
          </w:rPr>
          <w:t>Moving away from single-use items and towards sustainable, reusable alternatives</w:t>
        </w:r>
        <w:r w:rsidR="00381DAE" w:rsidRPr="00195B67">
          <w:rPr>
            <w:webHidden/>
          </w:rPr>
          <w:tab/>
        </w:r>
        <w:r w:rsidR="00381DAE">
          <w:rPr>
            <w:webHidden/>
          </w:rPr>
          <w:t>28</w:t>
        </w:r>
      </w:hyperlink>
    </w:p>
    <w:p w14:paraId="53EE6FD2" w14:textId="77777777" w:rsidR="00381DAE" w:rsidRPr="00195B67" w:rsidRDefault="009F5FE0" w:rsidP="00381DAE">
      <w:pPr>
        <w:pStyle w:val="TOC2"/>
        <w:rPr>
          <w:rFonts w:asciiTheme="minorHAnsi" w:hAnsiTheme="minorHAnsi"/>
        </w:rPr>
      </w:pPr>
      <w:hyperlink w:anchor="_Toc72137512" w:history="1">
        <w:r w:rsidR="00381DAE" w:rsidRPr="00195B67">
          <w:rPr>
            <w:rStyle w:val="Hyperlink"/>
          </w:rPr>
          <w:t>Tools to transition away from single-use and hard-to-recycle plastics</w:t>
        </w:r>
        <w:r w:rsidR="00381DAE" w:rsidRPr="00195B67">
          <w:rPr>
            <w:webHidden/>
          </w:rPr>
          <w:tab/>
        </w:r>
        <w:r w:rsidR="00381DAE">
          <w:rPr>
            <w:webHidden/>
          </w:rPr>
          <w:t>28</w:t>
        </w:r>
      </w:hyperlink>
    </w:p>
    <w:p w14:paraId="7D449F94" w14:textId="77777777" w:rsidR="00381DAE" w:rsidRPr="00195B67" w:rsidRDefault="009F5FE0" w:rsidP="00381DAE">
      <w:pPr>
        <w:pStyle w:val="TOC2"/>
        <w:rPr>
          <w:rFonts w:asciiTheme="minorHAnsi" w:hAnsiTheme="minorHAnsi"/>
        </w:rPr>
      </w:pPr>
      <w:hyperlink w:anchor="_Toc72137513" w:history="1">
        <w:r w:rsidR="00381DAE" w:rsidRPr="00195B67">
          <w:rPr>
            <w:rStyle w:val="Hyperlink"/>
            <w:rFonts w:eastAsia="Times New Roman"/>
          </w:rPr>
          <w:t>Compliance, monitoring and enforcement</w:t>
        </w:r>
        <w:r w:rsidR="00381DAE" w:rsidRPr="00195B67">
          <w:rPr>
            <w:webHidden/>
          </w:rPr>
          <w:tab/>
        </w:r>
        <w:r w:rsidR="00381DAE">
          <w:rPr>
            <w:webHidden/>
          </w:rPr>
          <w:t>30</w:t>
        </w:r>
      </w:hyperlink>
    </w:p>
    <w:p w14:paraId="4CAAFE3B" w14:textId="77777777" w:rsidR="00381DAE" w:rsidRPr="00195B67" w:rsidRDefault="009F5FE0" w:rsidP="00381DAE">
      <w:pPr>
        <w:pStyle w:val="TOC2"/>
        <w:rPr>
          <w:rFonts w:asciiTheme="minorHAnsi" w:hAnsiTheme="minorHAnsi"/>
        </w:rPr>
      </w:pPr>
      <w:hyperlink w:anchor="_Toc72137514" w:history="1">
        <w:r w:rsidR="00381DAE" w:rsidRPr="00195B67">
          <w:rPr>
            <w:rStyle w:val="Hyperlink"/>
            <w:rFonts w:eastAsia="Times New Roman"/>
          </w:rPr>
          <w:t>Next steps and policy decisions</w:t>
        </w:r>
        <w:r w:rsidR="00381DAE" w:rsidRPr="00195B67">
          <w:rPr>
            <w:webHidden/>
          </w:rPr>
          <w:tab/>
        </w:r>
        <w:r w:rsidR="00381DAE">
          <w:rPr>
            <w:webHidden/>
          </w:rPr>
          <w:t>31</w:t>
        </w:r>
      </w:hyperlink>
    </w:p>
    <w:p w14:paraId="56E7F4E0" w14:textId="77777777" w:rsidR="00381DAE" w:rsidRPr="00195B67" w:rsidRDefault="00381DAE" w:rsidP="00381DAE">
      <w:pPr>
        <w:pStyle w:val="BodyText"/>
      </w:pPr>
      <w:r w:rsidRPr="00195B67">
        <w:fldChar w:fldCharType="end"/>
      </w:r>
    </w:p>
    <w:p w14:paraId="1BAA0E3E" w14:textId="77777777" w:rsidR="00381DAE" w:rsidRPr="00195B67" w:rsidRDefault="00381DAE" w:rsidP="00381DAE">
      <w:pPr>
        <w:spacing w:before="0" w:after="200" w:line="276" w:lineRule="auto"/>
        <w:jc w:val="left"/>
      </w:pPr>
      <w:r w:rsidRPr="00195B67">
        <w:br w:type="page"/>
      </w:r>
    </w:p>
    <w:p w14:paraId="65F12455" w14:textId="77777777" w:rsidR="00381DAE" w:rsidRPr="00195B67" w:rsidRDefault="00381DAE" w:rsidP="00381DAE">
      <w:pPr>
        <w:pStyle w:val="Heading"/>
      </w:pPr>
      <w:r w:rsidRPr="00195B67">
        <w:lastRenderedPageBreak/>
        <w:t>Figures</w:t>
      </w:r>
    </w:p>
    <w:p w14:paraId="6F0BB97A" w14:textId="77777777" w:rsidR="00381DAE" w:rsidRPr="00195B67" w:rsidRDefault="00381DAE" w:rsidP="00381DAE">
      <w:pPr>
        <w:pStyle w:val="TableofFigures"/>
        <w:tabs>
          <w:tab w:val="right" w:pos="8495"/>
        </w:tabs>
        <w:rPr>
          <w:rFonts w:asciiTheme="minorHAnsi" w:hAnsiTheme="minorHAnsi"/>
        </w:rPr>
      </w:pPr>
      <w:r w:rsidRPr="00195B67">
        <w:fldChar w:fldCharType="begin"/>
      </w:r>
      <w:r w:rsidRPr="00195B67">
        <w:instrText xml:space="preserve"> TOC \h \z \t "Figure heading" \c </w:instrText>
      </w:r>
      <w:r w:rsidRPr="00195B67">
        <w:fldChar w:fldCharType="separate"/>
      </w:r>
      <w:hyperlink w:anchor="_Toc72137527" w:history="1">
        <w:r w:rsidRPr="00195B67">
          <w:rPr>
            <w:rStyle w:val="Hyperlink"/>
          </w:rPr>
          <w:t xml:space="preserve">Figure 1: </w:t>
        </w:r>
        <w:r w:rsidRPr="00195B67">
          <w:rPr>
            <w:rFonts w:asciiTheme="minorHAnsi" w:hAnsiTheme="minorHAnsi"/>
          </w:rPr>
          <w:tab/>
        </w:r>
        <w:r w:rsidRPr="00195B67">
          <w:rPr>
            <w:rStyle w:val="Hyperlink"/>
          </w:rPr>
          <w:t>Overall support for more action on plastics</w:t>
        </w:r>
        <w:r w:rsidRPr="00195B67">
          <w:rPr>
            <w:webHidden/>
          </w:rPr>
          <w:tab/>
        </w:r>
        <w:r w:rsidRPr="00195B67">
          <w:rPr>
            <w:webHidden/>
          </w:rPr>
          <w:fldChar w:fldCharType="begin"/>
        </w:r>
        <w:r w:rsidRPr="00195B67">
          <w:rPr>
            <w:webHidden/>
          </w:rPr>
          <w:instrText xml:space="preserve"> PAGEREF _Toc72137527 \h </w:instrText>
        </w:r>
        <w:r w:rsidRPr="00195B67">
          <w:rPr>
            <w:webHidden/>
          </w:rPr>
        </w:r>
        <w:r w:rsidRPr="00195B67">
          <w:rPr>
            <w:webHidden/>
          </w:rPr>
          <w:fldChar w:fldCharType="separate"/>
        </w:r>
        <w:r w:rsidRPr="00195B67">
          <w:rPr>
            <w:webHidden/>
          </w:rPr>
          <w:t>11</w:t>
        </w:r>
        <w:r w:rsidRPr="00195B67">
          <w:rPr>
            <w:webHidden/>
          </w:rPr>
          <w:fldChar w:fldCharType="end"/>
        </w:r>
      </w:hyperlink>
    </w:p>
    <w:p w14:paraId="2FD76D0A" w14:textId="77777777" w:rsidR="00381DAE" w:rsidRPr="00195B67" w:rsidRDefault="009F5FE0" w:rsidP="00381DAE">
      <w:pPr>
        <w:pStyle w:val="TableofFigures"/>
        <w:tabs>
          <w:tab w:val="right" w:pos="8495"/>
        </w:tabs>
        <w:rPr>
          <w:rFonts w:asciiTheme="minorHAnsi" w:hAnsiTheme="minorHAnsi"/>
        </w:rPr>
      </w:pPr>
      <w:hyperlink w:anchor="_Toc72137528" w:history="1">
        <w:r w:rsidR="00381DAE" w:rsidRPr="00195B67">
          <w:rPr>
            <w:rStyle w:val="Hyperlink"/>
          </w:rPr>
          <w:t xml:space="preserve">Figure 2: </w:t>
        </w:r>
        <w:r w:rsidR="00381DAE" w:rsidRPr="00195B67">
          <w:rPr>
            <w:rFonts w:asciiTheme="minorHAnsi" w:hAnsiTheme="minorHAnsi"/>
          </w:rPr>
          <w:tab/>
        </w:r>
        <w:r w:rsidR="00381DAE" w:rsidRPr="00195B67">
          <w:rPr>
            <w:rStyle w:val="Hyperlink"/>
          </w:rPr>
          <w:t>Overall support for more action on plastics by submitter type</w:t>
        </w:r>
        <w:r w:rsidR="00381DAE" w:rsidRPr="00195B67">
          <w:rPr>
            <w:webHidden/>
          </w:rPr>
          <w:tab/>
        </w:r>
        <w:r w:rsidR="00381DAE" w:rsidRPr="00195B67">
          <w:rPr>
            <w:webHidden/>
          </w:rPr>
          <w:fldChar w:fldCharType="begin"/>
        </w:r>
        <w:r w:rsidR="00381DAE" w:rsidRPr="00195B67">
          <w:rPr>
            <w:webHidden/>
          </w:rPr>
          <w:instrText xml:space="preserve"> PAGEREF _Toc72137528 \h </w:instrText>
        </w:r>
        <w:r w:rsidR="00381DAE" w:rsidRPr="00195B67">
          <w:rPr>
            <w:webHidden/>
          </w:rPr>
        </w:r>
        <w:r w:rsidR="00381DAE" w:rsidRPr="00195B67">
          <w:rPr>
            <w:webHidden/>
          </w:rPr>
          <w:fldChar w:fldCharType="separate"/>
        </w:r>
        <w:r w:rsidR="00381DAE" w:rsidRPr="00195B67">
          <w:rPr>
            <w:webHidden/>
          </w:rPr>
          <w:t>12</w:t>
        </w:r>
        <w:r w:rsidR="00381DAE" w:rsidRPr="00195B67">
          <w:rPr>
            <w:webHidden/>
          </w:rPr>
          <w:fldChar w:fldCharType="end"/>
        </w:r>
      </w:hyperlink>
    </w:p>
    <w:p w14:paraId="767EEBE0" w14:textId="77777777" w:rsidR="00381DAE" w:rsidRPr="00195B67" w:rsidRDefault="009F5FE0" w:rsidP="00381DAE">
      <w:pPr>
        <w:pStyle w:val="TableofFigures"/>
        <w:tabs>
          <w:tab w:val="right" w:pos="8495"/>
        </w:tabs>
        <w:rPr>
          <w:rFonts w:asciiTheme="minorHAnsi" w:hAnsiTheme="minorHAnsi"/>
        </w:rPr>
      </w:pPr>
      <w:hyperlink w:anchor="_Toc72137529" w:history="1">
        <w:r w:rsidR="00381DAE" w:rsidRPr="00195B67">
          <w:rPr>
            <w:rStyle w:val="Hyperlink"/>
          </w:rPr>
          <w:t xml:space="preserve">Figure 3: </w:t>
        </w:r>
        <w:r w:rsidR="00381DAE" w:rsidRPr="00195B67">
          <w:rPr>
            <w:rFonts w:asciiTheme="minorHAnsi" w:hAnsiTheme="minorHAnsi"/>
          </w:rPr>
          <w:tab/>
        </w:r>
        <w:r w:rsidR="00381DAE" w:rsidRPr="00195B67">
          <w:rPr>
            <w:rStyle w:val="Hyperlink"/>
          </w:rPr>
          <w:t>Overall support for proposal one</w:t>
        </w:r>
        <w:r w:rsidR="00381DAE" w:rsidRPr="00195B67">
          <w:rPr>
            <w:webHidden/>
          </w:rPr>
          <w:tab/>
        </w:r>
        <w:r w:rsidR="00381DAE" w:rsidRPr="00195B67">
          <w:rPr>
            <w:webHidden/>
          </w:rPr>
          <w:fldChar w:fldCharType="begin"/>
        </w:r>
        <w:r w:rsidR="00381DAE" w:rsidRPr="00195B67">
          <w:rPr>
            <w:webHidden/>
          </w:rPr>
          <w:instrText xml:space="preserve"> PAGEREF _Toc72137529 \h </w:instrText>
        </w:r>
        <w:r w:rsidR="00381DAE" w:rsidRPr="00195B67">
          <w:rPr>
            <w:webHidden/>
          </w:rPr>
        </w:r>
        <w:r w:rsidR="00381DAE" w:rsidRPr="00195B67">
          <w:rPr>
            <w:webHidden/>
          </w:rPr>
          <w:fldChar w:fldCharType="separate"/>
        </w:r>
        <w:r w:rsidR="00381DAE" w:rsidRPr="00195B67">
          <w:rPr>
            <w:webHidden/>
          </w:rPr>
          <w:t>13</w:t>
        </w:r>
        <w:r w:rsidR="00381DAE" w:rsidRPr="00195B67">
          <w:rPr>
            <w:webHidden/>
          </w:rPr>
          <w:fldChar w:fldCharType="end"/>
        </w:r>
      </w:hyperlink>
    </w:p>
    <w:p w14:paraId="7E2BE902" w14:textId="77777777" w:rsidR="00381DAE" w:rsidRPr="00195B67" w:rsidRDefault="009F5FE0" w:rsidP="00381DAE">
      <w:pPr>
        <w:pStyle w:val="TableofFigures"/>
        <w:tabs>
          <w:tab w:val="right" w:pos="8495"/>
        </w:tabs>
        <w:rPr>
          <w:rFonts w:asciiTheme="minorHAnsi" w:hAnsiTheme="minorHAnsi"/>
        </w:rPr>
      </w:pPr>
      <w:hyperlink w:anchor="_Toc72137530" w:history="1">
        <w:r w:rsidR="00381DAE" w:rsidRPr="00195B67">
          <w:rPr>
            <w:rStyle w:val="Hyperlink"/>
          </w:rPr>
          <w:t xml:space="preserve">Figure 4: </w:t>
        </w:r>
        <w:r w:rsidR="00381DAE" w:rsidRPr="00195B67">
          <w:rPr>
            <w:rFonts w:asciiTheme="minorHAnsi" w:hAnsiTheme="minorHAnsi"/>
          </w:rPr>
          <w:tab/>
        </w:r>
        <w:r w:rsidR="00381DAE" w:rsidRPr="00195B67">
          <w:rPr>
            <w:rStyle w:val="Hyperlink"/>
          </w:rPr>
          <w:t>Support for proposal one by submitter type</w:t>
        </w:r>
        <w:r w:rsidR="00381DAE" w:rsidRPr="00195B67">
          <w:rPr>
            <w:webHidden/>
          </w:rPr>
          <w:tab/>
        </w:r>
        <w:r w:rsidR="00381DAE" w:rsidRPr="00195B67">
          <w:rPr>
            <w:webHidden/>
          </w:rPr>
          <w:fldChar w:fldCharType="begin"/>
        </w:r>
        <w:r w:rsidR="00381DAE" w:rsidRPr="00195B67">
          <w:rPr>
            <w:webHidden/>
          </w:rPr>
          <w:instrText xml:space="preserve"> PAGEREF _Toc72137530 \h </w:instrText>
        </w:r>
        <w:r w:rsidR="00381DAE" w:rsidRPr="00195B67">
          <w:rPr>
            <w:webHidden/>
          </w:rPr>
        </w:r>
        <w:r w:rsidR="00381DAE" w:rsidRPr="00195B67">
          <w:rPr>
            <w:webHidden/>
          </w:rPr>
          <w:fldChar w:fldCharType="separate"/>
        </w:r>
        <w:r w:rsidR="00381DAE" w:rsidRPr="00195B67">
          <w:rPr>
            <w:webHidden/>
          </w:rPr>
          <w:t>14</w:t>
        </w:r>
        <w:r w:rsidR="00381DAE" w:rsidRPr="00195B67">
          <w:rPr>
            <w:webHidden/>
          </w:rPr>
          <w:fldChar w:fldCharType="end"/>
        </w:r>
      </w:hyperlink>
    </w:p>
    <w:p w14:paraId="7596DCA5" w14:textId="77777777" w:rsidR="00381DAE" w:rsidRPr="00195B67" w:rsidRDefault="009F5FE0" w:rsidP="00381DAE">
      <w:pPr>
        <w:pStyle w:val="TableofFigures"/>
        <w:tabs>
          <w:tab w:val="right" w:pos="8495"/>
        </w:tabs>
        <w:rPr>
          <w:rFonts w:asciiTheme="minorHAnsi" w:hAnsiTheme="minorHAnsi"/>
        </w:rPr>
      </w:pPr>
      <w:hyperlink w:anchor="_Toc72137531" w:history="1">
        <w:r w:rsidR="00381DAE" w:rsidRPr="00195B67">
          <w:rPr>
            <w:rStyle w:val="Hyperlink"/>
          </w:rPr>
          <w:t xml:space="preserve">Figure 5: </w:t>
        </w:r>
        <w:r w:rsidR="00381DAE" w:rsidRPr="00195B67">
          <w:rPr>
            <w:rFonts w:asciiTheme="minorHAnsi" w:hAnsiTheme="minorHAnsi"/>
          </w:rPr>
          <w:tab/>
        </w:r>
        <w:r w:rsidR="00381DAE" w:rsidRPr="00195B67">
          <w:rPr>
            <w:rStyle w:val="Hyperlink"/>
          </w:rPr>
          <w:t>Overall preferences for banning oxo-degradable plastic items</w:t>
        </w:r>
        <w:r w:rsidR="00381DAE" w:rsidRPr="00195B67">
          <w:rPr>
            <w:webHidden/>
          </w:rPr>
          <w:tab/>
        </w:r>
        <w:r w:rsidR="00381DAE" w:rsidRPr="00195B67">
          <w:rPr>
            <w:webHidden/>
          </w:rPr>
          <w:fldChar w:fldCharType="begin"/>
        </w:r>
        <w:r w:rsidR="00381DAE" w:rsidRPr="00195B67">
          <w:rPr>
            <w:webHidden/>
          </w:rPr>
          <w:instrText xml:space="preserve"> PAGEREF _Toc72137531 \h </w:instrText>
        </w:r>
        <w:r w:rsidR="00381DAE" w:rsidRPr="00195B67">
          <w:rPr>
            <w:webHidden/>
          </w:rPr>
        </w:r>
        <w:r w:rsidR="00381DAE" w:rsidRPr="00195B67">
          <w:rPr>
            <w:webHidden/>
          </w:rPr>
          <w:fldChar w:fldCharType="separate"/>
        </w:r>
        <w:r w:rsidR="00381DAE" w:rsidRPr="00195B67">
          <w:rPr>
            <w:webHidden/>
          </w:rPr>
          <w:t>15</w:t>
        </w:r>
        <w:r w:rsidR="00381DAE" w:rsidRPr="00195B67">
          <w:rPr>
            <w:webHidden/>
          </w:rPr>
          <w:fldChar w:fldCharType="end"/>
        </w:r>
      </w:hyperlink>
    </w:p>
    <w:p w14:paraId="379BADF0" w14:textId="77777777" w:rsidR="00381DAE" w:rsidRPr="00195B67" w:rsidRDefault="009F5FE0" w:rsidP="00381DAE">
      <w:pPr>
        <w:pStyle w:val="TableofFigures"/>
        <w:tabs>
          <w:tab w:val="right" w:pos="8495"/>
        </w:tabs>
        <w:rPr>
          <w:rFonts w:asciiTheme="minorHAnsi" w:hAnsiTheme="minorHAnsi"/>
        </w:rPr>
      </w:pPr>
      <w:hyperlink w:anchor="_Toc72137532" w:history="1">
        <w:r w:rsidR="00381DAE" w:rsidRPr="00195B67">
          <w:rPr>
            <w:rStyle w:val="Hyperlink"/>
          </w:rPr>
          <w:t xml:space="preserve">Figure 6: </w:t>
        </w:r>
        <w:r w:rsidR="00381DAE" w:rsidRPr="00195B67">
          <w:rPr>
            <w:rFonts w:asciiTheme="minorHAnsi" w:hAnsiTheme="minorHAnsi"/>
          </w:rPr>
          <w:tab/>
        </w:r>
        <w:r w:rsidR="00381DAE" w:rsidRPr="00195B67">
          <w:rPr>
            <w:rStyle w:val="Hyperlink"/>
          </w:rPr>
          <w:t>Overall preferences for phasing out PVC and polystyrene food and beverage packaging between 2023 and 2025</w:t>
        </w:r>
        <w:r w:rsidR="00381DAE" w:rsidRPr="00195B67">
          <w:rPr>
            <w:webHidden/>
          </w:rPr>
          <w:tab/>
        </w:r>
        <w:r w:rsidR="00381DAE" w:rsidRPr="00195B67">
          <w:rPr>
            <w:webHidden/>
          </w:rPr>
          <w:fldChar w:fldCharType="begin"/>
        </w:r>
        <w:r w:rsidR="00381DAE" w:rsidRPr="00195B67">
          <w:rPr>
            <w:webHidden/>
          </w:rPr>
          <w:instrText xml:space="preserve"> PAGEREF _Toc72137532 \h </w:instrText>
        </w:r>
        <w:r w:rsidR="00381DAE" w:rsidRPr="00195B67">
          <w:rPr>
            <w:webHidden/>
          </w:rPr>
        </w:r>
        <w:r w:rsidR="00381DAE" w:rsidRPr="00195B67">
          <w:rPr>
            <w:webHidden/>
          </w:rPr>
          <w:fldChar w:fldCharType="separate"/>
        </w:r>
        <w:r w:rsidR="00381DAE" w:rsidRPr="00195B67">
          <w:rPr>
            <w:webHidden/>
          </w:rPr>
          <w:t>16</w:t>
        </w:r>
        <w:r w:rsidR="00381DAE" w:rsidRPr="00195B67">
          <w:rPr>
            <w:webHidden/>
          </w:rPr>
          <w:fldChar w:fldCharType="end"/>
        </w:r>
      </w:hyperlink>
    </w:p>
    <w:p w14:paraId="6A6C9DBC" w14:textId="77777777" w:rsidR="00381DAE" w:rsidRPr="00195B67" w:rsidRDefault="009F5FE0" w:rsidP="00381DAE">
      <w:pPr>
        <w:pStyle w:val="TableofFigures"/>
        <w:tabs>
          <w:tab w:val="right" w:pos="8495"/>
        </w:tabs>
        <w:rPr>
          <w:rFonts w:asciiTheme="minorHAnsi" w:hAnsiTheme="minorHAnsi"/>
        </w:rPr>
      </w:pPr>
      <w:hyperlink w:anchor="_Toc72137533" w:history="1">
        <w:r w:rsidR="00381DAE" w:rsidRPr="00195B67">
          <w:rPr>
            <w:rStyle w:val="Hyperlink"/>
            <w:lang w:eastAsia="en-US"/>
          </w:rPr>
          <w:t xml:space="preserve">Figure 7: </w:t>
        </w:r>
        <w:r w:rsidR="00381DAE" w:rsidRPr="00195B67">
          <w:rPr>
            <w:rFonts w:asciiTheme="minorHAnsi" w:hAnsiTheme="minorHAnsi"/>
          </w:rPr>
          <w:tab/>
        </w:r>
        <w:r w:rsidR="00381DAE" w:rsidRPr="00195B67">
          <w:rPr>
            <w:rStyle w:val="Hyperlink"/>
            <w:lang w:eastAsia="en-US"/>
          </w:rPr>
          <w:t xml:space="preserve">Industry and special interest groups support levels for proposed </w:t>
        </w:r>
        <w:r w:rsidR="00381DAE" w:rsidRPr="00195B67">
          <w:rPr>
            <w:rStyle w:val="Hyperlink"/>
          </w:rPr>
          <w:t>timeframe for phasing out PVC food and beverage packaging</w:t>
        </w:r>
        <w:r w:rsidR="00381DAE" w:rsidRPr="00195B67">
          <w:rPr>
            <w:webHidden/>
          </w:rPr>
          <w:tab/>
        </w:r>
        <w:r w:rsidR="00381DAE" w:rsidRPr="00195B67">
          <w:rPr>
            <w:webHidden/>
          </w:rPr>
          <w:fldChar w:fldCharType="begin"/>
        </w:r>
        <w:r w:rsidR="00381DAE" w:rsidRPr="00195B67">
          <w:rPr>
            <w:webHidden/>
          </w:rPr>
          <w:instrText xml:space="preserve"> PAGEREF _Toc72137533 \h </w:instrText>
        </w:r>
        <w:r w:rsidR="00381DAE" w:rsidRPr="00195B67">
          <w:rPr>
            <w:webHidden/>
          </w:rPr>
        </w:r>
        <w:r w:rsidR="00381DAE" w:rsidRPr="00195B67">
          <w:rPr>
            <w:webHidden/>
          </w:rPr>
          <w:fldChar w:fldCharType="separate"/>
        </w:r>
        <w:r w:rsidR="00381DAE" w:rsidRPr="00195B67">
          <w:rPr>
            <w:webHidden/>
          </w:rPr>
          <w:t>17</w:t>
        </w:r>
        <w:r w:rsidR="00381DAE" w:rsidRPr="00195B67">
          <w:rPr>
            <w:webHidden/>
          </w:rPr>
          <w:fldChar w:fldCharType="end"/>
        </w:r>
      </w:hyperlink>
    </w:p>
    <w:p w14:paraId="63EC356C" w14:textId="77777777" w:rsidR="00381DAE" w:rsidRPr="00195B67" w:rsidRDefault="009F5FE0" w:rsidP="00381DAE">
      <w:pPr>
        <w:pStyle w:val="TableofFigures"/>
        <w:tabs>
          <w:tab w:val="right" w:pos="8495"/>
        </w:tabs>
        <w:rPr>
          <w:rFonts w:asciiTheme="minorHAnsi" w:hAnsiTheme="minorHAnsi"/>
        </w:rPr>
      </w:pPr>
      <w:hyperlink w:anchor="_Toc72137534" w:history="1">
        <w:r w:rsidR="00381DAE" w:rsidRPr="00195B67">
          <w:rPr>
            <w:rStyle w:val="Hyperlink"/>
          </w:rPr>
          <w:t xml:space="preserve">Figure 8: </w:t>
        </w:r>
        <w:r w:rsidR="00381DAE" w:rsidRPr="00195B67">
          <w:rPr>
            <w:rFonts w:asciiTheme="minorHAnsi" w:hAnsiTheme="minorHAnsi"/>
          </w:rPr>
          <w:tab/>
        </w:r>
        <w:r w:rsidR="00381DAE" w:rsidRPr="00195B67">
          <w:rPr>
            <w:rStyle w:val="Hyperlink"/>
          </w:rPr>
          <w:t>Overall support levels for proposal two by submitter type</w:t>
        </w:r>
        <w:r w:rsidR="00381DAE" w:rsidRPr="00195B67">
          <w:rPr>
            <w:webHidden/>
          </w:rPr>
          <w:tab/>
        </w:r>
        <w:r w:rsidR="00381DAE">
          <w:rPr>
            <w:webHidden/>
          </w:rPr>
          <w:t>20</w:t>
        </w:r>
      </w:hyperlink>
    </w:p>
    <w:p w14:paraId="77CA614C" w14:textId="77777777" w:rsidR="00381DAE" w:rsidRPr="00195B67" w:rsidRDefault="009F5FE0" w:rsidP="00381DAE">
      <w:pPr>
        <w:pStyle w:val="TableofFigures"/>
        <w:tabs>
          <w:tab w:val="right" w:pos="8495"/>
        </w:tabs>
        <w:rPr>
          <w:rFonts w:asciiTheme="minorHAnsi" w:hAnsiTheme="minorHAnsi"/>
        </w:rPr>
      </w:pPr>
      <w:hyperlink w:anchor="_Toc72137535" w:history="1">
        <w:r w:rsidR="00381DAE" w:rsidRPr="00195B67">
          <w:rPr>
            <w:rStyle w:val="Hyperlink"/>
          </w:rPr>
          <w:t xml:space="preserve">Figure 9: </w:t>
        </w:r>
        <w:r w:rsidR="00381DAE" w:rsidRPr="00195B67">
          <w:rPr>
            <w:rFonts w:asciiTheme="minorHAnsi" w:hAnsiTheme="minorHAnsi"/>
          </w:rPr>
          <w:tab/>
        </w:r>
        <w:r w:rsidR="00381DAE" w:rsidRPr="00195B67">
          <w:rPr>
            <w:rStyle w:val="Hyperlink"/>
          </w:rPr>
          <w:t>Additional single-use items suggested for phase out</w:t>
        </w:r>
        <w:r w:rsidR="00381DAE" w:rsidRPr="00195B67">
          <w:rPr>
            <w:webHidden/>
          </w:rPr>
          <w:tab/>
        </w:r>
        <w:r w:rsidR="00381DAE">
          <w:rPr>
            <w:webHidden/>
          </w:rPr>
          <w:t>26</w:t>
        </w:r>
      </w:hyperlink>
    </w:p>
    <w:p w14:paraId="2A03A47C" w14:textId="77777777" w:rsidR="00381DAE" w:rsidRPr="00195B67" w:rsidRDefault="009F5FE0" w:rsidP="00381DAE">
      <w:pPr>
        <w:pStyle w:val="TableofFigures"/>
        <w:tabs>
          <w:tab w:val="right" w:pos="8495"/>
        </w:tabs>
        <w:rPr>
          <w:rFonts w:asciiTheme="minorHAnsi" w:hAnsiTheme="minorHAnsi"/>
        </w:rPr>
      </w:pPr>
      <w:hyperlink w:anchor="_Toc72137536" w:history="1">
        <w:r w:rsidR="00381DAE" w:rsidRPr="00195B67">
          <w:rPr>
            <w:rStyle w:val="Hyperlink"/>
            <w:rFonts w:eastAsia="Times New Roman"/>
          </w:rPr>
          <w:t xml:space="preserve">Figure 10: </w:t>
        </w:r>
        <w:r w:rsidR="00381DAE" w:rsidRPr="00195B67">
          <w:rPr>
            <w:rFonts w:asciiTheme="minorHAnsi" w:hAnsiTheme="minorHAnsi"/>
          </w:rPr>
          <w:tab/>
        </w:r>
        <w:r w:rsidR="00381DAE" w:rsidRPr="00195B67">
          <w:rPr>
            <w:rStyle w:val="Hyperlink"/>
            <w:rFonts w:eastAsia="Times New Roman"/>
          </w:rPr>
          <w:t>Overall responses on an appropriate phase-out period for proposal two</w:t>
        </w:r>
        <w:r w:rsidR="00381DAE" w:rsidRPr="00195B67">
          <w:rPr>
            <w:webHidden/>
          </w:rPr>
          <w:tab/>
        </w:r>
        <w:r w:rsidR="00381DAE">
          <w:rPr>
            <w:webHidden/>
          </w:rPr>
          <w:t>26</w:t>
        </w:r>
      </w:hyperlink>
    </w:p>
    <w:p w14:paraId="68C9F6E5" w14:textId="77777777" w:rsidR="00381DAE" w:rsidRPr="00195B67" w:rsidRDefault="009F5FE0" w:rsidP="00381DAE">
      <w:pPr>
        <w:pStyle w:val="TableofFigures"/>
        <w:tabs>
          <w:tab w:val="right" w:pos="8495"/>
        </w:tabs>
        <w:rPr>
          <w:rFonts w:asciiTheme="minorHAnsi" w:hAnsiTheme="minorHAnsi"/>
        </w:rPr>
      </w:pPr>
      <w:hyperlink w:anchor="_Toc72137537" w:history="1">
        <w:r w:rsidR="00381DAE" w:rsidRPr="00195B67">
          <w:rPr>
            <w:rStyle w:val="Hyperlink"/>
            <w:rFonts w:eastAsia="Times New Roman"/>
          </w:rPr>
          <w:t xml:space="preserve">Figure 11: </w:t>
        </w:r>
        <w:r w:rsidR="00381DAE" w:rsidRPr="00195B67">
          <w:rPr>
            <w:rFonts w:asciiTheme="minorHAnsi" w:hAnsiTheme="minorHAnsi"/>
          </w:rPr>
          <w:tab/>
        </w:r>
        <w:r w:rsidR="00381DAE" w:rsidRPr="00195B67">
          <w:rPr>
            <w:rStyle w:val="Hyperlink"/>
            <w:rFonts w:eastAsia="Times New Roman"/>
          </w:rPr>
          <w:t>Responses on appropriate phase-out period for proposal two by submitter type</w:t>
        </w:r>
        <w:r w:rsidR="00381DAE" w:rsidRPr="00195B67">
          <w:rPr>
            <w:webHidden/>
          </w:rPr>
          <w:tab/>
        </w:r>
        <w:r w:rsidR="00381DAE">
          <w:rPr>
            <w:webHidden/>
          </w:rPr>
          <w:t>27</w:t>
        </w:r>
      </w:hyperlink>
    </w:p>
    <w:p w14:paraId="7035656F" w14:textId="2711A4D5" w:rsidR="009374D5" w:rsidRPr="00195B67" w:rsidRDefault="00381DAE" w:rsidP="00381DAE">
      <w:pPr>
        <w:pStyle w:val="BodyText"/>
      </w:pPr>
      <w:r w:rsidRPr="00195B67">
        <w:fldChar w:fldCharType="end"/>
      </w:r>
    </w:p>
    <w:p w14:paraId="732176FB" w14:textId="40CABA8A" w:rsidR="00796A6F" w:rsidRPr="00195B67" w:rsidRDefault="00796A6F" w:rsidP="00554B30">
      <w:r w:rsidRPr="00195B67">
        <w:br w:type="page"/>
      </w:r>
    </w:p>
    <w:p w14:paraId="08065F6A" w14:textId="4CF27BD5" w:rsidR="00C83C5E" w:rsidRPr="00195B67" w:rsidRDefault="00C83C5E" w:rsidP="00AB0DF0">
      <w:pPr>
        <w:pStyle w:val="Heading1"/>
        <w:rPr>
          <w:rStyle w:val="Heading1Char"/>
          <w:b/>
        </w:rPr>
      </w:pPr>
      <w:bookmarkStart w:id="2" w:name="_Toc72137486"/>
      <w:bookmarkStart w:id="3" w:name="_Toc526882068"/>
      <w:bookmarkStart w:id="4" w:name="_Toc345760336"/>
      <w:r w:rsidRPr="00195B67">
        <w:rPr>
          <w:rStyle w:val="Heading1Char"/>
          <w:b/>
        </w:rPr>
        <w:lastRenderedPageBreak/>
        <w:t xml:space="preserve">Message from the </w:t>
      </w:r>
      <w:r w:rsidR="009F34DC" w:rsidRPr="00195B67">
        <w:rPr>
          <w:rStyle w:val="Heading1Char"/>
          <w:b/>
        </w:rPr>
        <w:br/>
      </w:r>
      <w:bookmarkEnd w:id="2"/>
      <w:r w:rsidR="00235863">
        <w:rPr>
          <w:rStyle w:val="Heading1Char"/>
          <w:b/>
        </w:rPr>
        <w:t>Secretary for the Environment</w:t>
      </w:r>
      <w:r w:rsidRPr="00195B67">
        <w:rPr>
          <w:rStyle w:val="Heading1Char"/>
          <w:b/>
        </w:rPr>
        <w:t xml:space="preserve"> </w:t>
      </w:r>
    </w:p>
    <w:p w14:paraId="106D1C79" w14:textId="6CE1ECFF" w:rsidR="00315D8B" w:rsidRPr="00195B67" w:rsidRDefault="00235863" w:rsidP="00AB0DF0">
      <w:pPr>
        <w:pStyle w:val="BodyText"/>
      </w:pPr>
      <w:r>
        <w:rPr>
          <w:noProof/>
        </w:rPr>
        <w:drawing>
          <wp:anchor distT="0" distB="0" distL="114300" distR="114300" simplePos="0" relativeHeight="251660288" behindDoc="0" locked="0" layoutInCell="1" allowOverlap="1" wp14:anchorId="7850B0C2" wp14:editId="4C42C3C7">
            <wp:simplePos x="0" y="0"/>
            <wp:positionH relativeFrom="margin">
              <wp:align>left</wp:align>
            </wp:positionH>
            <wp:positionV relativeFrom="paragraph">
              <wp:posOffset>132715</wp:posOffset>
            </wp:positionV>
            <wp:extent cx="1395095" cy="16821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FE Profile Vicky Roberts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95095" cy="1682115"/>
                    </a:xfrm>
                    <a:prstGeom prst="rect">
                      <a:avLst/>
                    </a:prstGeom>
                  </pic:spPr>
                </pic:pic>
              </a:graphicData>
            </a:graphic>
            <wp14:sizeRelH relativeFrom="margin">
              <wp14:pctWidth>0</wp14:pctWidth>
            </wp14:sizeRelH>
            <wp14:sizeRelV relativeFrom="margin">
              <wp14:pctHeight>0</wp14:pctHeight>
            </wp14:sizeRelV>
          </wp:anchor>
        </w:drawing>
      </w:r>
      <w:r w:rsidR="00CC4A00">
        <w:t>The Government’s vision is</w:t>
      </w:r>
      <w:r w:rsidR="00315D8B" w:rsidRPr="00195B67">
        <w:t xml:space="preserve"> for Aotearoa New Zealand to be a low waste, low emissions economy with a world-class system for reducing, </w:t>
      </w:r>
      <w:proofErr w:type="gramStart"/>
      <w:r w:rsidR="00315D8B" w:rsidRPr="00195B67">
        <w:t>recycling</w:t>
      </w:r>
      <w:proofErr w:type="gramEnd"/>
      <w:r w:rsidR="00315D8B" w:rsidRPr="00195B67">
        <w:t xml:space="preserve"> and managing our waste responsibly.</w:t>
      </w:r>
    </w:p>
    <w:p w14:paraId="44EA173D" w14:textId="43235CC3" w:rsidR="00315D8B" w:rsidRPr="00195B67" w:rsidRDefault="005348F2" w:rsidP="00AB0DF0">
      <w:pPr>
        <w:pStyle w:val="BodyText"/>
      </w:pPr>
      <w:r>
        <w:t xml:space="preserve">Our work programme for waste is aimed at accelerating New Zealand’s transition towards </w:t>
      </w:r>
      <w:r w:rsidR="00315D8B" w:rsidRPr="00195B67">
        <w:t xml:space="preserve">a circular economy by designing waste out of the system in the first place, while avoiding undue costs on communities, businesses and our </w:t>
      </w:r>
      <w:proofErr w:type="spellStart"/>
      <w:r w:rsidR="00315D8B" w:rsidRPr="00195B67">
        <w:t>taiao</w:t>
      </w:r>
      <w:proofErr w:type="spellEnd"/>
      <w:r w:rsidR="00315D8B" w:rsidRPr="00195B67">
        <w:t xml:space="preserve"> (environment). </w:t>
      </w:r>
    </w:p>
    <w:p w14:paraId="4B79FE35" w14:textId="744DD1B2" w:rsidR="00315D8B" w:rsidRPr="00195B67" w:rsidRDefault="00235863" w:rsidP="00AB0DF0">
      <w:pPr>
        <w:pStyle w:val="BodyText"/>
      </w:pPr>
      <w:r>
        <w:t>Aotearoa</w:t>
      </w:r>
      <w:r w:rsidR="00315D8B" w:rsidRPr="00195B67">
        <w:t xml:space="preserve"> New Zealand</w:t>
      </w:r>
      <w:r>
        <w:t xml:space="preserve"> has a poor record on waste. </w:t>
      </w:r>
      <w:r w:rsidR="00315D8B" w:rsidRPr="00195B67">
        <w:t xml:space="preserve"> </w:t>
      </w:r>
      <w:r>
        <w:t>W</w:t>
      </w:r>
      <w:r w:rsidR="00315D8B" w:rsidRPr="00195B67">
        <w:t xml:space="preserve">e have one of the highest per capita rates of landfill waste in the </w:t>
      </w:r>
      <w:r w:rsidR="005212BA" w:rsidRPr="00195B67">
        <w:t xml:space="preserve">Organisation for Economic </w:t>
      </w:r>
      <w:r w:rsidR="00317550" w:rsidRPr="00195B67">
        <w:t>Co-operation and Development</w:t>
      </w:r>
      <w:r w:rsidR="00315D8B" w:rsidRPr="00195B67">
        <w:t xml:space="preserve">. </w:t>
      </w:r>
      <w:r>
        <w:t xml:space="preserve">Every </w:t>
      </w:r>
      <w:r w:rsidR="00315D8B" w:rsidRPr="00195B67">
        <w:t>year, we send around 35,000</w:t>
      </w:r>
      <w:r w:rsidR="008D79B2" w:rsidRPr="00195B67">
        <w:t> </w:t>
      </w:r>
      <w:r w:rsidR="00315D8B" w:rsidRPr="00195B67">
        <w:t>tonnes of plastic waste offshore instead of processing it here. Single-use plastic items are lost to landfill</w:t>
      </w:r>
      <w:r w:rsidR="003B53DC" w:rsidRPr="00195B67">
        <w:t>,</w:t>
      </w:r>
      <w:r w:rsidR="00315D8B" w:rsidRPr="00195B67">
        <w:t xml:space="preserve"> instead of being recycled or reprocessed, or they</w:t>
      </w:r>
      <w:r w:rsidR="00935140">
        <w:t xml:space="preserve"> become </w:t>
      </w:r>
      <w:r w:rsidR="00315D8B" w:rsidRPr="00195B67">
        <w:t xml:space="preserve">litter in our communities, </w:t>
      </w:r>
      <w:proofErr w:type="gramStart"/>
      <w:r w:rsidR="00315D8B" w:rsidRPr="00195B67">
        <w:t>waterways</w:t>
      </w:r>
      <w:proofErr w:type="gramEnd"/>
      <w:r w:rsidR="00315D8B" w:rsidRPr="00195B67">
        <w:t xml:space="preserve"> and ecosystems. </w:t>
      </w:r>
    </w:p>
    <w:p w14:paraId="6027F3B2" w14:textId="74F740D2" w:rsidR="00315D8B" w:rsidRPr="00195B67" w:rsidRDefault="00315D8B" w:rsidP="00AB0DF0">
      <w:pPr>
        <w:pStyle w:val="BodyText"/>
      </w:pPr>
      <w:r w:rsidRPr="00195B67">
        <w:t xml:space="preserve">Plastic waste ruins </w:t>
      </w:r>
      <w:r w:rsidR="00930EA9" w:rsidRPr="00195B67">
        <w:t xml:space="preserve">the </w:t>
      </w:r>
      <w:r w:rsidRPr="00195B67">
        <w:t xml:space="preserve">landscape and can be fatal to marine life. We need to take action to protect </w:t>
      </w:r>
      <w:r w:rsidR="00930EA9" w:rsidRPr="00195B67">
        <w:t xml:space="preserve">the </w:t>
      </w:r>
      <w:r w:rsidRPr="00195B67">
        <w:t xml:space="preserve">environment and enhance </w:t>
      </w:r>
      <w:r w:rsidR="00930EA9" w:rsidRPr="00195B67">
        <w:t xml:space="preserve">New Zealand’s </w:t>
      </w:r>
      <w:r w:rsidRPr="00195B67">
        <w:t xml:space="preserve">clean, green international reputation that so many of </w:t>
      </w:r>
      <w:r w:rsidR="00CC4A00">
        <w:t xml:space="preserve">our </w:t>
      </w:r>
      <w:r w:rsidRPr="00195B67">
        <w:t xml:space="preserve">businesses and communities rely on. </w:t>
      </w:r>
    </w:p>
    <w:p w14:paraId="2318C909" w14:textId="7A757DCD" w:rsidR="00315D8B" w:rsidRPr="00195B67" w:rsidRDefault="00315D8B" w:rsidP="00AB0DF0">
      <w:pPr>
        <w:pStyle w:val="BodyText"/>
      </w:pPr>
      <w:r w:rsidRPr="00195B67">
        <w:t>New Zealanders</w:t>
      </w:r>
      <w:r w:rsidR="00235863">
        <w:t xml:space="preserve"> care deeply about th</w:t>
      </w:r>
      <w:r w:rsidR="00935140">
        <w:t>is</w:t>
      </w:r>
      <w:r w:rsidR="00235863">
        <w:t xml:space="preserve"> issue </w:t>
      </w:r>
      <w:r w:rsidRPr="00195B67">
        <w:t xml:space="preserve">and are keen to </w:t>
      </w:r>
      <w:proofErr w:type="gramStart"/>
      <w:r w:rsidRPr="00195B67">
        <w:t>take action</w:t>
      </w:r>
      <w:proofErr w:type="gramEnd"/>
      <w:r w:rsidRPr="00195B67">
        <w:t>. We</w:t>
      </w:r>
      <w:r w:rsidR="00B663D2" w:rsidRPr="00195B67">
        <w:t xml:space="preserve"> </w:t>
      </w:r>
      <w:r w:rsidR="00235863">
        <w:t xml:space="preserve">saw </w:t>
      </w:r>
      <w:r w:rsidRPr="00195B67">
        <w:t xml:space="preserve">your passion for solving waste issues </w:t>
      </w:r>
      <w:r w:rsidR="00235863">
        <w:t xml:space="preserve">after </w:t>
      </w:r>
      <w:r w:rsidRPr="00195B67">
        <w:t>plastic bags</w:t>
      </w:r>
      <w:r w:rsidR="00235863">
        <w:t xml:space="preserve"> were banned in 2019. W</w:t>
      </w:r>
      <w:r w:rsidR="00755049" w:rsidRPr="00195B67">
        <w:t xml:space="preserve">e saw it </w:t>
      </w:r>
      <w:r w:rsidRPr="00195B67">
        <w:t>again during this consultation</w:t>
      </w:r>
      <w:r w:rsidR="009A69CC" w:rsidRPr="00195B67">
        <w:t>,</w:t>
      </w:r>
      <w:r w:rsidRPr="00195B67">
        <w:t xml:space="preserve"> where over 7800 New Zealanders had their say. Thank you to everyone who </w:t>
      </w:r>
      <w:r w:rsidR="00CC4A00">
        <w:t>took the</w:t>
      </w:r>
      <w:r w:rsidR="00235863">
        <w:t xml:space="preserve"> time to make a submission. </w:t>
      </w:r>
    </w:p>
    <w:p w14:paraId="08E51D23" w14:textId="00537CC3" w:rsidR="00315D8B" w:rsidRDefault="00235863" w:rsidP="00AB0DF0">
      <w:pPr>
        <w:pStyle w:val="BodyText"/>
      </w:pPr>
      <w:r>
        <w:t xml:space="preserve">Decisions we make today affect the choices of future generations. </w:t>
      </w:r>
      <w:r w:rsidR="00315D8B" w:rsidRPr="00195B67">
        <w:t xml:space="preserve">We </w:t>
      </w:r>
      <w:proofErr w:type="gramStart"/>
      <w:r w:rsidR="00935140">
        <w:t>have to</w:t>
      </w:r>
      <w:proofErr w:type="gramEnd"/>
      <w:r w:rsidR="00935140">
        <w:t xml:space="preserve"> transform the way we think about, use and dispose of resources and waste. </w:t>
      </w:r>
      <w:r w:rsidR="00315D8B" w:rsidRPr="00195B67">
        <w:t>Together, we can create a more flourishing environment for all</w:t>
      </w:r>
      <w:r w:rsidR="00615C4E" w:rsidRPr="00195B67">
        <w:t> </w:t>
      </w:r>
      <w:r w:rsidR="00315D8B" w:rsidRPr="00195B67">
        <w:t xml:space="preserve">generations. </w:t>
      </w:r>
    </w:p>
    <w:p w14:paraId="7C1A8EA9" w14:textId="21DFDFC9" w:rsidR="00ED6B7D" w:rsidRDefault="00ED6B7D" w:rsidP="00AB0DF0">
      <w:pPr>
        <w:pStyle w:val="BodyText"/>
      </w:pPr>
    </w:p>
    <w:p w14:paraId="2498D533" w14:textId="44CBA1DA" w:rsidR="00ED6B7D" w:rsidRDefault="009F5FE0" w:rsidP="00AB0DF0">
      <w:pPr>
        <w:pStyle w:val="BodyText"/>
      </w:pPr>
      <w:r>
        <w:rPr>
          <w:noProof/>
        </w:rPr>
        <w:drawing>
          <wp:inline distT="0" distB="0" distL="0" distR="0" wp14:anchorId="530D0BA0" wp14:editId="17D04648">
            <wp:extent cx="2026920" cy="896112"/>
            <wp:effectExtent l="0" t="0" r="0" b="0"/>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6920" cy="896112"/>
                    </a:xfrm>
                    <a:prstGeom prst="rect">
                      <a:avLst/>
                    </a:prstGeom>
                  </pic:spPr>
                </pic:pic>
              </a:graphicData>
            </a:graphic>
          </wp:inline>
        </w:drawing>
      </w:r>
    </w:p>
    <w:p w14:paraId="3FD77AB2" w14:textId="77777777" w:rsidR="00ED6B7D" w:rsidRDefault="00ED6B7D" w:rsidP="00AB0DF0">
      <w:pPr>
        <w:pStyle w:val="BodyText"/>
      </w:pPr>
    </w:p>
    <w:p w14:paraId="731A4906" w14:textId="7806E795" w:rsidR="00ED6B7D" w:rsidRPr="00195B67" w:rsidRDefault="00235863" w:rsidP="00AB0DF0">
      <w:pPr>
        <w:pStyle w:val="BodyText"/>
      </w:pPr>
      <w:r>
        <w:t>Vicky Robertson</w:t>
      </w:r>
      <w:r>
        <w:br/>
        <w:t>Secretary for the Environment</w:t>
      </w:r>
    </w:p>
    <w:p w14:paraId="67364331" w14:textId="77777777" w:rsidR="00C83C5E" w:rsidRPr="00195B67" w:rsidRDefault="00C83C5E" w:rsidP="00AB0DF0">
      <w:pPr>
        <w:pStyle w:val="BodyText"/>
        <w:rPr>
          <w:rStyle w:val="Heading1Char"/>
          <w:rFonts w:eastAsiaTheme="minorEastAsia" w:cstheme="minorBidi"/>
          <w:b w:val="0"/>
          <w:bCs w:val="0"/>
          <w:color w:val="auto"/>
          <w:sz w:val="22"/>
          <w:szCs w:val="22"/>
        </w:rPr>
      </w:pPr>
      <w:r w:rsidRPr="00195B67">
        <w:rPr>
          <w:rStyle w:val="Heading1Char"/>
          <w:rFonts w:eastAsiaTheme="minorEastAsia" w:cstheme="minorBidi"/>
          <w:b w:val="0"/>
          <w:bCs w:val="0"/>
          <w:color w:val="auto"/>
          <w:sz w:val="22"/>
          <w:szCs w:val="22"/>
        </w:rPr>
        <w:br w:type="page"/>
      </w:r>
    </w:p>
    <w:p w14:paraId="3A8C5C27" w14:textId="22BC9B7E" w:rsidR="0080531E" w:rsidRPr="00195B67" w:rsidRDefault="00E23A03" w:rsidP="00AB0DF0">
      <w:pPr>
        <w:pStyle w:val="Heading1"/>
        <w:rPr>
          <w:rStyle w:val="Heading1Char"/>
          <w:b/>
        </w:rPr>
      </w:pPr>
      <w:bookmarkStart w:id="5" w:name="_Toc72137487"/>
      <w:r w:rsidRPr="00195B67">
        <w:rPr>
          <w:rStyle w:val="Heading1Char"/>
          <w:b/>
        </w:rPr>
        <w:lastRenderedPageBreak/>
        <w:t xml:space="preserve">Executive </w:t>
      </w:r>
      <w:r w:rsidR="000C1401" w:rsidRPr="00195B67">
        <w:rPr>
          <w:rStyle w:val="Heading1Char"/>
          <w:b/>
          <w:bCs/>
        </w:rPr>
        <w:t>s</w:t>
      </w:r>
      <w:r w:rsidRPr="00195B67">
        <w:rPr>
          <w:rStyle w:val="Heading1Char"/>
          <w:b/>
          <w:bCs/>
        </w:rPr>
        <w:t>ummary</w:t>
      </w:r>
      <w:bookmarkEnd w:id="3"/>
      <w:bookmarkEnd w:id="5"/>
    </w:p>
    <w:p w14:paraId="5714F57A" w14:textId="5AD549E5" w:rsidR="00BE03E6" w:rsidRPr="00195B67" w:rsidRDefault="00BE03E6" w:rsidP="00AB0DF0">
      <w:pPr>
        <w:pStyle w:val="BodyText"/>
      </w:pPr>
      <w:r w:rsidRPr="00195B67">
        <w:t xml:space="preserve">From 12 August to </w:t>
      </w:r>
      <w:r w:rsidR="00A913A7" w:rsidRPr="00195B67">
        <w:t>4</w:t>
      </w:r>
      <w:r w:rsidRPr="00195B67">
        <w:t xml:space="preserve"> December 2020, the Ministry for the Environment </w:t>
      </w:r>
      <w:r w:rsidR="00790305" w:rsidRPr="00195B67">
        <w:t xml:space="preserve">(the Ministry) </w:t>
      </w:r>
      <w:r w:rsidRPr="00195B67">
        <w:t>consulted on two connected proposals to phase</w:t>
      </w:r>
      <w:r w:rsidR="008C449D" w:rsidRPr="00195B67">
        <w:t xml:space="preserve"> </w:t>
      </w:r>
      <w:r w:rsidRPr="00195B67">
        <w:t xml:space="preserve">out </w:t>
      </w:r>
      <w:r w:rsidR="00A913A7" w:rsidRPr="00195B67">
        <w:t>certain</w:t>
      </w:r>
      <w:r w:rsidRPr="00195B67">
        <w:t xml:space="preserve"> </w:t>
      </w:r>
      <w:r w:rsidR="00577FC7" w:rsidRPr="00195B67">
        <w:t>hard-to-recycle</w:t>
      </w:r>
      <w:r w:rsidRPr="00195B67">
        <w:t xml:space="preserve"> plastic packaging</w:t>
      </w:r>
      <w:r w:rsidR="003D2033" w:rsidRPr="00195B67">
        <w:t> </w:t>
      </w:r>
      <w:r w:rsidRPr="00195B67">
        <w:t xml:space="preserve">and </w:t>
      </w:r>
      <w:r w:rsidR="00A913A7" w:rsidRPr="00195B67">
        <w:t>seven</w:t>
      </w:r>
      <w:r w:rsidRPr="00195B67">
        <w:t xml:space="preserve"> single-use </w:t>
      </w:r>
      <w:r w:rsidR="00B10859" w:rsidRPr="00195B67">
        <w:t>pla</w:t>
      </w:r>
      <w:r w:rsidR="00AF21E1" w:rsidRPr="00195B67">
        <w:t xml:space="preserve">stic </w:t>
      </w:r>
      <w:r w:rsidRPr="00195B67">
        <w:t xml:space="preserve">items. </w:t>
      </w:r>
    </w:p>
    <w:p w14:paraId="0A193892" w14:textId="5EFEF60A" w:rsidR="00BE03E6" w:rsidRPr="00195B67" w:rsidRDefault="00BE03E6" w:rsidP="00AB0DF0">
      <w:pPr>
        <w:pStyle w:val="BodyText"/>
      </w:pPr>
      <w:r w:rsidRPr="00195B67">
        <w:t xml:space="preserve">Proposal </w:t>
      </w:r>
      <w:r w:rsidR="00790305" w:rsidRPr="00195B67">
        <w:t>one</w:t>
      </w:r>
      <w:r w:rsidRPr="00195B67">
        <w:t xml:space="preserve"> includes a</w:t>
      </w:r>
      <w:r w:rsidR="00A913A7" w:rsidRPr="00195B67">
        <w:t xml:space="preserve"> plan to progressively phase</w:t>
      </w:r>
      <w:r w:rsidR="00C837A0" w:rsidRPr="00195B67">
        <w:t xml:space="preserve"> </w:t>
      </w:r>
      <w:r w:rsidR="00A913A7" w:rsidRPr="00195B67">
        <w:t>out</w:t>
      </w:r>
      <w:r w:rsidRPr="00195B67">
        <w:t xml:space="preserve"> all polyvinyl chloride (PVC) and polystyrene food and beverage packaging, all other</w:t>
      </w:r>
      <w:r w:rsidR="00A913A7" w:rsidRPr="00195B67">
        <w:t xml:space="preserve"> expanded</w:t>
      </w:r>
      <w:r w:rsidRPr="00195B67">
        <w:t xml:space="preserve"> polystyrene packaging</w:t>
      </w:r>
      <w:r w:rsidR="00A913A7" w:rsidRPr="00195B67">
        <w:t xml:space="preserve"> (EPS)</w:t>
      </w:r>
      <w:r w:rsidRPr="00195B67">
        <w:t xml:space="preserve"> and</w:t>
      </w:r>
      <w:r w:rsidR="00615C4E" w:rsidRPr="00195B67">
        <w:t> </w:t>
      </w:r>
      <w:r w:rsidRPr="00195B67">
        <w:t xml:space="preserve">all oxo-degradable plastic </w:t>
      </w:r>
      <w:r w:rsidR="00A913A7" w:rsidRPr="00195B67">
        <w:t>products</w:t>
      </w:r>
      <w:r w:rsidRPr="00195B67">
        <w:t>.</w:t>
      </w:r>
    </w:p>
    <w:p w14:paraId="38B2D8BC" w14:textId="7631B8AB" w:rsidR="00A913A7" w:rsidRPr="00195B67" w:rsidRDefault="00BE03E6" w:rsidP="00AB0DF0">
      <w:pPr>
        <w:pStyle w:val="BodyText"/>
      </w:pPr>
      <w:r w:rsidRPr="00195B67">
        <w:t xml:space="preserve">Proposal </w:t>
      </w:r>
      <w:r w:rsidR="00790305" w:rsidRPr="00195B67">
        <w:t>two</w:t>
      </w:r>
      <w:r w:rsidRPr="00195B67">
        <w:t xml:space="preserve"> includes a </w:t>
      </w:r>
      <w:r w:rsidR="00A913A7" w:rsidRPr="00195B67">
        <w:t>plan to p</w:t>
      </w:r>
      <w:r w:rsidRPr="00195B67">
        <w:t>hase</w:t>
      </w:r>
      <w:r w:rsidR="00B10859" w:rsidRPr="00195B67">
        <w:t xml:space="preserve"> </w:t>
      </w:r>
      <w:r w:rsidRPr="00195B67">
        <w:t xml:space="preserve">out seven </w:t>
      </w:r>
      <w:r w:rsidR="00663173" w:rsidRPr="00195B67">
        <w:t xml:space="preserve">more </w:t>
      </w:r>
      <w:r w:rsidRPr="00195B67">
        <w:t>single-use plastic items</w:t>
      </w:r>
      <w:r w:rsidR="00C02EAF" w:rsidRPr="00195B67">
        <w:t xml:space="preserve"> following the</w:t>
      </w:r>
      <w:r w:rsidR="00E35276" w:rsidRPr="00195B67">
        <w:t> </w:t>
      </w:r>
      <w:r w:rsidR="00C02EAF" w:rsidRPr="00195B67">
        <w:t>success of the plastic bag ban in 2019</w:t>
      </w:r>
      <w:r w:rsidRPr="00195B67">
        <w:t>.</w:t>
      </w:r>
    </w:p>
    <w:p w14:paraId="18470054" w14:textId="6242008C" w:rsidR="00BE03E6" w:rsidRPr="00195B67" w:rsidRDefault="00A913A7" w:rsidP="00AB0DF0">
      <w:pPr>
        <w:pStyle w:val="BodyText"/>
      </w:pPr>
      <w:r w:rsidRPr="00195B67">
        <w:t>For both proposals, t</w:t>
      </w:r>
      <w:r w:rsidR="00BE03E6" w:rsidRPr="00195B67">
        <w:t xml:space="preserve">he Government </w:t>
      </w:r>
      <w:r w:rsidR="00B52138" w:rsidRPr="00195B67">
        <w:t>has</w:t>
      </w:r>
      <w:r w:rsidR="009E5745" w:rsidRPr="00195B67">
        <w:t xml:space="preserve"> </w:t>
      </w:r>
      <w:r w:rsidR="00B52138" w:rsidRPr="00195B67">
        <w:t>suggested</w:t>
      </w:r>
      <w:r w:rsidR="004B0576" w:rsidRPr="00195B67">
        <w:t xml:space="preserve"> </w:t>
      </w:r>
      <w:r w:rsidR="00C02EAF" w:rsidRPr="00195B67">
        <w:t>creat</w:t>
      </w:r>
      <w:r w:rsidR="00B52138" w:rsidRPr="00195B67">
        <w:t>ing</w:t>
      </w:r>
      <w:r w:rsidR="00BE03E6" w:rsidRPr="00195B67">
        <w:t xml:space="preserve"> regulation</w:t>
      </w:r>
      <w:r w:rsidRPr="00195B67">
        <w:t>s to prohibit the</w:t>
      </w:r>
      <w:r w:rsidR="00C02EAF" w:rsidRPr="00195B67">
        <w:t xml:space="preserve"> targeted plastic packaging and</w:t>
      </w:r>
      <w:r w:rsidRPr="00195B67">
        <w:t xml:space="preserve"> items from manufacture and sale</w:t>
      </w:r>
      <w:r w:rsidR="00BE03E6" w:rsidRPr="00195B67">
        <w:t xml:space="preserve"> under the Waste Minimisation Act</w:t>
      </w:r>
      <w:r w:rsidR="00E35276" w:rsidRPr="00195B67">
        <w:t> </w:t>
      </w:r>
      <w:r w:rsidR="00BE03E6" w:rsidRPr="00195B67">
        <w:t xml:space="preserve">2008. </w:t>
      </w:r>
    </w:p>
    <w:p w14:paraId="4BDD0F68" w14:textId="0F74409C" w:rsidR="00163732" w:rsidRPr="00195B67" w:rsidRDefault="00A913A7" w:rsidP="00AB0DF0">
      <w:pPr>
        <w:pStyle w:val="BodyText"/>
      </w:pPr>
      <w:r w:rsidRPr="00195B67">
        <w:t xml:space="preserve">The Government received </w:t>
      </w:r>
      <w:r w:rsidR="009A69CC" w:rsidRPr="00195B67">
        <w:t>over</w:t>
      </w:r>
      <w:r w:rsidRPr="00195B67">
        <w:t xml:space="preserve"> 7</w:t>
      </w:r>
      <w:r w:rsidR="009A69CC" w:rsidRPr="00195B67">
        <w:t>8</w:t>
      </w:r>
      <w:r w:rsidRPr="00195B67">
        <w:t>00 submissions</w:t>
      </w:r>
      <w:r w:rsidR="0084685E" w:rsidRPr="00195B67">
        <w:t>. These</w:t>
      </w:r>
      <w:r w:rsidR="009A69CC" w:rsidRPr="00195B67">
        <w:t xml:space="preserve"> </w:t>
      </w:r>
      <w:r w:rsidR="006C6EAB" w:rsidRPr="00195B67">
        <w:t>includ</w:t>
      </w:r>
      <w:r w:rsidR="0084685E" w:rsidRPr="00195B67">
        <w:t>ed</w:t>
      </w:r>
      <w:r w:rsidR="009A69CC" w:rsidRPr="00195B67">
        <w:t xml:space="preserve"> substantive submission</w:t>
      </w:r>
      <w:r w:rsidR="006C6EAB" w:rsidRPr="00195B67">
        <w:t xml:space="preserve">s (received through our lengthier consultation tool, </w:t>
      </w:r>
      <w:proofErr w:type="gramStart"/>
      <w:r w:rsidR="006C6EAB" w:rsidRPr="00195B67">
        <w:t>email</w:t>
      </w:r>
      <w:proofErr w:type="gramEnd"/>
      <w:r w:rsidR="006C6EAB" w:rsidRPr="00195B67">
        <w:t xml:space="preserve"> and post)</w:t>
      </w:r>
      <w:r w:rsidR="009A69CC" w:rsidRPr="00195B67">
        <w:t xml:space="preserve"> </w:t>
      </w:r>
      <w:r w:rsidR="006C6EAB" w:rsidRPr="00195B67">
        <w:t xml:space="preserve">and a </w:t>
      </w:r>
      <w:r w:rsidR="009A69CC" w:rsidRPr="00195B67">
        <w:t>short-form survey.</w:t>
      </w:r>
      <w:r w:rsidRPr="00195B67">
        <w:t xml:space="preserve"> </w:t>
      </w:r>
      <w:r w:rsidR="00BE03E6" w:rsidRPr="00195B67">
        <w:t xml:space="preserve">This report summarises the views expressed in submissions </w:t>
      </w:r>
      <w:r w:rsidRPr="00195B67">
        <w:t xml:space="preserve">and </w:t>
      </w:r>
      <w:r w:rsidR="004D7EC2" w:rsidRPr="00195B67">
        <w:t>outlines</w:t>
      </w:r>
      <w:r w:rsidRPr="00195B67">
        <w:t xml:space="preserve"> </w:t>
      </w:r>
      <w:r w:rsidR="009A03A4" w:rsidRPr="00195B67">
        <w:t xml:space="preserve">the main </w:t>
      </w:r>
      <w:r w:rsidRPr="00195B67">
        <w:t xml:space="preserve">findings, common </w:t>
      </w:r>
      <w:proofErr w:type="gramStart"/>
      <w:r w:rsidRPr="00195B67">
        <w:t>themes</w:t>
      </w:r>
      <w:proofErr w:type="gramEnd"/>
      <w:r w:rsidRPr="00195B67">
        <w:t xml:space="preserve"> and overall support for each proposal</w:t>
      </w:r>
      <w:r w:rsidR="00BE03E6" w:rsidRPr="00195B67">
        <w:t xml:space="preserve">. </w:t>
      </w:r>
    </w:p>
    <w:p w14:paraId="6CB8BE2E" w14:textId="75788851" w:rsidR="00BE03E6" w:rsidRPr="00195B67" w:rsidRDefault="00663173" w:rsidP="00AB0DF0">
      <w:pPr>
        <w:pStyle w:val="BodyText"/>
      </w:pPr>
      <w:r w:rsidRPr="00195B67">
        <w:t xml:space="preserve">The report does not provide recommendations in response to any views expressed. Any recommendations will be made through policy advice to the Minister for the Environment, Hon David Parker. </w:t>
      </w:r>
    </w:p>
    <w:p w14:paraId="0AA50CBF" w14:textId="2DCCDFDA" w:rsidR="00783B78" w:rsidRPr="00195B67" w:rsidRDefault="00783B78" w:rsidP="000F68DA">
      <w:pPr>
        <w:pStyle w:val="Heading3"/>
        <w:rPr>
          <w:color w:val="2C9986" w:themeColor="accent4"/>
          <w:sz w:val="36"/>
          <w:szCs w:val="36"/>
        </w:rPr>
      </w:pPr>
      <w:bookmarkStart w:id="6" w:name="_Hlk69904273"/>
      <w:bookmarkStart w:id="7" w:name="_Hlk69906168"/>
      <w:r w:rsidRPr="00195B67">
        <w:rPr>
          <w:color w:val="2C9986" w:themeColor="accent4"/>
          <w:sz w:val="36"/>
          <w:szCs w:val="36"/>
        </w:rPr>
        <w:t xml:space="preserve">Key findings </w:t>
      </w:r>
      <w:r w:rsidR="008E0316" w:rsidRPr="00195B67">
        <w:rPr>
          <w:color w:val="2C9986" w:themeColor="accent4"/>
          <w:sz w:val="36"/>
          <w:szCs w:val="36"/>
        </w:rPr>
        <w:t xml:space="preserve">– Proposal </w:t>
      </w:r>
      <w:r w:rsidR="001C5C0E" w:rsidRPr="00195B67">
        <w:rPr>
          <w:color w:val="2C9986" w:themeColor="accent4"/>
          <w:sz w:val="36"/>
          <w:szCs w:val="36"/>
        </w:rPr>
        <w:t>one</w:t>
      </w:r>
      <w:r w:rsidR="008E0316" w:rsidRPr="00195B67">
        <w:rPr>
          <w:color w:val="2C9986" w:themeColor="accent4"/>
          <w:sz w:val="36"/>
          <w:szCs w:val="36"/>
        </w:rPr>
        <w:t xml:space="preserve"> </w:t>
      </w:r>
      <w:bookmarkEnd w:id="6"/>
    </w:p>
    <w:bookmarkEnd w:id="7"/>
    <w:p w14:paraId="2E063CF6" w14:textId="77777777" w:rsidR="000F68DA" w:rsidRPr="00195B67" w:rsidRDefault="008E0316" w:rsidP="000F68DA">
      <w:pPr>
        <w:pStyle w:val="Heading3"/>
        <w:spacing w:before="120"/>
        <w:rPr>
          <w:rFonts w:eastAsia="Times New Roman"/>
          <w:lang w:eastAsia="en-US"/>
        </w:rPr>
      </w:pPr>
      <w:r w:rsidRPr="00195B67">
        <w:rPr>
          <w:rFonts w:eastAsia="Times New Roman"/>
          <w:lang w:eastAsia="en-US"/>
        </w:rPr>
        <w:t xml:space="preserve">Submitters wanted more action on </w:t>
      </w:r>
      <w:proofErr w:type="gramStart"/>
      <w:r w:rsidRPr="00195B67">
        <w:rPr>
          <w:rFonts w:eastAsia="Times New Roman"/>
          <w:lang w:eastAsia="en-US"/>
        </w:rPr>
        <w:t>plastics</w:t>
      </w:r>
      <w:proofErr w:type="gramEnd"/>
    </w:p>
    <w:p w14:paraId="74676968" w14:textId="79DF58CA" w:rsidR="008E0316" w:rsidRPr="00195B67" w:rsidRDefault="004E5AAC" w:rsidP="000F68DA">
      <w:pPr>
        <w:pStyle w:val="BodyText"/>
        <w:rPr>
          <w:rFonts w:eastAsia="Calibri"/>
          <w:lang w:eastAsia="en-US"/>
        </w:rPr>
      </w:pPr>
      <w:r w:rsidRPr="00195B67">
        <w:rPr>
          <w:rFonts w:eastAsia="Calibri"/>
          <w:lang w:eastAsia="en-US"/>
        </w:rPr>
        <w:t>Most</w:t>
      </w:r>
      <w:r w:rsidR="008E0316" w:rsidRPr="00195B67">
        <w:rPr>
          <w:rFonts w:eastAsia="Calibri"/>
          <w:lang w:eastAsia="en-US"/>
        </w:rPr>
        <w:t xml:space="preserve"> submitters (9</w:t>
      </w:r>
      <w:r w:rsidR="00DC4883" w:rsidRPr="00195B67">
        <w:rPr>
          <w:rFonts w:eastAsia="Calibri"/>
          <w:lang w:eastAsia="en-US"/>
        </w:rPr>
        <w:t>7</w:t>
      </w:r>
      <w:r w:rsidR="008E0316" w:rsidRPr="00195B67">
        <w:rPr>
          <w:rFonts w:eastAsia="Calibri"/>
          <w:lang w:eastAsia="en-US"/>
        </w:rPr>
        <w:t xml:space="preserve"> per cent, 7675) supported more action being taken on plastic in New</w:t>
      </w:r>
      <w:r w:rsidR="001F05A8" w:rsidRPr="00195B67">
        <w:rPr>
          <w:rFonts w:eastAsia="Calibri"/>
          <w:lang w:eastAsia="en-US"/>
        </w:rPr>
        <w:t> </w:t>
      </w:r>
      <w:r w:rsidR="008E0316" w:rsidRPr="00195B67">
        <w:rPr>
          <w:rFonts w:eastAsia="Calibri"/>
          <w:lang w:eastAsia="en-US"/>
        </w:rPr>
        <w:t xml:space="preserve">Zealand. </w:t>
      </w:r>
    </w:p>
    <w:p w14:paraId="3E439E70" w14:textId="1A99C503" w:rsidR="008E0316" w:rsidRPr="00195B67" w:rsidRDefault="00330821" w:rsidP="000F68DA">
      <w:pPr>
        <w:pStyle w:val="BodyText"/>
        <w:rPr>
          <w:rFonts w:eastAsia="Calibri"/>
          <w:lang w:eastAsia="en-US"/>
        </w:rPr>
      </w:pPr>
      <w:r w:rsidRPr="00195B67">
        <w:rPr>
          <w:rFonts w:eastAsia="Calibri"/>
          <w:lang w:eastAsia="en-US"/>
        </w:rPr>
        <w:t>Most</w:t>
      </w:r>
      <w:r w:rsidR="008E0316" w:rsidRPr="00195B67">
        <w:rPr>
          <w:rFonts w:eastAsia="Calibri"/>
          <w:lang w:eastAsia="en-US"/>
        </w:rPr>
        <w:t xml:space="preserve"> submitters also support</w:t>
      </w:r>
      <w:r w:rsidR="00AA5C7D" w:rsidRPr="00195B67">
        <w:rPr>
          <w:rFonts w:eastAsia="Calibri"/>
          <w:lang w:eastAsia="en-US"/>
        </w:rPr>
        <w:t>ed</w:t>
      </w:r>
      <w:r w:rsidR="008E0316" w:rsidRPr="00195B67">
        <w:rPr>
          <w:rFonts w:eastAsia="Calibri"/>
          <w:lang w:eastAsia="en-US"/>
        </w:rPr>
        <w:t xml:space="preserve"> </w:t>
      </w:r>
      <w:r w:rsidR="00790305" w:rsidRPr="00195B67">
        <w:rPr>
          <w:rFonts w:eastAsia="Calibri"/>
          <w:lang w:eastAsia="en-US"/>
        </w:rPr>
        <w:t>p</w:t>
      </w:r>
      <w:r w:rsidR="008E0316" w:rsidRPr="00195B67">
        <w:rPr>
          <w:rFonts w:eastAsia="Calibri"/>
          <w:lang w:eastAsia="en-US"/>
        </w:rPr>
        <w:t xml:space="preserve">roposal </w:t>
      </w:r>
      <w:r w:rsidR="00790305" w:rsidRPr="00195B67">
        <w:rPr>
          <w:rFonts w:eastAsia="Calibri"/>
          <w:lang w:eastAsia="en-US"/>
        </w:rPr>
        <w:t>one</w:t>
      </w:r>
      <w:r w:rsidR="008E0316" w:rsidRPr="00195B67">
        <w:rPr>
          <w:rFonts w:eastAsia="Calibri"/>
          <w:lang w:eastAsia="en-US"/>
        </w:rPr>
        <w:t xml:space="preserve"> (96 </w:t>
      </w:r>
      <w:r w:rsidR="009A6319" w:rsidRPr="00195B67">
        <w:rPr>
          <w:rFonts w:eastAsia="Calibri"/>
          <w:lang w:eastAsia="en-US"/>
        </w:rPr>
        <w:t>per cent</w:t>
      </w:r>
      <w:r w:rsidR="008E0316" w:rsidRPr="00195B67">
        <w:rPr>
          <w:rFonts w:eastAsia="Calibri"/>
          <w:lang w:eastAsia="en-US"/>
        </w:rPr>
        <w:t xml:space="preserve">, 7607). This includes a mandatory </w:t>
      </w:r>
      <w:r w:rsidR="00207CB8" w:rsidRPr="00195B67">
        <w:rPr>
          <w:rFonts w:eastAsia="Calibri"/>
          <w:lang w:eastAsia="en-US"/>
        </w:rPr>
        <w:t>phase</w:t>
      </w:r>
      <w:r w:rsidR="00212484" w:rsidRPr="00195B67">
        <w:rPr>
          <w:rFonts w:eastAsia="Calibri"/>
          <w:lang w:eastAsia="en-US"/>
        </w:rPr>
        <w:t xml:space="preserve"> </w:t>
      </w:r>
      <w:r w:rsidR="00207CB8" w:rsidRPr="00195B67">
        <w:rPr>
          <w:rFonts w:eastAsia="Calibri"/>
          <w:lang w:eastAsia="en-US"/>
        </w:rPr>
        <w:t>out</w:t>
      </w:r>
      <w:r w:rsidR="008E0316" w:rsidRPr="00195B67">
        <w:rPr>
          <w:rFonts w:eastAsia="Calibri"/>
          <w:lang w:eastAsia="en-US"/>
        </w:rPr>
        <w:t xml:space="preserve"> for all PVC and polystyrene food and beverage packaging, all other</w:t>
      </w:r>
      <w:r w:rsidR="0045023E">
        <w:rPr>
          <w:rFonts w:eastAsia="Calibri"/>
          <w:lang w:eastAsia="en-US"/>
        </w:rPr>
        <w:t xml:space="preserve"> expanded</w:t>
      </w:r>
      <w:r w:rsidR="008E0316" w:rsidRPr="00195B67">
        <w:rPr>
          <w:rFonts w:eastAsia="Calibri"/>
          <w:lang w:eastAsia="en-US"/>
        </w:rPr>
        <w:t xml:space="preserve"> polystyrene </w:t>
      </w:r>
      <w:proofErr w:type="gramStart"/>
      <w:r w:rsidR="008E0316" w:rsidRPr="00195B67">
        <w:rPr>
          <w:rFonts w:eastAsia="Calibri"/>
          <w:lang w:eastAsia="en-US"/>
        </w:rPr>
        <w:t>packaging</w:t>
      </w:r>
      <w:proofErr w:type="gramEnd"/>
      <w:r w:rsidR="008E0316" w:rsidRPr="00195B67">
        <w:rPr>
          <w:rFonts w:eastAsia="Calibri"/>
          <w:lang w:eastAsia="en-US"/>
        </w:rPr>
        <w:t xml:space="preserve"> and all oxo-degradable</w:t>
      </w:r>
      <w:r w:rsidR="0045023E">
        <w:rPr>
          <w:rFonts w:eastAsia="Calibri"/>
          <w:lang w:eastAsia="en-US"/>
        </w:rPr>
        <w:t xml:space="preserve"> plastic products</w:t>
      </w:r>
      <w:r w:rsidR="008E0316" w:rsidRPr="00195B67">
        <w:rPr>
          <w:rFonts w:eastAsia="Calibri"/>
          <w:lang w:eastAsia="en-US"/>
        </w:rPr>
        <w:t>.</w:t>
      </w:r>
    </w:p>
    <w:p w14:paraId="410A213B" w14:textId="77777777" w:rsidR="000F68DA" w:rsidRPr="00195B67" w:rsidRDefault="00014744" w:rsidP="00FD7EB9">
      <w:pPr>
        <w:pStyle w:val="Heading3"/>
        <w:rPr>
          <w:rFonts w:eastAsia="Times New Roman"/>
          <w:lang w:eastAsia="en-US"/>
        </w:rPr>
      </w:pPr>
      <w:r w:rsidRPr="00195B67">
        <w:rPr>
          <w:rFonts w:eastAsia="Times New Roman"/>
          <w:lang w:eastAsia="en-US"/>
        </w:rPr>
        <w:t>Affected industries and businesses cite</w:t>
      </w:r>
      <w:r w:rsidR="00BE0168" w:rsidRPr="00195B67">
        <w:rPr>
          <w:rFonts w:eastAsia="Times New Roman"/>
          <w:lang w:eastAsia="en-US"/>
        </w:rPr>
        <w:t>d</w:t>
      </w:r>
      <w:r w:rsidRPr="00195B67">
        <w:rPr>
          <w:rFonts w:eastAsia="Times New Roman"/>
          <w:lang w:eastAsia="en-US"/>
        </w:rPr>
        <w:t xml:space="preserve"> </w:t>
      </w:r>
      <w:proofErr w:type="gramStart"/>
      <w:r w:rsidRPr="00195B67">
        <w:rPr>
          <w:rFonts w:eastAsia="Times New Roman"/>
          <w:lang w:eastAsia="en-US"/>
        </w:rPr>
        <w:t>concerns</w:t>
      </w:r>
      <w:proofErr w:type="gramEnd"/>
    </w:p>
    <w:p w14:paraId="4321F8A4" w14:textId="22B551EF" w:rsidR="008E0316" w:rsidRPr="00195B67" w:rsidRDefault="00F37861" w:rsidP="000F68DA">
      <w:pPr>
        <w:pStyle w:val="BodyText"/>
        <w:rPr>
          <w:rFonts w:eastAsia="Times New Roman"/>
          <w:lang w:eastAsia="en-US"/>
        </w:rPr>
      </w:pPr>
      <w:r w:rsidRPr="00195B67">
        <w:rPr>
          <w:rFonts w:eastAsia="Times New Roman"/>
          <w:lang w:eastAsia="en-US"/>
        </w:rPr>
        <w:t xml:space="preserve">Submitters from </w:t>
      </w:r>
      <w:r w:rsidR="008B44C8" w:rsidRPr="00195B67">
        <w:rPr>
          <w:rFonts w:eastAsia="Times New Roman"/>
          <w:lang w:eastAsia="en-US"/>
        </w:rPr>
        <w:t>affected industries and businesses</w:t>
      </w:r>
      <w:r w:rsidRPr="00195B67">
        <w:rPr>
          <w:rFonts w:eastAsia="Times New Roman"/>
          <w:lang w:eastAsia="en-US"/>
        </w:rPr>
        <w:t xml:space="preserve"> </w:t>
      </w:r>
      <w:r w:rsidR="008E0316" w:rsidRPr="00195B67">
        <w:rPr>
          <w:rFonts w:eastAsia="Times New Roman"/>
          <w:lang w:eastAsia="en-US"/>
        </w:rPr>
        <w:t xml:space="preserve">were less likely to support </w:t>
      </w:r>
      <w:r w:rsidR="00790305" w:rsidRPr="00195B67">
        <w:rPr>
          <w:rFonts w:eastAsia="Times New Roman"/>
          <w:lang w:eastAsia="en-US"/>
        </w:rPr>
        <w:t>p</w:t>
      </w:r>
      <w:r w:rsidR="008E0316" w:rsidRPr="00195B67">
        <w:rPr>
          <w:rFonts w:eastAsia="Times New Roman"/>
          <w:lang w:eastAsia="en-US"/>
        </w:rPr>
        <w:t xml:space="preserve">roposal </w:t>
      </w:r>
      <w:r w:rsidR="00790305" w:rsidRPr="00195B67">
        <w:rPr>
          <w:rFonts w:eastAsia="Times New Roman"/>
          <w:lang w:eastAsia="en-US"/>
        </w:rPr>
        <w:t>one</w:t>
      </w:r>
      <w:r w:rsidR="008E0316" w:rsidRPr="00195B67">
        <w:rPr>
          <w:rFonts w:eastAsia="Times New Roman"/>
          <w:lang w:eastAsia="en-US"/>
        </w:rPr>
        <w:t xml:space="preserve">. They cited concerns over finding suitable alternatives and </w:t>
      </w:r>
      <w:r w:rsidR="008B44C8" w:rsidRPr="00195B67">
        <w:rPr>
          <w:rFonts w:eastAsia="Times New Roman"/>
          <w:lang w:eastAsia="en-US"/>
        </w:rPr>
        <w:t xml:space="preserve">the </w:t>
      </w:r>
      <w:r w:rsidR="008E0316" w:rsidRPr="00195B67">
        <w:rPr>
          <w:rFonts w:eastAsia="Times New Roman"/>
          <w:lang w:eastAsia="en-US"/>
        </w:rPr>
        <w:t xml:space="preserve">additional costs involved in development </w:t>
      </w:r>
      <w:r w:rsidR="004C57DE" w:rsidRPr="00195B67">
        <w:rPr>
          <w:rFonts w:eastAsia="Times New Roman"/>
          <w:lang w:eastAsia="en-US"/>
        </w:rPr>
        <w:t xml:space="preserve">of </w:t>
      </w:r>
      <w:r w:rsidR="008E0316" w:rsidRPr="00195B67">
        <w:rPr>
          <w:rFonts w:eastAsia="Times New Roman"/>
          <w:lang w:eastAsia="en-US"/>
        </w:rPr>
        <w:t xml:space="preserve">and </w:t>
      </w:r>
      <w:r w:rsidR="00014744" w:rsidRPr="00195B67">
        <w:rPr>
          <w:rFonts w:eastAsia="Times New Roman"/>
          <w:lang w:eastAsia="en-US"/>
        </w:rPr>
        <w:t>investment in new equipment and processes</w:t>
      </w:r>
      <w:r w:rsidR="008E0316" w:rsidRPr="00195B67">
        <w:rPr>
          <w:rFonts w:eastAsia="Times New Roman"/>
          <w:lang w:eastAsia="en-US"/>
        </w:rPr>
        <w:t xml:space="preserve">. </w:t>
      </w:r>
    </w:p>
    <w:p w14:paraId="094C9023" w14:textId="3D377499" w:rsidR="008E0316" w:rsidRPr="00195B67" w:rsidRDefault="00F37861" w:rsidP="000F68DA">
      <w:pPr>
        <w:pStyle w:val="BodyText"/>
        <w:rPr>
          <w:rFonts w:eastAsia="Times New Roman"/>
          <w:lang w:eastAsia="en-US"/>
        </w:rPr>
      </w:pPr>
      <w:r w:rsidRPr="00195B67">
        <w:rPr>
          <w:rFonts w:eastAsia="Times New Roman"/>
          <w:lang w:eastAsia="en-US"/>
        </w:rPr>
        <w:t>Submitters shared</w:t>
      </w:r>
      <w:r w:rsidR="008E0316" w:rsidRPr="00195B67">
        <w:rPr>
          <w:rFonts w:eastAsia="Times New Roman"/>
          <w:lang w:eastAsia="en-US"/>
        </w:rPr>
        <w:t xml:space="preserve"> specific challenges relating to items that may be more difficult to</w:t>
      </w:r>
      <w:r w:rsidR="00E35276" w:rsidRPr="00195B67">
        <w:rPr>
          <w:rFonts w:eastAsia="Times New Roman"/>
          <w:lang w:eastAsia="en-US"/>
        </w:rPr>
        <w:t> </w:t>
      </w:r>
      <w:r w:rsidR="008E0316" w:rsidRPr="00195B67">
        <w:rPr>
          <w:rFonts w:eastAsia="Times New Roman"/>
          <w:lang w:eastAsia="en-US"/>
        </w:rPr>
        <w:t>replace, such as expanded polystyrene used to transport temperature-controlled food or</w:t>
      </w:r>
      <w:r w:rsidR="00E35276" w:rsidRPr="00195B67">
        <w:rPr>
          <w:rFonts w:eastAsia="Times New Roman"/>
          <w:lang w:eastAsia="en-US"/>
        </w:rPr>
        <w:t> </w:t>
      </w:r>
      <w:r w:rsidR="008E0316" w:rsidRPr="00195B67">
        <w:rPr>
          <w:rFonts w:eastAsia="Times New Roman"/>
          <w:lang w:eastAsia="en-US"/>
        </w:rPr>
        <w:t xml:space="preserve">medicine. </w:t>
      </w:r>
    </w:p>
    <w:p w14:paraId="4EC17C1F" w14:textId="77777777" w:rsidR="000F68DA" w:rsidRPr="00195B67" w:rsidRDefault="008E0316" w:rsidP="00FD7EB9">
      <w:pPr>
        <w:pStyle w:val="Heading3"/>
        <w:rPr>
          <w:rFonts w:eastAsia="Times New Roman"/>
          <w:lang w:eastAsia="en-US"/>
        </w:rPr>
      </w:pPr>
      <w:r w:rsidRPr="00195B67">
        <w:rPr>
          <w:rFonts w:eastAsia="Times New Roman"/>
          <w:lang w:eastAsia="en-US"/>
        </w:rPr>
        <w:lastRenderedPageBreak/>
        <w:t xml:space="preserve">Timeframes </w:t>
      </w:r>
      <w:r w:rsidR="00A04399" w:rsidRPr="00195B67">
        <w:rPr>
          <w:rFonts w:eastAsia="Times New Roman"/>
          <w:lang w:eastAsia="en-US"/>
        </w:rPr>
        <w:t>for proposal one</w:t>
      </w:r>
    </w:p>
    <w:p w14:paraId="5942390C" w14:textId="55C5A988" w:rsidR="008E0316" w:rsidRPr="00195B67" w:rsidRDefault="00014744" w:rsidP="00D6662A">
      <w:pPr>
        <w:pStyle w:val="BodyText"/>
        <w:keepLines/>
        <w:rPr>
          <w:rFonts w:eastAsia="Times New Roman"/>
          <w:lang w:eastAsia="en-US"/>
        </w:rPr>
      </w:pPr>
      <w:r w:rsidRPr="00195B67">
        <w:rPr>
          <w:rFonts w:eastAsia="Times New Roman"/>
          <w:lang w:eastAsia="en-US"/>
        </w:rPr>
        <w:t>A combined 97 per cent of submitters supported the proposed timeframes or wanted timeframes brought forward.</w:t>
      </w:r>
      <w:r w:rsidR="00AA0263" w:rsidRPr="00195B67">
        <w:rPr>
          <w:rFonts w:eastAsia="Times New Roman"/>
          <w:lang w:eastAsia="en-US"/>
        </w:rPr>
        <w:t xml:space="preserve"> Fifty-six </w:t>
      </w:r>
      <w:r w:rsidR="008E0316" w:rsidRPr="00195B67">
        <w:rPr>
          <w:rFonts w:eastAsia="Times New Roman"/>
          <w:lang w:eastAsia="en-US"/>
        </w:rPr>
        <w:t>per cent of submitters supported the proposed time frames</w:t>
      </w:r>
      <w:r w:rsidR="00175B19" w:rsidRPr="00195B67">
        <w:rPr>
          <w:rFonts w:eastAsia="Times New Roman"/>
          <w:lang w:eastAsia="en-US"/>
        </w:rPr>
        <w:t xml:space="preserve"> and</w:t>
      </w:r>
      <w:r w:rsidR="008E0316" w:rsidRPr="00195B67">
        <w:rPr>
          <w:rFonts w:eastAsia="Times New Roman"/>
          <w:lang w:eastAsia="en-US"/>
        </w:rPr>
        <w:t xml:space="preserve"> 41 per cent called for sooner action. General public submitters were more likely to support faster action.</w:t>
      </w:r>
      <w:r w:rsidR="00AA0263" w:rsidRPr="00195B67">
        <w:rPr>
          <w:rFonts w:eastAsia="Times New Roman"/>
          <w:lang w:eastAsia="en-US"/>
        </w:rPr>
        <w:t xml:space="preserve"> </w:t>
      </w:r>
    </w:p>
    <w:p w14:paraId="5C937340" w14:textId="77777777" w:rsidR="008E0316" w:rsidRPr="00195B67" w:rsidRDefault="008E0316" w:rsidP="000F68DA">
      <w:pPr>
        <w:pStyle w:val="BodyText"/>
        <w:rPr>
          <w:rFonts w:eastAsia="Times New Roman"/>
          <w:lang w:eastAsia="en-US"/>
        </w:rPr>
      </w:pPr>
      <w:r w:rsidRPr="00195B67">
        <w:rPr>
          <w:rFonts w:eastAsia="Times New Roman"/>
          <w:lang w:eastAsia="en-US"/>
        </w:rPr>
        <w:t xml:space="preserve">Most plastic industry submitters and manufacturers wanted more time or disagreed with the proposed timeframes. </w:t>
      </w:r>
    </w:p>
    <w:p w14:paraId="2E2E0424" w14:textId="3EB0DFDC" w:rsidR="001C5C0E" w:rsidRPr="00195B67" w:rsidRDefault="001C5C0E" w:rsidP="000F68DA">
      <w:pPr>
        <w:pStyle w:val="Heading3"/>
        <w:rPr>
          <w:color w:val="2C9986" w:themeColor="accent4"/>
          <w:sz w:val="36"/>
          <w:szCs w:val="36"/>
        </w:rPr>
      </w:pPr>
      <w:r w:rsidRPr="00195B67">
        <w:rPr>
          <w:color w:val="2C9986" w:themeColor="accent4"/>
          <w:sz w:val="36"/>
          <w:szCs w:val="36"/>
        </w:rPr>
        <w:t>Key findings – Proposal two</w:t>
      </w:r>
    </w:p>
    <w:p w14:paraId="22CFDFD6" w14:textId="77777777" w:rsidR="001C5C0E" w:rsidRPr="00195B67" w:rsidRDefault="001C5C0E" w:rsidP="00CB6B16">
      <w:pPr>
        <w:pStyle w:val="Heading3"/>
        <w:spacing w:before="240"/>
      </w:pPr>
      <w:r w:rsidRPr="00195B67">
        <w:t xml:space="preserve">Submitters want more action on </w:t>
      </w:r>
      <w:proofErr w:type="gramStart"/>
      <w:r w:rsidRPr="00195B67">
        <w:t>single-use</w:t>
      </w:r>
      <w:proofErr w:type="gramEnd"/>
      <w:r w:rsidRPr="00195B67">
        <w:t xml:space="preserve"> plastics</w:t>
      </w:r>
    </w:p>
    <w:p w14:paraId="4D83FD1C" w14:textId="443467CA" w:rsidR="001C5C0E" w:rsidRPr="00195B67" w:rsidRDefault="00322E52" w:rsidP="000F68DA">
      <w:pPr>
        <w:pStyle w:val="BodyText"/>
      </w:pPr>
      <w:r w:rsidRPr="00195B67">
        <w:t>Most</w:t>
      </w:r>
      <w:r w:rsidR="001C5C0E" w:rsidRPr="00195B67">
        <w:t xml:space="preserve"> submitters support</w:t>
      </w:r>
      <w:r w:rsidR="00D061EB" w:rsidRPr="00195B67">
        <w:t>ed</w:t>
      </w:r>
      <w:r w:rsidR="001C5C0E" w:rsidRPr="00195B67">
        <w:t xml:space="preserve"> proposal two (96 per cent, 3705 of substantive submitters). </w:t>
      </w:r>
      <w:r w:rsidR="00C03EE0" w:rsidRPr="00195B67">
        <w:t>The</w:t>
      </w:r>
      <w:r w:rsidR="0076628B" w:rsidRPr="00195B67">
        <w:t> </w:t>
      </w:r>
      <w:r w:rsidR="002A34E3" w:rsidRPr="00195B67">
        <w:t xml:space="preserve">short-form </w:t>
      </w:r>
      <w:r w:rsidR="001C5C0E" w:rsidRPr="00195B67">
        <w:t xml:space="preserve">survey also showed high numbers of support for </w:t>
      </w:r>
      <w:r w:rsidR="004E144C" w:rsidRPr="00195B67">
        <w:t>phasing out</w:t>
      </w:r>
      <w:r w:rsidR="001C5C0E" w:rsidRPr="00195B67">
        <w:t xml:space="preserve"> each</w:t>
      </w:r>
      <w:r w:rsidR="000F460A" w:rsidRPr="00195B67">
        <w:t> </w:t>
      </w:r>
      <w:r w:rsidR="001C5C0E" w:rsidRPr="00195B67">
        <w:t>item</w:t>
      </w:r>
      <w:r w:rsidR="00790305" w:rsidRPr="00195B67">
        <w:t xml:space="preserve"> in proposal</w:t>
      </w:r>
      <w:r w:rsidR="0076628B" w:rsidRPr="00195B67">
        <w:t> </w:t>
      </w:r>
      <w:r w:rsidR="00790305" w:rsidRPr="00195B67">
        <w:t>two</w:t>
      </w:r>
      <w:r w:rsidR="001C5C0E" w:rsidRPr="00195B67">
        <w:t>.</w:t>
      </w:r>
    </w:p>
    <w:p w14:paraId="5B91FE13" w14:textId="08737F49" w:rsidR="001C5C0E" w:rsidRPr="00195B67" w:rsidRDefault="001C5C0E" w:rsidP="000F68DA">
      <w:pPr>
        <w:pStyle w:val="BodyText"/>
      </w:pPr>
      <w:r w:rsidRPr="00195B67">
        <w:t>Many submitters want</w:t>
      </w:r>
      <w:r w:rsidR="00790305" w:rsidRPr="00195B67">
        <w:t>ed</w:t>
      </w:r>
      <w:r w:rsidRPr="00195B67">
        <w:t xml:space="preserve"> action on additional single-use items</w:t>
      </w:r>
      <w:r w:rsidR="00957F42" w:rsidRPr="00195B67">
        <w:t>,</w:t>
      </w:r>
      <w:r w:rsidRPr="00195B67">
        <w:t xml:space="preserve"> such as disposable coffee cups and wet wipes (60 per cent, 4780). </w:t>
      </w:r>
    </w:p>
    <w:p w14:paraId="0ACD161E" w14:textId="77777777" w:rsidR="001C5C0E" w:rsidRPr="00195B67" w:rsidRDefault="001C5C0E" w:rsidP="00CB6B16">
      <w:pPr>
        <w:pStyle w:val="Heading3"/>
      </w:pPr>
      <w:r w:rsidRPr="00195B67">
        <w:t xml:space="preserve">Many submitters are concerned about </w:t>
      </w:r>
      <w:proofErr w:type="gramStart"/>
      <w:r w:rsidRPr="00195B67">
        <w:t>accessibility</w:t>
      </w:r>
      <w:proofErr w:type="gramEnd"/>
      <w:r w:rsidRPr="00195B67">
        <w:t xml:space="preserve"> </w:t>
      </w:r>
    </w:p>
    <w:p w14:paraId="78D62FFF" w14:textId="751C6ECD" w:rsidR="001C5C0E" w:rsidRPr="00195B67" w:rsidRDefault="001C5C0E" w:rsidP="000F68DA">
      <w:pPr>
        <w:pStyle w:val="BodyText"/>
      </w:pPr>
      <w:r w:rsidRPr="00195B67">
        <w:t xml:space="preserve">Many submitters raised concerns around </w:t>
      </w:r>
      <w:r w:rsidR="008E7011" w:rsidRPr="00195B67">
        <w:t xml:space="preserve">the </w:t>
      </w:r>
      <w:r w:rsidRPr="00195B67">
        <w:t>accessibility (including affordability) of alternatives to</w:t>
      </w:r>
      <w:r w:rsidR="000F460A" w:rsidRPr="00195B67">
        <w:t> </w:t>
      </w:r>
      <w:r w:rsidRPr="00195B67">
        <w:t xml:space="preserve">single-use </w:t>
      </w:r>
      <w:proofErr w:type="gramStart"/>
      <w:r w:rsidRPr="00195B67">
        <w:t>items</w:t>
      </w:r>
      <w:r w:rsidR="008E7011" w:rsidRPr="00195B67">
        <w:t>,</w:t>
      </w:r>
      <w:r w:rsidRPr="00195B67">
        <w:t xml:space="preserve"> if</w:t>
      </w:r>
      <w:proofErr w:type="gramEnd"/>
      <w:r w:rsidRPr="00195B67">
        <w:t xml:space="preserve"> they are phased</w:t>
      </w:r>
      <w:r w:rsidR="00867729" w:rsidRPr="00195B67">
        <w:t xml:space="preserve"> </w:t>
      </w:r>
      <w:r w:rsidRPr="00195B67">
        <w:t xml:space="preserve">out. </w:t>
      </w:r>
      <w:proofErr w:type="gramStart"/>
      <w:r w:rsidRPr="00195B67">
        <w:t>In particular, 42</w:t>
      </w:r>
      <w:proofErr w:type="gramEnd"/>
      <w:r w:rsidRPr="00195B67">
        <w:t xml:space="preserve"> per cent (3330) of </w:t>
      </w:r>
      <w:r w:rsidRPr="00195B67">
        <w:rPr>
          <w:rFonts w:asciiTheme="minorHAnsi" w:hAnsiTheme="minorHAnsi" w:cstheme="minorHAnsi"/>
        </w:rPr>
        <w:t xml:space="preserve">submitters </w:t>
      </w:r>
      <w:r w:rsidRPr="00195B67">
        <w:t>raised concerns around the phase</w:t>
      </w:r>
      <w:r w:rsidR="00867729" w:rsidRPr="00195B67">
        <w:t xml:space="preserve"> </w:t>
      </w:r>
      <w:r w:rsidRPr="00195B67">
        <w:t xml:space="preserve">out of plastic straws for disabled people or medical purposes. </w:t>
      </w:r>
    </w:p>
    <w:p w14:paraId="4BFC4531" w14:textId="16713B85" w:rsidR="001C5C0E" w:rsidRPr="00195B67" w:rsidRDefault="001C5C0E" w:rsidP="00CB6B16">
      <w:pPr>
        <w:pStyle w:val="Heading3"/>
      </w:pPr>
      <w:r w:rsidRPr="00195B67">
        <w:t>Timeframes</w:t>
      </w:r>
      <w:r w:rsidR="00A04399" w:rsidRPr="00195B67">
        <w:t xml:space="preserve"> for proposal two </w:t>
      </w:r>
    </w:p>
    <w:p w14:paraId="30557C92" w14:textId="5C1AFE1C" w:rsidR="008E0316" w:rsidRPr="00195B67" w:rsidRDefault="00E60E7C" w:rsidP="00CB6B16">
      <w:pPr>
        <w:pStyle w:val="BodyText"/>
      </w:pPr>
      <w:r w:rsidRPr="00195B67">
        <w:t>O</w:t>
      </w:r>
      <w:r w:rsidR="001C5C0E" w:rsidRPr="00195B67">
        <w:t xml:space="preserve">f the 820 submitters </w:t>
      </w:r>
      <w:r w:rsidRPr="00195B67">
        <w:t xml:space="preserve">who </w:t>
      </w:r>
      <w:r w:rsidR="001C5C0E" w:rsidRPr="00195B67">
        <w:t>commented on proposal two timeframes</w:t>
      </w:r>
      <w:r w:rsidRPr="00195B67">
        <w:t>, 58 per cent</w:t>
      </w:r>
      <w:r w:rsidR="001C5C0E" w:rsidRPr="00195B67">
        <w:t xml:space="preserve"> suggested the</w:t>
      </w:r>
      <w:r w:rsidR="00944950" w:rsidRPr="00195B67">
        <w:t>y</w:t>
      </w:r>
      <w:r w:rsidR="001C5C0E" w:rsidRPr="00195B67">
        <w:t xml:space="preserve"> should depend on each item. Business and industry submitters generally proposed a longer </w:t>
      </w:r>
      <w:r w:rsidR="00207CB8" w:rsidRPr="00195B67">
        <w:t>phase-out</w:t>
      </w:r>
      <w:r w:rsidR="001C5C0E" w:rsidRPr="00195B67">
        <w:t xml:space="preserve"> period for some items and </w:t>
      </w:r>
      <w:proofErr w:type="gramStart"/>
      <w:r w:rsidR="001C5C0E" w:rsidRPr="00195B67">
        <w:t>general public</w:t>
      </w:r>
      <w:proofErr w:type="gramEnd"/>
      <w:r w:rsidR="001C5C0E" w:rsidRPr="00195B67">
        <w:t xml:space="preserve"> submitters were more likely to support faster action. </w:t>
      </w:r>
    </w:p>
    <w:p w14:paraId="4E33476E" w14:textId="77777777" w:rsidR="00783B78" w:rsidRPr="00195B67" w:rsidRDefault="00783B78" w:rsidP="00E01D90"/>
    <w:p w14:paraId="4DBB4A2A" w14:textId="77777777" w:rsidR="00BE0168" w:rsidRPr="00195B67" w:rsidRDefault="00BE0168" w:rsidP="000F68DA">
      <w:pPr>
        <w:pStyle w:val="BodyText"/>
      </w:pPr>
      <w:r w:rsidRPr="00195B67">
        <w:br w:type="page"/>
      </w:r>
    </w:p>
    <w:p w14:paraId="621DE0A0" w14:textId="2D06CB3A" w:rsidR="00783B78" w:rsidRPr="00195B67" w:rsidRDefault="00783B78" w:rsidP="00783B78">
      <w:pPr>
        <w:pStyle w:val="Heading1"/>
      </w:pPr>
      <w:bookmarkStart w:id="8" w:name="_Toc72137488"/>
      <w:r w:rsidRPr="00195B67">
        <w:rPr>
          <w:rStyle w:val="Heading1Char"/>
          <w:b/>
        </w:rPr>
        <w:lastRenderedPageBreak/>
        <w:t>About th</w:t>
      </w:r>
      <w:r w:rsidR="002F2CCF" w:rsidRPr="00195B67">
        <w:rPr>
          <w:rStyle w:val="Heading1Char"/>
          <w:b/>
        </w:rPr>
        <w:t>e</w:t>
      </w:r>
      <w:r w:rsidRPr="00195B67">
        <w:rPr>
          <w:rStyle w:val="Heading1Char"/>
          <w:b/>
        </w:rPr>
        <w:t xml:space="preserve"> consultation</w:t>
      </w:r>
      <w:bookmarkEnd w:id="8"/>
      <w:r w:rsidRPr="00195B67">
        <w:rPr>
          <w:rStyle w:val="Heading1Char"/>
          <w:b/>
        </w:rPr>
        <w:t xml:space="preserve"> </w:t>
      </w:r>
    </w:p>
    <w:p w14:paraId="29E27CBD" w14:textId="3C6CE458" w:rsidR="00DF161A" w:rsidRPr="00195B67" w:rsidRDefault="00DF161A" w:rsidP="000F68DA">
      <w:pPr>
        <w:pStyle w:val="BodyText"/>
      </w:pPr>
      <w:r w:rsidRPr="00195B67">
        <w:t xml:space="preserve">This </w:t>
      </w:r>
      <w:r w:rsidR="004E1647" w:rsidRPr="00195B67">
        <w:t>document</w:t>
      </w:r>
      <w:r w:rsidR="00D061EB" w:rsidRPr="00195B67">
        <w:t xml:space="preserve"> reports</w:t>
      </w:r>
      <w:r w:rsidRPr="00195B67">
        <w:t xml:space="preserve"> </w:t>
      </w:r>
      <w:r w:rsidR="00B336E6" w:rsidRPr="00195B67">
        <w:t xml:space="preserve">on </w:t>
      </w:r>
      <w:r w:rsidRPr="00195B67">
        <w:t xml:space="preserve">the findings of public consultation conducted by the Ministry in late 2020. The consultation sought feedback from New </w:t>
      </w:r>
      <w:r w:rsidR="00A05B85" w:rsidRPr="00195B67">
        <w:t>Zealanders</w:t>
      </w:r>
      <w:r w:rsidRPr="00195B67">
        <w:t xml:space="preserve"> on </w:t>
      </w:r>
      <w:r w:rsidR="00EC37A8" w:rsidRPr="00195B67">
        <w:t xml:space="preserve">the </w:t>
      </w:r>
      <w:r w:rsidRPr="00195B67">
        <w:t xml:space="preserve">next steps for reducing the harm of plastics on the environment, proposing a mandatory </w:t>
      </w:r>
      <w:r w:rsidR="00207CB8" w:rsidRPr="00195B67">
        <w:t>phase</w:t>
      </w:r>
      <w:r w:rsidR="00EC37A8" w:rsidRPr="00195B67">
        <w:t xml:space="preserve"> </w:t>
      </w:r>
      <w:r w:rsidR="00207CB8" w:rsidRPr="00195B67">
        <w:t>out</w:t>
      </w:r>
      <w:r w:rsidRPr="00195B67">
        <w:t xml:space="preserve"> of several hard</w:t>
      </w:r>
      <w:r w:rsidR="00A04399" w:rsidRPr="00195B67">
        <w:t>-</w:t>
      </w:r>
      <w:r w:rsidRPr="00195B67">
        <w:t>to</w:t>
      </w:r>
      <w:r w:rsidR="00A04399" w:rsidRPr="00195B67">
        <w:t>-</w:t>
      </w:r>
      <w:r w:rsidRPr="00195B67">
        <w:t>recycle plastics and single-use plastic items.</w:t>
      </w:r>
    </w:p>
    <w:p w14:paraId="507CE304" w14:textId="06607AE7" w:rsidR="00783B78" w:rsidRPr="00195B67" w:rsidRDefault="00CA337B" w:rsidP="000F68DA">
      <w:pPr>
        <w:pStyle w:val="BodyText"/>
      </w:pPr>
      <w:r w:rsidRPr="00195B67">
        <w:t xml:space="preserve">The Government </w:t>
      </w:r>
      <w:r w:rsidR="004114F7" w:rsidRPr="00195B67">
        <w:t>can make regulations under section 23(1)(b) of the Waste Minimisation Act 2008 that prohibit the sale and manufacture of products that contain a specified material</w:t>
      </w:r>
      <w:r w:rsidR="00790305" w:rsidRPr="00195B67">
        <w:t>.</w:t>
      </w:r>
      <w:r w:rsidR="004114F7" w:rsidRPr="00195B67">
        <w:t xml:space="preserve"> </w:t>
      </w:r>
      <w:r w:rsidRPr="00195B67">
        <w:t xml:space="preserve">The Government </w:t>
      </w:r>
      <w:r w:rsidR="004114F7" w:rsidRPr="00195B67">
        <w:t>proposed phasing out several plastic items</w:t>
      </w:r>
      <w:r w:rsidR="00710C7B" w:rsidRPr="00195B67">
        <w:t>,</w:t>
      </w:r>
      <w:r w:rsidR="004114F7" w:rsidRPr="00195B67">
        <w:t xml:space="preserve"> as discussed below.</w:t>
      </w:r>
    </w:p>
    <w:p w14:paraId="18D56714" w14:textId="415FF02B" w:rsidR="00B83B8C" w:rsidRPr="00195B67" w:rsidRDefault="00DF0982" w:rsidP="000F68DA">
      <w:pPr>
        <w:pStyle w:val="Heading2"/>
        <w:rPr>
          <w:rFonts w:eastAsia="Times New Roman"/>
        </w:rPr>
      </w:pPr>
      <w:bookmarkStart w:id="9" w:name="_Toc72137489"/>
      <w:r w:rsidRPr="00195B67">
        <w:t>P</w:t>
      </w:r>
      <w:r w:rsidR="00B83B8C" w:rsidRPr="00195B67">
        <w:t>roposals</w:t>
      </w:r>
      <w:bookmarkEnd w:id="9"/>
    </w:p>
    <w:p w14:paraId="6E897B46" w14:textId="0408CF19" w:rsidR="00B83B8C" w:rsidRPr="00195B67" w:rsidRDefault="00B83B8C" w:rsidP="000F68DA">
      <w:pPr>
        <w:pStyle w:val="Heading3"/>
        <w:spacing w:before="240"/>
      </w:pPr>
      <w:r w:rsidRPr="00195B67">
        <w:t>Proposal one</w:t>
      </w:r>
      <w:r w:rsidR="00480D0B" w:rsidRPr="00195B67">
        <w:t xml:space="preserve">: </w:t>
      </w:r>
      <w:r w:rsidR="00721FBE" w:rsidRPr="00195B67">
        <w:t>P</w:t>
      </w:r>
      <w:r w:rsidR="00480D0B" w:rsidRPr="00195B67">
        <w:t>hase</w:t>
      </w:r>
      <w:r w:rsidR="00710C7B" w:rsidRPr="00195B67">
        <w:t xml:space="preserve"> </w:t>
      </w:r>
      <w:r w:rsidR="00480D0B" w:rsidRPr="00195B67">
        <w:t xml:space="preserve">out </w:t>
      </w:r>
      <w:r w:rsidR="00790305" w:rsidRPr="00195B67">
        <w:t xml:space="preserve">of </w:t>
      </w:r>
      <w:r w:rsidR="00480D0B" w:rsidRPr="00195B67">
        <w:t>hard</w:t>
      </w:r>
      <w:r w:rsidR="001843F8" w:rsidRPr="00195B67">
        <w:t>-</w:t>
      </w:r>
      <w:r w:rsidR="00480D0B" w:rsidRPr="00195B67">
        <w:t>to</w:t>
      </w:r>
      <w:r w:rsidR="001843F8" w:rsidRPr="00195B67">
        <w:t>-</w:t>
      </w:r>
      <w:r w:rsidR="00480D0B" w:rsidRPr="00195B67">
        <w:t xml:space="preserve">recycle </w:t>
      </w:r>
      <w:proofErr w:type="gramStart"/>
      <w:r w:rsidR="00480D0B" w:rsidRPr="00195B67">
        <w:t>plastics</w:t>
      </w:r>
      <w:proofErr w:type="gramEnd"/>
    </w:p>
    <w:p w14:paraId="0151547A" w14:textId="0AFA5C35" w:rsidR="00480D0B" w:rsidRPr="00195B67" w:rsidRDefault="00480D0B" w:rsidP="000F68DA">
      <w:pPr>
        <w:pStyle w:val="BodyText"/>
      </w:pPr>
      <w:r w:rsidRPr="00195B67">
        <w:t>The Government proposed phas</w:t>
      </w:r>
      <w:r w:rsidR="00A23E42" w:rsidRPr="00195B67">
        <w:t xml:space="preserve">ing </w:t>
      </w:r>
      <w:r w:rsidRPr="00195B67">
        <w:t>out</w:t>
      </w:r>
      <w:r w:rsidR="00CA337B" w:rsidRPr="00195B67">
        <w:t xml:space="preserve"> plastics that are low</w:t>
      </w:r>
      <w:r w:rsidR="00A23E42" w:rsidRPr="00195B67">
        <w:t xml:space="preserve"> </w:t>
      </w:r>
      <w:r w:rsidR="00CA337B" w:rsidRPr="00195B67">
        <w:t>value or hard</w:t>
      </w:r>
      <w:r w:rsidR="00A23E42" w:rsidRPr="00195B67">
        <w:t xml:space="preserve"> </w:t>
      </w:r>
      <w:r w:rsidR="00CA337B" w:rsidRPr="00195B67">
        <w:t>to</w:t>
      </w:r>
      <w:r w:rsidR="00A23E42" w:rsidRPr="00195B67">
        <w:t xml:space="preserve"> </w:t>
      </w:r>
      <w:r w:rsidR="00CA337B" w:rsidRPr="00195B67">
        <w:t>recycle</w:t>
      </w:r>
      <w:r w:rsidR="00A23E42" w:rsidRPr="00195B67">
        <w:t>,</w:t>
      </w:r>
      <w:r w:rsidR="00163732" w:rsidRPr="00195B67">
        <w:t xml:space="preserve"> including</w:t>
      </w:r>
      <w:r w:rsidRPr="00195B67">
        <w:t>:</w:t>
      </w:r>
      <w:r w:rsidR="00AA0263" w:rsidRPr="00195B67">
        <w:t xml:space="preserve"> </w:t>
      </w:r>
    </w:p>
    <w:p w14:paraId="0EE2E024" w14:textId="77777777" w:rsidR="00480D0B" w:rsidRPr="00195B67" w:rsidRDefault="00480D0B" w:rsidP="000F68DA">
      <w:pPr>
        <w:pStyle w:val="Bullet"/>
        <w:rPr>
          <w:rFonts w:eastAsiaTheme="majorEastAsia"/>
          <w:b/>
          <w:bCs/>
          <w:sz w:val="28"/>
        </w:rPr>
      </w:pPr>
      <w:r w:rsidRPr="00195B67">
        <w:t xml:space="preserve">all PVC food and beverage packaging </w:t>
      </w:r>
    </w:p>
    <w:p w14:paraId="435B85B2" w14:textId="77777777" w:rsidR="00480D0B" w:rsidRPr="00195B67" w:rsidRDefault="00480D0B" w:rsidP="000F68DA">
      <w:pPr>
        <w:pStyle w:val="Bullet"/>
        <w:rPr>
          <w:rFonts w:eastAsiaTheme="majorEastAsia"/>
          <w:b/>
          <w:bCs/>
          <w:sz w:val="28"/>
        </w:rPr>
      </w:pPr>
      <w:r w:rsidRPr="00195B67">
        <w:t xml:space="preserve">all polystyrene food and beverage packaging </w:t>
      </w:r>
    </w:p>
    <w:p w14:paraId="1127D162" w14:textId="77777777" w:rsidR="00480D0B" w:rsidRPr="00195B67" w:rsidRDefault="00480D0B" w:rsidP="000F68DA">
      <w:pPr>
        <w:pStyle w:val="Bullet"/>
        <w:rPr>
          <w:rFonts w:eastAsiaTheme="majorEastAsia"/>
          <w:b/>
          <w:bCs/>
          <w:sz w:val="28"/>
        </w:rPr>
      </w:pPr>
      <w:r w:rsidRPr="00195B67">
        <w:t xml:space="preserve">all other expanded polystyrene packaging </w:t>
      </w:r>
    </w:p>
    <w:p w14:paraId="7238D79A" w14:textId="73823046" w:rsidR="00480D0B" w:rsidRPr="00195B67" w:rsidRDefault="00480D0B" w:rsidP="000F68DA">
      <w:pPr>
        <w:pStyle w:val="Bullet"/>
        <w:rPr>
          <w:rFonts w:eastAsiaTheme="majorEastAsia"/>
          <w:b/>
          <w:bCs/>
          <w:sz w:val="28"/>
        </w:rPr>
      </w:pPr>
      <w:r w:rsidRPr="00195B67">
        <w:t>all oxo-degradable plastic products</w:t>
      </w:r>
      <w:r w:rsidR="0064145E" w:rsidRPr="00195B67">
        <w:t>.</w:t>
      </w:r>
    </w:p>
    <w:p w14:paraId="4A45716A" w14:textId="0EAA39E0" w:rsidR="00480D0B" w:rsidRPr="00195B67" w:rsidRDefault="00480D0B" w:rsidP="000F68DA">
      <w:pPr>
        <w:pStyle w:val="BodyText"/>
      </w:pPr>
      <w:r w:rsidRPr="00195B67">
        <w:t>The phase</w:t>
      </w:r>
      <w:r w:rsidR="006B7D77" w:rsidRPr="00195B67">
        <w:t xml:space="preserve"> </w:t>
      </w:r>
      <w:r w:rsidRPr="00195B67">
        <w:t xml:space="preserve">outs </w:t>
      </w:r>
      <w:r w:rsidR="00B35BE1" w:rsidRPr="00195B67">
        <w:t>a</w:t>
      </w:r>
      <w:r w:rsidRPr="00195B67">
        <w:t>re proposed to follow two stages. Stage 1 would cover all PVC and some</w:t>
      </w:r>
      <w:r w:rsidR="000F460A" w:rsidRPr="00195B67">
        <w:t> </w:t>
      </w:r>
      <w:r w:rsidRPr="00195B67">
        <w:t>polystyrene food and beverage packaging, and all oxo-degradable plastic products. Stage</w:t>
      </w:r>
      <w:r w:rsidR="00124F5B" w:rsidRPr="00195B67">
        <w:t> </w:t>
      </w:r>
      <w:r w:rsidRPr="00195B67">
        <w:t xml:space="preserve">1 </w:t>
      </w:r>
      <w:r w:rsidR="00A476B2" w:rsidRPr="00195B67">
        <w:t xml:space="preserve">is proposed to </w:t>
      </w:r>
      <w:r w:rsidRPr="00195B67">
        <w:t>occur by 2023.</w:t>
      </w:r>
    </w:p>
    <w:p w14:paraId="2B3BC4CB" w14:textId="0D81CF48" w:rsidR="00480D0B" w:rsidRPr="00195B67" w:rsidRDefault="00480D0B" w:rsidP="000F68DA">
      <w:pPr>
        <w:pStyle w:val="BodyText"/>
      </w:pPr>
      <w:r w:rsidRPr="00195B67">
        <w:t xml:space="preserve">Stage 2 </w:t>
      </w:r>
      <w:r w:rsidR="00104A2B" w:rsidRPr="00195B67">
        <w:t xml:space="preserve">is proposed to </w:t>
      </w:r>
      <w:r w:rsidRPr="00195B67">
        <w:t xml:space="preserve">cover most of the remaining polystyrene food and beverage packaging not captured in </w:t>
      </w:r>
      <w:r w:rsidR="00A44720" w:rsidRPr="00195B67">
        <w:t>S</w:t>
      </w:r>
      <w:r w:rsidRPr="00195B67">
        <w:t>tage</w:t>
      </w:r>
      <w:r w:rsidR="00A44720" w:rsidRPr="00195B67">
        <w:t xml:space="preserve"> 1</w:t>
      </w:r>
      <w:r w:rsidRPr="00195B67">
        <w:t xml:space="preserve">. It could also include other polystyrene, such as expanded polystyrene packaging used outside of food and beverage packaging </w:t>
      </w:r>
      <w:r w:rsidR="004E144C" w:rsidRPr="00195B67">
        <w:t>(</w:t>
      </w:r>
      <w:r w:rsidR="009C014B" w:rsidRPr="00195B67">
        <w:t>for example</w:t>
      </w:r>
      <w:r w:rsidR="004E144C" w:rsidRPr="00195B67">
        <w:t>,</w:t>
      </w:r>
      <w:r w:rsidRPr="00195B67">
        <w:t xml:space="preserve"> homewares and electronics packaging).</w:t>
      </w:r>
    </w:p>
    <w:p w14:paraId="4D451E75" w14:textId="47F9A312" w:rsidR="00BF232E" w:rsidRPr="00195B67" w:rsidRDefault="00B83B8C" w:rsidP="000F68DA">
      <w:pPr>
        <w:pStyle w:val="Heading3"/>
      </w:pPr>
      <w:r w:rsidRPr="00195B67">
        <w:t>Proposal two</w:t>
      </w:r>
      <w:r w:rsidR="003B23D5" w:rsidRPr="00195B67">
        <w:t xml:space="preserve">: </w:t>
      </w:r>
      <w:r w:rsidR="00721FBE" w:rsidRPr="00195B67">
        <w:t>T</w:t>
      </w:r>
      <w:r w:rsidR="003B23D5" w:rsidRPr="00195B67">
        <w:t xml:space="preserve">aking action on single-use plastic </w:t>
      </w:r>
      <w:proofErr w:type="gramStart"/>
      <w:r w:rsidR="003B23D5" w:rsidRPr="00195B67">
        <w:t>items</w:t>
      </w:r>
      <w:proofErr w:type="gramEnd"/>
      <w:r w:rsidR="003B23D5" w:rsidRPr="00195B67">
        <w:t xml:space="preserve"> </w:t>
      </w:r>
    </w:p>
    <w:p w14:paraId="565F33AE" w14:textId="78573069" w:rsidR="004114F7" w:rsidRPr="00195B67" w:rsidRDefault="00CA337B" w:rsidP="000F68DA">
      <w:pPr>
        <w:pStyle w:val="BodyText"/>
        <w:rPr>
          <w:rFonts w:eastAsiaTheme="majorEastAsia"/>
        </w:rPr>
      </w:pPr>
      <w:r w:rsidRPr="00195B67">
        <w:rPr>
          <w:rFonts w:eastAsiaTheme="majorEastAsia"/>
        </w:rPr>
        <w:t xml:space="preserve">The Government </w:t>
      </w:r>
      <w:r w:rsidR="00BF72DB" w:rsidRPr="00195B67">
        <w:rPr>
          <w:rFonts w:eastAsiaTheme="majorEastAsia"/>
        </w:rPr>
        <w:t xml:space="preserve">has </w:t>
      </w:r>
      <w:r w:rsidRPr="00195B67">
        <w:rPr>
          <w:rFonts w:eastAsiaTheme="majorEastAsia"/>
        </w:rPr>
        <w:t>proposed phasing out s</w:t>
      </w:r>
      <w:r w:rsidR="003B23D5" w:rsidRPr="00195B67">
        <w:rPr>
          <w:rFonts w:eastAsiaTheme="majorEastAsia"/>
        </w:rPr>
        <w:t xml:space="preserve">even single-use plastic </w:t>
      </w:r>
      <w:r w:rsidR="00163732" w:rsidRPr="00195B67">
        <w:rPr>
          <w:rFonts w:eastAsiaTheme="majorEastAsia"/>
        </w:rPr>
        <w:t>items including:</w:t>
      </w:r>
      <w:r w:rsidR="003B23D5" w:rsidRPr="00195B67">
        <w:rPr>
          <w:rFonts w:eastAsiaTheme="majorEastAsia"/>
        </w:rPr>
        <w:t xml:space="preserve"> </w:t>
      </w:r>
    </w:p>
    <w:p w14:paraId="19CD2C21" w14:textId="167622F0" w:rsidR="004114F7" w:rsidRPr="00195B67" w:rsidRDefault="005A3998" w:rsidP="000F68DA">
      <w:pPr>
        <w:pStyle w:val="Bullet"/>
        <w:rPr>
          <w:rFonts w:eastAsiaTheme="majorEastAsia"/>
        </w:rPr>
      </w:pPr>
      <w:r w:rsidRPr="00195B67">
        <w:rPr>
          <w:rFonts w:eastAsiaTheme="majorEastAsia"/>
        </w:rPr>
        <w:t>p</w:t>
      </w:r>
      <w:r w:rsidR="004114F7" w:rsidRPr="00195B67">
        <w:rPr>
          <w:rFonts w:eastAsiaTheme="majorEastAsia"/>
        </w:rPr>
        <w:t xml:space="preserve">roduce </w:t>
      </w:r>
      <w:proofErr w:type="gramStart"/>
      <w:r w:rsidR="004114F7" w:rsidRPr="00195B67">
        <w:rPr>
          <w:rFonts w:eastAsiaTheme="majorEastAsia"/>
        </w:rPr>
        <w:t>bags</w:t>
      </w:r>
      <w:proofErr w:type="gramEnd"/>
    </w:p>
    <w:p w14:paraId="7EE9A378" w14:textId="4EF1BFEE" w:rsidR="004114F7" w:rsidRPr="00195B67" w:rsidRDefault="005A3998" w:rsidP="000F68DA">
      <w:pPr>
        <w:pStyle w:val="Bullet"/>
        <w:rPr>
          <w:rFonts w:eastAsiaTheme="majorEastAsia"/>
        </w:rPr>
      </w:pPr>
      <w:r w:rsidRPr="00195B67">
        <w:rPr>
          <w:rFonts w:eastAsiaTheme="majorEastAsia"/>
        </w:rPr>
        <w:t>t</w:t>
      </w:r>
      <w:r w:rsidR="004114F7" w:rsidRPr="00195B67">
        <w:rPr>
          <w:rFonts w:eastAsiaTheme="majorEastAsia"/>
        </w:rPr>
        <w:t>ableware (</w:t>
      </w:r>
      <w:r w:rsidR="004254D2" w:rsidRPr="00195B67">
        <w:rPr>
          <w:rFonts w:eastAsiaTheme="majorEastAsia"/>
        </w:rPr>
        <w:t>for example</w:t>
      </w:r>
      <w:r w:rsidR="004E144C" w:rsidRPr="00195B67">
        <w:rPr>
          <w:rFonts w:eastAsiaTheme="majorEastAsia"/>
        </w:rPr>
        <w:t>,</w:t>
      </w:r>
      <w:r w:rsidR="004114F7" w:rsidRPr="00195B67">
        <w:rPr>
          <w:rFonts w:eastAsiaTheme="majorEastAsia"/>
        </w:rPr>
        <w:t xml:space="preserve"> plates, bowls, cutlery)</w:t>
      </w:r>
    </w:p>
    <w:p w14:paraId="7B1F1227" w14:textId="5EE58DFB" w:rsidR="004114F7" w:rsidRPr="00195B67" w:rsidRDefault="005A3998" w:rsidP="000F68DA">
      <w:pPr>
        <w:pStyle w:val="Bullet"/>
        <w:rPr>
          <w:rFonts w:eastAsiaTheme="majorEastAsia"/>
        </w:rPr>
      </w:pPr>
      <w:r w:rsidRPr="00195B67">
        <w:rPr>
          <w:rFonts w:eastAsiaTheme="majorEastAsia"/>
        </w:rPr>
        <w:t>n</w:t>
      </w:r>
      <w:r w:rsidR="004114F7" w:rsidRPr="00195B67">
        <w:rPr>
          <w:rFonts w:eastAsiaTheme="majorEastAsia"/>
        </w:rPr>
        <w:t xml:space="preserve">on-compostable </w:t>
      </w:r>
      <w:r w:rsidR="00207CB8" w:rsidRPr="00195B67">
        <w:rPr>
          <w:rFonts w:eastAsiaTheme="majorEastAsia"/>
        </w:rPr>
        <w:t>produce</w:t>
      </w:r>
      <w:r w:rsidR="004114F7" w:rsidRPr="00195B67">
        <w:rPr>
          <w:rFonts w:eastAsiaTheme="majorEastAsia"/>
        </w:rPr>
        <w:t xml:space="preserve"> </w:t>
      </w:r>
      <w:r w:rsidR="00207CB8" w:rsidRPr="00195B67">
        <w:rPr>
          <w:rFonts w:eastAsiaTheme="majorEastAsia"/>
        </w:rPr>
        <w:t>label</w:t>
      </w:r>
      <w:r w:rsidR="004114F7" w:rsidRPr="00195B67">
        <w:rPr>
          <w:rFonts w:eastAsiaTheme="majorEastAsia"/>
        </w:rPr>
        <w:t>s</w:t>
      </w:r>
      <w:r w:rsidR="004E144C" w:rsidRPr="00195B67">
        <w:rPr>
          <w:rFonts w:eastAsiaTheme="majorEastAsia"/>
        </w:rPr>
        <w:t xml:space="preserve"> </w:t>
      </w:r>
    </w:p>
    <w:p w14:paraId="09EEA29D" w14:textId="2784BD96" w:rsidR="004114F7" w:rsidRPr="00195B67" w:rsidRDefault="005A3998" w:rsidP="000F68DA">
      <w:pPr>
        <w:pStyle w:val="Bullet"/>
        <w:rPr>
          <w:rFonts w:eastAsiaTheme="majorEastAsia"/>
        </w:rPr>
      </w:pPr>
      <w:r w:rsidRPr="00195B67">
        <w:rPr>
          <w:rFonts w:eastAsiaTheme="majorEastAsia"/>
        </w:rPr>
        <w:t>d</w:t>
      </w:r>
      <w:r w:rsidR="004114F7" w:rsidRPr="00195B67">
        <w:rPr>
          <w:rFonts w:eastAsiaTheme="majorEastAsia"/>
        </w:rPr>
        <w:t>rink stirrers</w:t>
      </w:r>
    </w:p>
    <w:p w14:paraId="0257C6DB" w14:textId="2A69F072" w:rsidR="004114F7" w:rsidRPr="00195B67" w:rsidRDefault="005A3998" w:rsidP="000F68DA">
      <w:pPr>
        <w:pStyle w:val="Bullet"/>
        <w:rPr>
          <w:rFonts w:eastAsiaTheme="majorEastAsia"/>
        </w:rPr>
      </w:pPr>
      <w:r w:rsidRPr="00195B67">
        <w:rPr>
          <w:rFonts w:eastAsiaTheme="majorEastAsia"/>
        </w:rPr>
        <w:t>s</w:t>
      </w:r>
      <w:r w:rsidR="004114F7" w:rsidRPr="00195B67">
        <w:rPr>
          <w:rFonts w:eastAsiaTheme="majorEastAsia"/>
        </w:rPr>
        <w:t xml:space="preserve">ome single-use cups and lids </w:t>
      </w:r>
    </w:p>
    <w:p w14:paraId="4A829E4C" w14:textId="3D3A0DCC" w:rsidR="004114F7" w:rsidRPr="00195B67" w:rsidRDefault="005A3998" w:rsidP="000F68DA">
      <w:pPr>
        <w:pStyle w:val="Bullet"/>
        <w:rPr>
          <w:rFonts w:eastAsiaTheme="majorEastAsia"/>
        </w:rPr>
      </w:pPr>
      <w:r w:rsidRPr="00195B67">
        <w:rPr>
          <w:rFonts w:eastAsiaTheme="majorEastAsia"/>
        </w:rPr>
        <w:t>c</w:t>
      </w:r>
      <w:r w:rsidR="004114F7" w:rsidRPr="00195B67">
        <w:rPr>
          <w:rFonts w:eastAsiaTheme="majorEastAsia"/>
        </w:rPr>
        <w:t>otton buds</w:t>
      </w:r>
    </w:p>
    <w:p w14:paraId="048A3700" w14:textId="7730106A" w:rsidR="004114F7" w:rsidRPr="00195B67" w:rsidRDefault="005A3998" w:rsidP="000F68DA">
      <w:pPr>
        <w:pStyle w:val="Bullet"/>
        <w:rPr>
          <w:rFonts w:eastAsiaTheme="majorEastAsia"/>
        </w:rPr>
      </w:pPr>
      <w:r w:rsidRPr="00195B67">
        <w:rPr>
          <w:rFonts w:eastAsiaTheme="majorEastAsia"/>
        </w:rPr>
        <w:t>s</w:t>
      </w:r>
      <w:r w:rsidR="004114F7" w:rsidRPr="00195B67">
        <w:rPr>
          <w:rFonts w:eastAsiaTheme="majorEastAsia"/>
        </w:rPr>
        <w:t>traws</w:t>
      </w:r>
      <w:r w:rsidRPr="00195B67">
        <w:rPr>
          <w:rFonts w:eastAsiaTheme="majorEastAsia"/>
        </w:rPr>
        <w:t>.</w:t>
      </w:r>
    </w:p>
    <w:p w14:paraId="5E31BE2A" w14:textId="78AF30BB" w:rsidR="00890258" w:rsidRPr="00195B67" w:rsidRDefault="00E23A03" w:rsidP="000F68DA">
      <w:pPr>
        <w:pStyle w:val="Heading2"/>
        <w:rPr>
          <w:sz w:val="28"/>
        </w:rPr>
      </w:pPr>
      <w:bookmarkStart w:id="10" w:name="_Toc72137490"/>
      <w:r w:rsidRPr="00195B67">
        <w:rPr>
          <w:rFonts w:eastAsia="Times New Roman"/>
        </w:rPr>
        <w:lastRenderedPageBreak/>
        <w:t>Background</w:t>
      </w:r>
      <w:r w:rsidR="00B83B8C" w:rsidRPr="00195B67">
        <w:rPr>
          <w:rFonts w:eastAsia="Times New Roman"/>
        </w:rPr>
        <w:t xml:space="preserve"> to th</w:t>
      </w:r>
      <w:r w:rsidR="002F2CCF" w:rsidRPr="00195B67">
        <w:rPr>
          <w:rFonts w:eastAsia="Times New Roman"/>
        </w:rPr>
        <w:t>e</w:t>
      </w:r>
      <w:r w:rsidR="00B83B8C" w:rsidRPr="00195B67">
        <w:rPr>
          <w:rFonts w:eastAsia="Times New Roman"/>
        </w:rPr>
        <w:t xml:space="preserve"> consultation</w:t>
      </w:r>
      <w:bookmarkEnd w:id="10"/>
      <w:r w:rsidR="00B83B8C" w:rsidRPr="00195B67">
        <w:rPr>
          <w:rFonts w:eastAsia="Times New Roman"/>
        </w:rPr>
        <w:t xml:space="preserve"> </w:t>
      </w:r>
    </w:p>
    <w:p w14:paraId="75A8F566" w14:textId="77777777" w:rsidR="000F68DA" w:rsidRPr="00195B67" w:rsidRDefault="00BF232E" w:rsidP="000F68DA">
      <w:pPr>
        <w:pStyle w:val="Heading3"/>
        <w:spacing w:before="240"/>
      </w:pPr>
      <w:r w:rsidRPr="00195B67">
        <w:t xml:space="preserve">Understanding </w:t>
      </w:r>
      <w:r w:rsidR="005A3998" w:rsidRPr="00195B67">
        <w:t>p</w:t>
      </w:r>
      <w:r w:rsidRPr="00195B67">
        <w:t xml:space="preserve">lastics </w:t>
      </w:r>
    </w:p>
    <w:p w14:paraId="0F1D13B7" w14:textId="3EC66B2B" w:rsidR="008215D0" w:rsidRPr="00195B67" w:rsidRDefault="00BF232E" w:rsidP="000F68DA">
      <w:pPr>
        <w:pStyle w:val="BodyText"/>
      </w:pPr>
      <w:r w:rsidRPr="00195B67">
        <w:t>The problem of plastics is vast and complex. Plastic is fundamental to our modern-day lives. It has many desirable properties</w:t>
      </w:r>
      <w:r w:rsidR="00EC3579" w:rsidRPr="00195B67">
        <w:t>:</w:t>
      </w:r>
      <w:r w:rsidRPr="00195B67">
        <w:t xml:space="preserve"> it is versatile, durable, flexible, </w:t>
      </w:r>
      <w:proofErr w:type="gramStart"/>
      <w:r w:rsidRPr="00195B67">
        <w:t>affordable</w:t>
      </w:r>
      <w:proofErr w:type="gramEnd"/>
      <w:r w:rsidRPr="00195B67">
        <w:t xml:space="preserve"> and lightweight. We use plastic for many things</w:t>
      </w:r>
      <w:r w:rsidR="00EC3579" w:rsidRPr="00195B67">
        <w:t>,</w:t>
      </w:r>
      <w:r w:rsidRPr="00195B67">
        <w:t xml:space="preserve"> for example</w:t>
      </w:r>
      <w:r w:rsidR="00EC3579" w:rsidRPr="00195B67">
        <w:t>,</w:t>
      </w:r>
      <w:r w:rsidRPr="00195B67">
        <w:t xml:space="preserve"> in construction, clothing, food production and distribution, farming, healthcare and packaging. </w:t>
      </w:r>
    </w:p>
    <w:p w14:paraId="39D94479" w14:textId="08E01B58" w:rsidR="000F68DA" w:rsidRPr="00195B67" w:rsidRDefault="00BF232E" w:rsidP="000F68DA">
      <w:pPr>
        <w:pStyle w:val="BodyText"/>
      </w:pPr>
      <w:r w:rsidRPr="00195B67">
        <w:t xml:space="preserve">Poorly managed waste plastics </w:t>
      </w:r>
      <w:r w:rsidR="001B13FE" w:rsidRPr="00195B67">
        <w:t xml:space="preserve">result in </w:t>
      </w:r>
      <w:r w:rsidRPr="00195B67">
        <w:t xml:space="preserve">significant sources of plastic entering the environment, whether from littering, illegal dumping or escaping </w:t>
      </w:r>
      <w:r w:rsidR="009A69CC" w:rsidRPr="00195B67">
        <w:t xml:space="preserve">from </w:t>
      </w:r>
      <w:r w:rsidRPr="00195B67">
        <w:t>waste management systems</w:t>
      </w:r>
      <w:r w:rsidR="008215D0" w:rsidRPr="00195B67">
        <w:t xml:space="preserve">. Confusion </w:t>
      </w:r>
      <w:r w:rsidR="0066332F" w:rsidRPr="00195B67">
        <w:t xml:space="preserve">occurs </w:t>
      </w:r>
      <w:r w:rsidR="008215D0" w:rsidRPr="00195B67">
        <w:t>between different types of plastic</w:t>
      </w:r>
      <w:r w:rsidR="0060656A" w:rsidRPr="00195B67">
        <w:t>s</w:t>
      </w:r>
      <w:r w:rsidR="008215D0" w:rsidRPr="00195B67">
        <w:t xml:space="preserve">, known as </w:t>
      </w:r>
      <w:r w:rsidR="004235AB" w:rsidRPr="00195B67">
        <w:t>‘</w:t>
      </w:r>
      <w:r w:rsidR="008215D0" w:rsidRPr="00880782">
        <w:t>polymers</w:t>
      </w:r>
      <w:r w:rsidR="004235AB" w:rsidRPr="00195B67">
        <w:t>’</w:t>
      </w:r>
      <w:r w:rsidR="008215D0" w:rsidRPr="00195B67">
        <w:t>, because some are recyclable in New Zealand while others contaminate recycling, have little or no domestic and international markets, and must be sent to landfill.</w:t>
      </w:r>
      <w:r w:rsidR="00B22628" w:rsidRPr="00195B67">
        <w:rPr>
          <w:vertAlign w:val="superscript"/>
        </w:rPr>
        <w:footnoteReference w:id="1"/>
      </w:r>
    </w:p>
    <w:p w14:paraId="5E31834D" w14:textId="77777777" w:rsidR="000F68DA" w:rsidRPr="00195B67" w:rsidRDefault="00B4372F" w:rsidP="000F68DA">
      <w:pPr>
        <w:pStyle w:val="Heading3"/>
      </w:pPr>
      <w:r w:rsidRPr="00195B67">
        <w:t xml:space="preserve">New Zealanders want </w:t>
      </w:r>
      <w:proofErr w:type="gramStart"/>
      <w:r w:rsidRPr="00195B67">
        <w:t>change</w:t>
      </w:r>
      <w:proofErr w:type="gramEnd"/>
    </w:p>
    <w:p w14:paraId="5BA51FE7" w14:textId="5BF831E0" w:rsidR="00B4372F" w:rsidRPr="00195B67" w:rsidRDefault="00B4372F" w:rsidP="000F68DA">
      <w:pPr>
        <w:pStyle w:val="BodyText"/>
      </w:pPr>
      <w:r w:rsidRPr="00195B67">
        <w:t>New Zealanders care deeply about plastic waste and pollution and want to do the right thing.</w:t>
      </w:r>
      <w:r w:rsidR="00ED5079" w:rsidRPr="00195B67">
        <w:t> </w:t>
      </w:r>
      <w:r w:rsidRPr="00195B67">
        <w:t xml:space="preserve">The Government often hears from people of all ages from across the country about how plastic waste and pollution </w:t>
      </w:r>
      <w:r w:rsidR="005A3998" w:rsidRPr="00195B67">
        <w:t>concerns</w:t>
      </w:r>
      <w:r w:rsidRPr="00195B67">
        <w:t xml:space="preserve"> them. Yet New Zealand also has one of the highest rates of waste-to-landfill per capita in the </w:t>
      </w:r>
      <w:r w:rsidR="00806C82" w:rsidRPr="00195B67">
        <w:t>Organisation for Economic Co-operation and Development</w:t>
      </w:r>
      <w:r w:rsidRPr="00195B67">
        <w:t>.</w:t>
      </w:r>
    </w:p>
    <w:p w14:paraId="27D498D6" w14:textId="5B9E54E9" w:rsidR="000F68DA" w:rsidRPr="00195B67" w:rsidRDefault="00BF232E" w:rsidP="000F68DA">
      <w:pPr>
        <w:pStyle w:val="Heading3"/>
      </w:pPr>
      <w:r w:rsidRPr="00195B67">
        <w:t xml:space="preserve">Rethinking </w:t>
      </w:r>
      <w:r w:rsidR="0031274C" w:rsidRPr="00195B67">
        <w:t>p</w:t>
      </w:r>
      <w:r w:rsidRPr="00195B67">
        <w:t xml:space="preserve">lastics </w:t>
      </w:r>
    </w:p>
    <w:p w14:paraId="2DFAD924" w14:textId="015B9579" w:rsidR="000F68DA" w:rsidRPr="00195B67" w:rsidRDefault="00CD6901" w:rsidP="000F68DA">
      <w:pPr>
        <w:pStyle w:val="BodyText"/>
      </w:pPr>
      <w:r w:rsidRPr="00195B67">
        <w:t xml:space="preserve">In December 2019, the </w:t>
      </w:r>
      <w:r w:rsidR="0031274C" w:rsidRPr="00195B67">
        <w:t>O</w:t>
      </w:r>
      <w:r w:rsidRPr="00195B67">
        <w:t>ffice of the Prime Minister’s Chief Science Advisor released the report</w:t>
      </w:r>
      <w:r w:rsidR="00ED5079" w:rsidRPr="00195B67">
        <w:t> </w:t>
      </w:r>
      <w:hyperlink r:id="rId22" w:history="1">
        <w:r w:rsidRPr="00880782">
          <w:rPr>
            <w:rStyle w:val="Hyperlink"/>
            <w:i/>
            <w:iCs/>
          </w:rPr>
          <w:t>Rethinking Plastics in Aotearoa New Zealand</w:t>
        </w:r>
      </w:hyperlink>
      <w:r w:rsidRPr="00195B67">
        <w:t xml:space="preserve">. </w:t>
      </w:r>
      <w:r w:rsidR="00BF232E" w:rsidRPr="00195B67">
        <w:t>The report ma</w:t>
      </w:r>
      <w:r w:rsidR="001030A4" w:rsidRPr="00195B67">
        <w:t>kes</w:t>
      </w:r>
      <w:r w:rsidR="00BF232E" w:rsidRPr="00195B67">
        <w:t xml:space="preserve"> </w:t>
      </w:r>
      <w:r w:rsidR="00767765" w:rsidRPr="00195B67">
        <w:t xml:space="preserve">several </w:t>
      </w:r>
      <w:r w:rsidR="00BF232E" w:rsidRPr="00195B67">
        <w:t xml:space="preserve">recommendations to help shift New Zealand towards a low-waste, sustainable and more circular economy for plastics. </w:t>
      </w:r>
    </w:p>
    <w:p w14:paraId="5FBFAE20" w14:textId="6FCF5CB0" w:rsidR="00890258" w:rsidRPr="00195B67" w:rsidRDefault="00CD6901" w:rsidP="000F68DA">
      <w:pPr>
        <w:pStyle w:val="BodyText"/>
      </w:pPr>
      <w:r w:rsidRPr="00195B67">
        <w:t xml:space="preserve">Following this, the Government </w:t>
      </w:r>
      <w:r w:rsidR="00CA337B" w:rsidRPr="00195B67">
        <w:t xml:space="preserve">announced </w:t>
      </w:r>
      <w:r w:rsidR="00163732" w:rsidRPr="00195B67">
        <w:t>the intention to</w:t>
      </w:r>
      <w:r w:rsidRPr="00195B67">
        <w:t xml:space="preserve"> shift away from low-value and hard-to-recycle plastics and phase</w:t>
      </w:r>
      <w:r w:rsidR="00AC72DC" w:rsidRPr="00195B67">
        <w:t xml:space="preserve"> </w:t>
      </w:r>
      <w:r w:rsidRPr="00195B67">
        <w:t>out more single-use items.</w:t>
      </w:r>
      <w:r w:rsidR="008215D0" w:rsidRPr="00195B67">
        <w:t xml:space="preserve"> </w:t>
      </w:r>
      <w:r w:rsidRPr="00195B67">
        <w:t xml:space="preserve">This is part of a wider ambition to make New Zealand an economy where plastic rarely becomes waste or pollution, and </w:t>
      </w:r>
      <w:r w:rsidR="004A434A" w:rsidRPr="00195B67">
        <w:t xml:space="preserve">the </w:t>
      </w:r>
      <w:r w:rsidRPr="00195B67">
        <w:t xml:space="preserve">natural environment and marine life </w:t>
      </w:r>
      <w:r w:rsidR="004A434A" w:rsidRPr="00195B67">
        <w:t xml:space="preserve">are protected </w:t>
      </w:r>
      <w:r w:rsidRPr="00195B67">
        <w:t>from the impacts of plastic waste.</w:t>
      </w:r>
    </w:p>
    <w:p w14:paraId="692BAAAE" w14:textId="50E0665A" w:rsidR="00D77187" w:rsidRPr="00195B67" w:rsidRDefault="004A434A" w:rsidP="000F68DA">
      <w:pPr>
        <w:pStyle w:val="Heading2"/>
      </w:pPr>
      <w:bookmarkStart w:id="11" w:name="_Toc72137491"/>
      <w:r w:rsidRPr="00195B67">
        <w:rPr>
          <w:rFonts w:eastAsia="Times New Roman"/>
        </w:rPr>
        <w:t>C</w:t>
      </w:r>
      <w:r w:rsidR="00B83B8C" w:rsidRPr="00195B67">
        <w:rPr>
          <w:rFonts w:eastAsia="Times New Roman"/>
        </w:rPr>
        <w:t>onsultation process</w:t>
      </w:r>
      <w:bookmarkEnd w:id="11"/>
    </w:p>
    <w:p w14:paraId="7270D57F" w14:textId="2C75F0EB" w:rsidR="00890258" w:rsidRPr="00195B67" w:rsidRDefault="00D77187" w:rsidP="000F68DA">
      <w:pPr>
        <w:pStyle w:val="Heading3"/>
        <w:spacing w:before="240"/>
        <w:rPr>
          <w:rFonts w:eastAsia="Times New Roman"/>
        </w:rPr>
      </w:pPr>
      <w:r w:rsidRPr="00195B67">
        <w:rPr>
          <w:rFonts w:eastAsia="Times New Roman"/>
        </w:rPr>
        <w:t xml:space="preserve">How we consulted </w:t>
      </w:r>
    </w:p>
    <w:p w14:paraId="4E221A41" w14:textId="38049583" w:rsidR="00D77187" w:rsidRPr="00195B67" w:rsidRDefault="00D77187" w:rsidP="000F68DA">
      <w:pPr>
        <w:pStyle w:val="BodyText"/>
        <w:rPr>
          <w:rFonts w:eastAsia="Times New Roman"/>
        </w:rPr>
      </w:pPr>
      <w:r w:rsidRPr="00195B67">
        <w:rPr>
          <w:rFonts w:eastAsia="Times New Roman"/>
        </w:rPr>
        <w:t>From 12 August to 4 December 2020 the Ministry consulted on proposals to phase</w:t>
      </w:r>
      <w:r w:rsidR="0086531B" w:rsidRPr="00195B67">
        <w:rPr>
          <w:rFonts w:eastAsia="Times New Roman"/>
        </w:rPr>
        <w:t xml:space="preserve"> </w:t>
      </w:r>
      <w:r w:rsidRPr="00195B67">
        <w:rPr>
          <w:rFonts w:eastAsia="Times New Roman"/>
        </w:rPr>
        <w:t xml:space="preserve">out </w:t>
      </w:r>
      <w:r w:rsidR="00163732" w:rsidRPr="00195B67">
        <w:rPr>
          <w:rFonts w:eastAsia="Times New Roman"/>
        </w:rPr>
        <w:t xml:space="preserve">certain </w:t>
      </w:r>
      <w:r w:rsidR="00577FC7" w:rsidRPr="00195B67">
        <w:rPr>
          <w:rFonts w:eastAsia="Times New Roman"/>
        </w:rPr>
        <w:t>hard-to-recycle</w:t>
      </w:r>
      <w:r w:rsidRPr="00195B67">
        <w:rPr>
          <w:rFonts w:eastAsia="Times New Roman"/>
        </w:rPr>
        <w:t xml:space="preserve"> plastics and </w:t>
      </w:r>
      <w:r w:rsidR="00163732" w:rsidRPr="00195B67">
        <w:rPr>
          <w:rFonts w:eastAsia="Times New Roman"/>
        </w:rPr>
        <w:t xml:space="preserve">seven </w:t>
      </w:r>
      <w:r w:rsidRPr="00195B67">
        <w:rPr>
          <w:rFonts w:eastAsia="Times New Roman"/>
        </w:rPr>
        <w:t xml:space="preserve">single-use plastic items, entitled </w:t>
      </w:r>
      <w:hyperlink r:id="rId23" w:history="1">
        <w:r w:rsidRPr="00500874">
          <w:rPr>
            <w:rStyle w:val="Hyperlink"/>
            <w:rFonts w:eastAsia="Times New Roman"/>
            <w:i/>
            <w:iCs/>
          </w:rPr>
          <w:t xml:space="preserve">Reducing the </w:t>
        </w:r>
        <w:r w:rsidR="00101A94" w:rsidRPr="00500874">
          <w:rPr>
            <w:rStyle w:val="Hyperlink"/>
            <w:rFonts w:eastAsia="Times New Roman"/>
            <w:i/>
            <w:iCs/>
          </w:rPr>
          <w:t>i</w:t>
        </w:r>
        <w:r w:rsidRPr="00500874">
          <w:rPr>
            <w:rStyle w:val="Hyperlink"/>
            <w:rFonts w:eastAsia="Times New Roman"/>
            <w:i/>
            <w:iCs/>
          </w:rPr>
          <w:t xml:space="preserve">mpact of </w:t>
        </w:r>
        <w:r w:rsidR="00101A94" w:rsidRPr="00500874">
          <w:rPr>
            <w:rStyle w:val="Hyperlink"/>
            <w:rFonts w:eastAsia="Times New Roman"/>
            <w:i/>
            <w:iCs/>
          </w:rPr>
          <w:t>p</w:t>
        </w:r>
        <w:r w:rsidRPr="00500874">
          <w:rPr>
            <w:rStyle w:val="Hyperlink"/>
            <w:rFonts w:eastAsia="Times New Roman"/>
            <w:i/>
            <w:iCs/>
          </w:rPr>
          <w:t xml:space="preserve">lastic on our </w:t>
        </w:r>
        <w:r w:rsidR="00101A94" w:rsidRPr="00500874">
          <w:rPr>
            <w:rStyle w:val="Hyperlink"/>
            <w:rFonts w:eastAsia="Times New Roman"/>
            <w:i/>
            <w:iCs/>
          </w:rPr>
          <w:t>e</w:t>
        </w:r>
        <w:r w:rsidRPr="00500874">
          <w:rPr>
            <w:rStyle w:val="Hyperlink"/>
            <w:rFonts w:eastAsia="Times New Roman"/>
            <w:i/>
            <w:iCs/>
          </w:rPr>
          <w:t>nvironment</w:t>
        </w:r>
      </w:hyperlink>
      <w:r w:rsidRPr="00195B67">
        <w:rPr>
          <w:rFonts w:eastAsia="Times New Roman"/>
        </w:rPr>
        <w:t>.</w:t>
      </w:r>
      <w:r w:rsidR="00B22628" w:rsidRPr="00195B67">
        <w:rPr>
          <w:rFonts w:eastAsia="Times New Roman"/>
          <w:vertAlign w:val="superscript"/>
        </w:rPr>
        <w:footnoteReference w:id="2"/>
      </w:r>
    </w:p>
    <w:p w14:paraId="3EA3A66D" w14:textId="77777777" w:rsidR="000F68DA" w:rsidRPr="00195B67" w:rsidRDefault="007A7F81" w:rsidP="00EA3648">
      <w:pPr>
        <w:pStyle w:val="Heading3"/>
        <w:rPr>
          <w:rFonts w:eastAsia="Times New Roman"/>
        </w:rPr>
      </w:pPr>
      <w:r w:rsidRPr="00195B67">
        <w:lastRenderedPageBreak/>
        <w:t>Consultation</w:t>
      </w:r>
      <w:r w:rsidRPr="00195B67">
        <w:rPr>
          <w:rFonts w:eastAsia="Times New Roman"/>
        </w:rPr>
        <w:t xml:space="preserve"> tools</w:t>
      </w:r>
    </w:p>
    <w:p w14:paraId="192A598A" w14:textId="27347592" w:rsidR="00D77187" w:rsidRPr="00195B67" w:rsidRDefault="00CF481D" w:rsidP="00EA3648">
      <w:pPr>
        <w:pStyle w:val="BodyText"/>
        <w:rPr>
          <w:rFonts w:eastAsia="Times New Roman"/>
          <w:b/>
          <w:bCs/>
        </w:rPr>
      </w:pPr>
      <w:r w:rsidRPr="00195B67">
        <w:rPr>
          <w:rFonts w:eastAsia="Times New Roman"/>
        </w:rPr>
        <w:t>To make this consultation as accessible as possible, s</w:t>
      </w:r>
      <w:r w:rsidR="00D77187" w:rsidRPr="00195B67">
        <w:rPr>
          <w:rFonts w:eastAsia="Times New Roman"/>
        </w:rPr>
        <w:t>ubmitters were able to</w:t>
      </w:r>
      <w:r w:rsidR="00B74E50" w:rsidRPr="00195B67">
        <w:rPr>
          <w:rFonts w:eastAsia="Times New Roman"/>
        </w:rPr>
        <w:t xml:space="preserve"> give </w:t>
      </w:r>
      <w:r w:rsidR="00D77187" w:rsidRPr="00195B67">
        <w:rPr>
          <w:rFonts w:eastAsia="Times New Roman"/>
        </w:rPr>
        <w:t>feedback through four main channels:</w:t>
      </w:r>
    </w:p>
    <w:p w14:paraId="3A81BAD2" w14:textId="4CD70D7C" w:rsidR="00E32905" w:rsidRPr="00195B67" w:rsidRDefault="005A3998" w:rsidP="00EA3648">
      <w:pPr>
        <w:pStyle w:val="Bullet"/>
      </w:pPr>
      <w:r w:rsidRPr="00195B67">
        <w:t>o</w:t>
      </w:r>
      <w:r w:rsidR="00D77187" w:rsidRPr="00195B67">
        <w:t>nline</w:t>
      </w:r>
      <w:r w:rsidR="00B4372F" w:rsidRPr="00195B67">
        <w:t xml:space="preserve"> </w:t>
      </w:r>
      <w:r w:rsidR="00C44452" w:rsidRPr="00195B67">
        <w:rPr>
          <w:b/>
          <w:bCs/>
        </w:rPr>
        <w:t>substantive</w:t>
      </w:r>
      <w:r w:rsidR="007A7F81" w:rsidRPr="00195B67">
        <w:rPr>
          <w:b/>
          <w:bCs/>
        </w:rPr>
        <w:t xml:space="preserve"> </w:t>
      </w:r>
      <w:r w:rsidR="00E32905" w:rsidRPr="00195B67">
        <w:rPr>
          <w:b/>
          <w:bCs/>
        </w:rPr>
        <w:t>submissions</w:t>
      </w:r>
      <w:r w:rsidR="00B4372F" w:rsidRPr="00880782">
        <w:t>,</w:t>
      </w:r>
      <w:r w:rsidR="00B4372F" w:rsidRPr="00195B67">
        <w:rPr>
          <w:b/>
          <w:bCs/>
        </w:rPr>
        <w:t xml:space="preserve"> </w:t>
      </w:r>
      <w:r w:rsidR="00E32905" w:rsidRPr="00195B67">
        <w:t xml:space="preserve">which asked </w:t>
      </w:r>
      <w:r w:rsidR="00E0642B" w:rsidRPr="00195B67">
        <w:t>various</w:t>
      </w:r>
      <w:r w:rsidR="00E32905" w:rsidRPr="00195B67">
        <w:t xml:space="preserve"> questions</w:t>
      </w:r>
      <w:r w:rsidR="00E0642B" w:rsidRPr="00195B67">
        <w:t>,</w:t>
      </w:r>
      <w:r w:rsidR="00E32905" w:rsidRPr="00195B67">
        <w:t xml:space="preserve"> includ</w:t>
      </w:r>
      <w:r w:rsidR="00E0642B" w:rsidRPr="00195B67">
        <w:t>ing</w:t>
      </w:r>
      <w:r w:rsidR="00E32905" w:rsidRPr="00195B67">
        <w:t xml:space="preserve"> </w:t>
      </w:r>
      <w:r w:rsidR="00E0642B" w:rsidRPr="00195B67">
        <w:t xml:space="preserve">some </w:t>
      </w:r>
      <w:r w:rsidR="00E32905" w:rsidRPr="00195B67">
        <w:t xml:space="preserve">specific to business and </w:t>
      </w:r>
      <w:proofErr w:type="gramStart"/>
      <w:r w:rsidR="00E32905" w:rsidRPr="00195B67">
        <w:t>industry</w:t>
      </w:r>
      <w:proofErr w:type="gramEnd"/>
      <w:r w:rsidR="00E32905" w:rsidRPr="00195B67">
        <w:t xml:space="preserve"> </w:t>
      </w:r>
    </w:p>
    <w:p w14:paraId="7517E575" w14:textId="712D36DE" w:rsidR="00E32905" w:rsidRPr="00195B67" w:rsidRDefault="005A3998" w:rsidP="00EA3648">
      <w:pPr>
        <w:pStyle w:val="Bullet"/>
      </w:pPr>
      <w:r w:rsidRPr="00195B67">
        <w:t>o</w:t>
      </w:r>
      <w:r w:rsidR="00E32905" w:rsidRPr="00195B67">
        <w:t xml:space="preserve">nline via a short-form </w:t>
      </w:r>
      <w:r w:rsidR="00E32905" w:rsidRPr="00195B67">
        <w:rPr>
          <w:b/>
          <w:bCs/>
        </w:rPr>
        <w:t>survey</w:t>
      </w:r>
      <w:r w:rsidR="00E32905" w:rsidRPr="00195B67">
        <w:t xml:space="preserve"> tool</w:t>
      </w:r>
    </w:p>
    <w:p w14:paraId="067FDBC6" w14:textId="1CFA54EB" w:rsidR="00E32905" w:rsidRPr="00195B67" w:rsidRDefault="005A3998" w:rsidP="00EA3648">
      <w:pPr>
        <w:pStyle w:val="Bullet"/>
      </w:pPr>
      <w:r w:rsidRPr="00195B67">
        <w:t>v</w:t>
      </w:r>
      <w:r w:rsidR="00E32905" w:rsidRPr="00195B67">
        <w:t xml:space="preserve">ia </w:t>
      </w:r>
      <w:r w:rsidR="00E32905" w:rsidRPr="00195B67">
        <w:rPr>
          <w:b/>
          <w:bCs/>
        </w:rPr>
        <w:t>email</w:t>
      </w:r>
      <w:r w:rsidR="00E32905" w:rsidRPr="00195B67">
        <w:t xml:space="preserve"> </w:t>
      </w:r>
      <w:r w:rsidR="00202A24" w:rsidRPr="00195B67">
        <w:t xml:space="preserve">to </w:t>
      </w:r>
      <w:r w:rsidR="00B4372F" w:rsidRPr="00195B67">
        <w:t>the Ministry</w:t>
      </w:r>
    </w:p>
    <w:p w14:paraId="5457A32C" w14:textId="4A987B0F" w:rsidR="007B6738" w:rsidRPr="00195B67" w:rsidRDefault="005A3998" w:rsidP="00EA3648">
      <w:pPr>
        <w:pStyle w:val="Bullet"/>
      </w:pPr>
      <w:r w:rsidRPr="00195B67">
        <w:t>v</w:t>
      </w:r>
      <w:r w:rsidR="00E32905" w:rsidRPr="00195B67">
        <w:t xml:space="preserve">ia </w:t>
      </w:r>
      <w:r w:rsidR="00E32905" w:rsidRPr="00195B67">
        <w:rPr>
          <w:b/>
          <w:bCs/>
        </w:rPr>
        <w:t>post</w:t>
      </w:r>
      <w:r w:rsidR="00E32905" w:rsidRPr="00195B67">
        <w:t xml:space="preserve"> </w:t>
      </w:r>
      <w:r w:rsidR="00202A24" w:rsidRPr="00195B67">
        <w:t>to the Ministry</w:t>
      </w:r>
      <w:r w:rsidR="00B4372F" w:rsidRPr="00195B67">
        <w:t>.</w:t>
      </w:r>
    </w:p>
    <w:p w14:paraId="13E2D799" w14:textId="6E9EE745" w:rsidR="00BE0168" w:rsidRPr="00195B67" w:rsidRDefault="00BE0168" w:rsidP="00EA3648">
      <w:pPr>
        <w:pStyle w:val="Heading3"/>
        <w:rPr>
          <w:rFonts w:eastAsia="Times New Roman"/>
        </w:rPr>
      </w:pPr>
      <w:r w:rsidRPr="00195B67">
        <w:rPr>
          <w:rFonts w:eastAsia="Times New Roman"/>
        </w:rPr>
        <w:t>How to read this document</w:t>
      </w:r>
    </w:p>
    <w:p w14:paraId="15FD702F" w14:textId="611B2F63" w:rsidR="00713BAB" w:rsidRPr="00195B67" w:rsidRDefault="00713BAB" w:rsidP="00EA3648">
      <w:pPr>
        <w:pStyle w:val="Heading4"/>
        <w:rPr>
          <w:rFonts w:eastAsia="Times New Roman"/>
        </w:rPr>
      </w:pPr>
      <w:r w:rsidRPr="00195B67">
        <w:rPr>
          <w:rFonts w:eastAsia="Times New Roman"/>
        </w:rPr>
        <w:t xml:space="preserve">Substantive submissions </w:t>
      </w:r>
      <w:r w:rsidR="003E5C2B" w:rsidRPr="00195B67">
        <w:rPr>
          <w:rFonts w:eastAsia="Times New Roman"/>
        </w:rPr>
        <w:t xml:space="preserve">versus </w:t>
      </w:r>
      <w:r w:rsidR="00816E7A" w:rsidRPr="00195B67">
        <w:rPr>
          <w:rFonts w:eastAsia="Times New Roman"/>
        </w:rPr>
        <w:t>short-form</w:t>
      </w:r>
      <w:r w:rsidRPr="00195B67">
        <w:rPr>
          <w:rFonts w:eastAsia="Times New Roman"/>
        </w:rPr>
        <w:t xml:space="preserve"> submissions </w:t>
      </w:r>
    </w:p>
    <w:p w14:paraId="2B9ED510" w14:textId="71562978" w:rsidR="00713BAB" w:rsidRPr="00195B67" w:rsidRDefault="007B6738" w:rsidP="00EA3648">
      <w:pPr>
        <w:pStyle w:val="BodyText"/>
        <w:rPr>
          <w:rFonts w:eastAsia="Times New Roman"/>
        </w:rPr>
      </w:pPr>
      <w:r w:rsidRPr="00195B67">
        <w:rPr>
          <w:rFonts w:eastAsia="Times New Roman"/>
        </w:rPr>
        <w:t>T</w:t>
      </w:r>
      <w:r w:rsidR="00B4372F" w:rsidRPr="00195B67">
        <w:rPr>
          <w:rFonts w:eastAsia="Times New Roman"/>
        </w:rPr>
        <w:t xml:space="preserve">hroughout this </w:t>
      </w:r>
      <w:r w:rsidR="003E5C2B" w:rsidRPr="00195B67">
        <w:rPr>
          <w:rFonts w:eastAsia="Times New Roman"/>
        </w:rPr>
        <w:t>report</w:t>
      </w:r>
      <w:r w:rsidR="001D7D69" w:rsidRPr="00195B67">
        <w:rPr>
          <w:rFonts w:eastAsia="Times New Roman"/>
        </w:rPr>
        <w:t>,</w:t>
      </w:r>
      <w:r w:rsidR="003E5C2B" w:rsidRPr="00195B67">
        <w:rPr>
          <w:rFonts w:eastAsia="Times New Roman"/>
        </w:rPr>
        <w:t xml:space="preserve"> </w:t>
      </w:r>
      <w:r w:rsidR="00B4372F" w:rsidRPr="00195B67">
        <w:rPr>
          <w:rFonts w:eastAsia="Times New Roman"/>
        </w:rPr>
        <w:t>we refer to two d</w:t>
      </w:r>
      <w:r w:rsidR="00713BAB" w:rsidRPr="00195B67">
        <w:rPr>
          <w:rFonts w:eastAsia="Times New Roman"/>
        </w:rPr>
        <w:t xml:space="preserve">atasets: substantive submissions and </w:t>
      </w:r>
      <w:r w:rsidR="00816E7A" w:rsidRPr="00195B67">
        <w:rPr>
          <w:rFonts w:eastAsia="Times New Roman"/>
        </w:rPr>
        <w:t>short-form</w:t>
      </w:r>
      <w:r w:rsidR="00713BAB" w:rsidRPr="00195B67">
        <w:rPr>
          <w:rFonts w:eastAsia="Times New Roman"/>
        </w:rPr>
        <w:t xml:space="preserve"> submissions. </w:t>
      </w:r>
    </w:p>
    <w:p w14:paraId="61DB523B" w14:textId="61A07A8B" w:rsidR="00B4372F" w:rsidRPr="00195B67" w:rsidRDefault="00713BAB" w:rsidP="00EA3648">
      <w:pPr>
        <w:pStyle w:val="Bullet"/>
      </w:pPr>
      <w:r w:rsidRPr="00195B67">
        <w:t>Substantive submissions refer to all the long-form submissions</w:t>
      </w:r>
      <w:r w:rsidR="00B4372F" w:rsidRPr="00195B67">
        <w:t xml:space="preserve">, </w:t>
      </w:r>
      <w:proofErr w:type="gramStart"/>
      <w:r w:rsidR="00B4372F" w:rsidRPr="00195B67">
        <w:t>emails</w:t>
      </w:r>
      <w:proofErr w:type="gramEnd"/>
      <w:r w:rsidR="00B4372F" w:rsidRPr="00195B67">
        <w:t xml:space="preserve"> and letters</w:t>
      </w:r>
      <w:r w:rsidR="005A3998" w:rsidRPr="00195B67">
        <w:t>.</w:t>
      </w:r>
    </w:p>
    <w:p w14:paraId="1B10D422" w14:textId="25BE8CAA" w:rsidR="00713BAB" w:rsidRPr="00195B67" w:rsidRDefault="00816E7A" w:rsidP="00EA3648">
      <w:pPr>
        <w:pStyle w:val="Bullet"/>
      </w:pPr>
      <w:r w:rsidRPr="00195B67">
        <w:t>Short-form</w:t>
      </w:r>
      <w:r w:rsidR="00713BAB" w:rsidRPr="00195B67">
        <w:t xml:space="preserve"> submissions</w:t>
      </w:r>
      <w:r w:rsidR="00DE5ED3" w:rsidRPr="00195B67">
        <w:t xml:space="preserve"> refer to those received through the online survey tool.</w:t>
      </w:r>
    </w:p>
    <w:p w14:paraId="5DE63C58" w14:textId="19AD4939" w:rsidR="00B4372F" w:rsidRPr="00195B67" w:rsidRDefault="00B4372F" w:rsidP="00EA3648">
      <w:pPr>
        <w:pStyle w:val="Heading3"/>
        <w:rPr>
          <w:rFonts w:eastAsia="Times New Roman"/>
        </w:rPr>
      </w:pPr>
      <w:r w:rsidRPr="00195B67">
        <w:rPr>
          <w:rFonts w:eastAsia="Times New Roman"/>
        </w:rPr>
        <w:t xml:space="preserve">Who </w:t>
      </w:r>
      <w:proofErr w:type="gramStart"/>
      <w:r w:rsidRPr="00195B67">
        <w:rPr>
          <w:rFonts w:eastAsia="Times New Roman"/>
        </w:rPr>
        <w:t>responded</w:t>
      </w:r>
      <w:proofErr w:type="gramEnd"/>
      <w:r w:rsidRPr="00195B67">
        <w:rPr>
          <w:rFonts w:eastAsia="Times New Roman"/>
        </w:rPr>
        <w:t xml:space="preserve"> </w:t>
      </w:r>
    </w:p>
    <w:p w14:paraId="1AA6AA8F" w14:textId="59B33734" w:rsidR="00ED76E7" w:rsidRPr="00195B67" w:rsidRDefault="00141B94" w:rsidP="00EA3648">
      <w:pPr>
        <w:pStyle w:val="BodyText"/>
        <w:rPr>
          <w:rFonts w:eastAsia="Times New Roman"/>
        </w:rPr>
      </w:pPr>
      <w:r w:rsidRPr="00195B67">
        <w:rPr>
          <w:rFonts w:eastAsia="Times New Roman"/>
        </w:rPr>
        <w:t xml:space="preserve">The Ministry </w:t>
      </w:r>
      <w:r w:rsidR="00ED76E7" w:rsidRPr="00195B67">
        <w:rPr>
          <w:rFonts w:eastAsia="Times New Roman"/>
        </w:rPr>
        <w:t>received 787</w:t>
      </w:r>
      <w:r w:rsidR="00C02EAF" w:rsidRPr="00195B67">
        <w:rPr>
          <w:rFonts w:eastAsia="Times New Roman"/>
        </w:rPr>
        <w:t>8</w:t>
      </w:r>
      <w:r w:rsidR="00ED76E7" w:rsidRPr="00195B67">
        <w:rPr>
          <w:rFonts w:eastAsia="Times New Roman"/>
        </w:rPr>
        <w:t xml:space="preserve"> submissions to the consultation</w:t>
      </w:r>
      <w:r w:rsidR="00DB323B" w:rsidRPr="00195B67">
        <w:rPr>
          <w:rFonts w:eastAsia="Times New Roman"/>
        </w:rPr>
        <w:t>, which is</w:t>
      </w:r>
      <w:r w:rsidR="007B6738" w:rsidRPr="00195B67">
        <w:rPr>
          <w:rFonts w:eastAsia="Times New Roman"/>
        </w:rPr>
        <w:t xml:space="preserve"> </w:t>
      </w:r>
      <w:r w:rsidR="00ED76E7" w:rsidRPr="00195B67">
        <w:rPr>
          <w:rFonts w:eastAsia="Times New Roman"/>
        </w:rPr>
        <w:t>a strong response.</w:t>
      </w:r>
      <w:r w:rsidR="00AA0263" w:rsidRPr="00195B67">
        <w:rPr>
          <w:rFonts w:eastAsia="Times New Roman"/>
        </w:rPr>
        <w:t xml:space="preserve"> </w:t>
      </w:r>
      <w:r w:rsidR="00DB323B" w:rsidRPr="00195B67">
        <w:rPr>
          <w:rFonts w:eastAsia="Times New Roman"/>
        </w:rPr>
        <w:t>Most</w:t>
      </w:r>
      <w:r w:rsidR="00ED5079" w:rsidRPr="00195B67">
        <w:rPr>
          <w:rFonts w:eastAsia="Times New Roman"/>
        </w:rPr>
        <w:t> </w:t>
      </w:r>
      <w:r w:rsidR="00ED76E7" w:rsidRPr="00195B67">
        <w:rPr>
          <w:rFonts w:eastAsia="Times New Roman"/>
        </w:rPr>
        <w:t xml:space="preserve">submitters were </w:t>
      </w:r>
      <w:r w:rsidR="00925780" w:rsidRPr="00195B67">
        <w:rPr>
          <w:rFonts w:eastAsia="Times New Roman"/>
        </w:rPr>
        <w:t>members of the</w:t>
      </w:r>
      <w:r w:rsidR="00ED76E7" w:rsidRPr="00195B67">
        <w:rPr>
          <w:rFonts w:eastAsia="Times New Roman"/>
        </w:rPr>
        <w:t xml:space="preserve"> public, reflecting the high public concern about</w:t>
      </w:r>
      <w:r w:rsidR="00BC21B8" w:rsidRPr="00195B67">
        <w:rPr>
          <w:rFonts w:eastAsia="Times New Roman"/>
        </w:rPr>
        <w:t xml:space="preserve"> </w:t>
      </w:r>
      <w:r w:rsidR="00DE5ED3" w:rsidRPr="00195B67">
        <w:rPr>
          <w:rFonts w:eastAsia="Times New Roman"/>
        </w:rPr>
        <w:t>plastic</w:t>
      </w:r>
      <w:r w:rsidR="00ED76E7" w:rsidRPr="00195B67">
        <w:rPr>
          <w:rFonts w:eastAsia="Times New Roman"/>
        </w:rPr>
        <w:t xml:space="preserve"> pollution.</w:t>
      </w:r>
      <w:r w:rsidR="00AA0263" w:rsidRPr="00195B67">
        <w:rPr>
          <w:rFonts w:eastAsia="Times New Roman"/>
        </w:rPr>
        <w:t xml:space="preserve"> </w:t>
      </w:r>
      <w:r w:rsidR="00827F2D" w:rsidRPr="00195B67">
        <w:rPr>
          <w:rFonts w:eastAsia="Times New Roman"/>
        </w:rPr>
        <w:t>O</w:t>
      </w:r>
      <w:r w:rsidR="00ED76E7" w:rsidRPr="00195B67">
        <w:rPr>
          <w:rFonts w:eastAsia="Times New Roman"/>
        </w:rPr>
        <w:t>f these submitt</w:t>
      </w:r>
      <w:r w:rsidR="007B6738" w:rsidRPr="00195B67">
        <w:rPr>
          <w:rFonts w:eastAsia="Times New Roman"/>
        </w:rPr>
        <w:t>e</w:t>
      </w:r>
      <w:r w:rsidR="00ED76E7" w:rsidRPr="00195B67">
        <w:rPr>
          <w:rFonts w:eastAsia="Times New Roman"/>
        </w:rPr>
        <w:t>rs</w:t>
      </w:r>
      <w:r w:rsidR="00827F2D" w:rsidRPr="00195B67">
        <w:rPr>
          <w:rFonts w:eastAsia="Times New Roman"/>
        </w:rPr>
        <w:t>, 3350</w:t>
      </w:r>
      <w:r w:rsidR="00ED76E7" w:rsidRPr="00195B67">
        <w:rPr>
          <w:rFonts w:eastAsia="Times New Roman"/>
        </w:rPr>
        <w:t xml:space="preserve"> used a common form organised by a </w:t>
      </w:r>
      <w:r w:rsidR="009448BD" w:rsidRPr="00195B67">
        <w:rPr>
          <w:rFonts w:eastAsia="Times New Roman"/>
        </w:rPr>
        <w:t>non-governmental organisation (</w:t>
      </w:r>
      <w:r w:rsidR="00ED76E7" w:rsidRPr="00195B67">
        <w:rPr>
          <w:rFonts w:eastAsia="Times New Roman"/>
        </w:rPr>
        <w:t>NGO</w:t>
      </w:r>
      <w:r w:rsidR="009448BD" w:rsidRPr="00195B67">
        <w:rPr>
          <w:rFonts w:eastAsia="Times New Roman"/>
        </w:rPr>
        <w:t>)</w:t>
      </w:r>
      <w:r w:rsidR="00880782">
        <w:rPr>
          <w:rFonts w:eastAsia="Times New Roman"/>
        </w:rPr>
        <w:t xml:space="preserve"> who prepared a template response that people could use</w:t>
      </w:r>
      <w:r w:rsidR="00ED76E7" w:rsidRPr="00195B67">
        <w:rPr>
          <w:rFonts w:eastAsia="Times New Roman"/>
        </w:rPr>
        <w:t>.</w:t>
      </w:r>
    </w:p>
    <w:p w14:paraId="5D284B1E" w14:textId="030B0B0A" w:rsidR="00AD272E" w:rsidRPr="00195B67" w:rsidRDefault="00BB6404" w:rsidP="00EA3648">
      <w:pPr>
        <w:pStyle w:val="BodyText"/>
        <w:spacing w:after="240"/>
        <w:rPr>
          <w:rFonts w:eastAsia="Times New Roman"/>
        </w:rPr>
      </w:pPr>
      <w:r w:rsidRPr="00195B67">
        <w:rPr>
          <w:rFonts w:eastAsia="Times New Roman"/>
        </w:rPr>
        <w:t>A</w:t>
      </w:r>
      <w:r w:rsidR="00ED76E7" w:rsidRPr="00195B67">
        <w:rPr>
          <w:rFonts w:eastAsia="Times New Roman"/>
        </w:rPr>
        <w:t xml:space="preserve"> good response </w:t>
      </w:r>
      <w:r w:rsidRPr="00195B67">
        <w:rPr>
          <w:rFonts w:eastAsia="Times New Roman"/>
        </w:rPr>
        <w:t xml:space="preserve">was received </w:t>
      </w:r>
      <w:r w:rsidR="00ED76E7" w:rsidRPr="00195B67">
        <w:rPr>
          <w:rFonts w:eastAsia="Times New Roman"/>
        </w:rPr>
        <w:t>from affected businesses, environmental and community groups, and local government agencies.</w:t>
      </w:r>
      <w:r w:rsidR="00AA0263" w:rsidRPr="00195B67">
        <w:rPr>
          <w:rFonts w:eastAsia="Times New Roman"/>
        </w:rPr>
        <w:t xml:space="preserve"> </w:t>
      </w:r>
    </w:p>
    <w:tbl>
      <w:tblPr>
        <w:tblW w:w="8562"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3687"/>
        <w:gridCol w:w="4875"/>
      </w:tblGrid>
      <w:tr w:rsidR="00EA3648" w:rsidRPr="00195B67" w14:paraId="61A13BB3" w14:textId="77777777" w:rsidTr="00EA3648">
        <w:tc>
          <w:tcPr>
            <w:tcW w:w="3660" w:type="dxa"/>
            <w:shd w:val="clear" w:color="auto" w:fill="1C556C" w:themeFill="accent1"/>
            <w:vAlign w:val="center"/>
            <w:hideMark/>
          </w:tcPr>
          <w:p w14:paraId="000FB1D9" w14:textId="77777777" w:rsidR="00AD272E" w:rsidRPr="00195B67" w:rsidRDefault="00AD272E" w:rsidP="00EA3648">
            <w:pPr>
              <w:pStyle w:val="TableTextbold"/>
              <w:rPr>
                <w:rFonts w:eastAsia="Times New Roman"/>
                <w:color w:val="FFFFFF" w:themeColor="background1"/>
              </w:rPr>
            </w:pPr>
            <w:r w:rsidRPr="00195B67">
              <w:rPr>
                <w:rFonts w:eastAsia="Times New Roman"/>
                <w:color w:val="FFFFFF" w:themeColor="background1"/>
              </w:rPr>
              <w:t>Submitter type</w:t>
            </w:r>
          </w:p>
        </w:tc>
        <w:tc>
          <w:tcPr>
            <w:tcW w:w="4840" w:type="dxa"/>
            <w:shd w:val="clear" w:color="auto" w:fill="1C556C" w:themeFill="accent1"/>
            <w:vAlign w:val="center"/>
            <w:hideMark/>
          </w:tcPr>
          <w:p w14:paraId="752683F5" w14:textId="77777777" w:rsidR="00AD272E" w:rsidRPr="00195B67" w:rsidRDefault="00AD272E" w:rsidP="00EA3648">
            <w:pPr>
              <w:pStyle w:val="TableTextbold"/>
              <w:rPr>
                <w:rFonts w:eastAsia="Times New Roman"/>
                <w:color w:val="FFFFFF" w:themeColor="background1"/>
              </w:rPr>
            </w:pPr>
            <w:r w:rsidRPr="00195B67">
              <w:rPr>
                <w:rFonts w:eastAsia="Times New Roman"/>
                <w:color w:val="FFFFFF" w:themeColor="background1"/>
              </w:rPr>
              <w:t>Total submissions received</w:t>
            </w:r>
          </w:p>
        </w:tc>
      </w:tr>
      <w:tr w:rsidR="00AD272E" w:rsidRPr="00195B67" w14:paraId="4916E46F" w14:textId="77777777" w:rsidTr="00EA3648">
        <w:tc>
          <w:tcPr>
            <w:tcW w:w="3660" w:type="dxa"/>
            <w:shd w:val="clear" w:color="auto" w:fill="auto"/>
            <w:vAlign w:val="center"/>
            <w:hideMark/>
          </w:tcPr>
          <w:p w14:paraId="017C26A9" w14:textId="03FAFDC5" w:rsidR="00AD272E" w:rsidRPr="00195B67" w:rsidRDefault="00AD272E" w:rsidP="00EA3648">
            <w:pPr>
              <w:pStyle w:val="TableText"/>
              <w:rPr>
                <w:rFonts w:eastAsia="Times New Roman"/>
              </w:rPr>
            </w:pPr>
            <w:r w:rsidRPr="00195B67">
              <w:rPr>
                <w:rFonts w:eastAsia="Times New Roman"/>
              </w:rPr>
              <w:t xml:space="preserve">District </w:t>
            </w:r>
            <w:r w:rsidR="00F173CB" w:rsidRPr="00195B67">
              <w:rPr>
                <w:rFonts w:eastAsia="Times New Roman"/>
              </w:rPr>
              <w:t>h</w:t>
            </w:r>
            <w:r w:rsidRPr="00195B67">
              <w:rPr>
                <w:rFonts w:eastAsia="Times New Roman"/>
              </w:rPr>
              <w:t xml:space="preserve">ealth </w:t>
            </w:r>
            <w:r w:rsidR="00F173CB" w:rsidRPr="00195B67">
              <w:rPr>
                <w:rFonts w:eastAsia="Times New Roman"/>
              </w:rPr>
              <w:t>b</w:t>
            </w:r>
            <w:r w:rsidRPr="00195B67">
              <w:rPr>
                <w:rFonts w:eastAsia="Times New Roman"/>
              </w:rPr>
              <w:t>oard</w:t>
            </w:r>
          </w:p>
        </w:tc>
        <w:tc>
          <w:tcPr>
            <w:tcW w:w="4840" w:type="dxa"/>
            <w:shd w:val="clear" w:color="auto" w:fill="auto"/>
            <w:vAlign w:val="center"/>
            <w:hideMark/>
          </w:tcPr>
          <w:p w14:paraId="12E3D2B3" w14:textId="77777777" w:rsidR="00AD272E" w:rsidRPr="00195B67" w:rsidRDefault="00AD272E" w:rsidP="00EA3648">
            <w:pPr>
              <w:pStyle w:val="TableText"/>
              <w:rPr>
                <w:rFonts w:eastAsia="Times New Roman"/>
              </w:rPr>
            </w:pPr>
            <w:r w:rsidRPr="00195B67">
              <w:rPr>
                <w:rFonts w:eastAsia="Times New Roman"/>
              </w:rPr>
              <w:t>3</w:t>
            </w:r>
          </w:p>
        </w:tc>
      </w:tr>
      <w:tr w:rsidR="00AD272E" w:rsidRPr="00195B67" w14:paraId="09597A57" w14:textId="77777777" w:rsidTr="00EA3648">
        <w:tc>
          <w:tcPr>
            <w:tcW w:w="3660" w:type="dxa"/>
            <w:shd w:val="clear" w:color="auto" w:fill="auto"/>
            <w:vAlign w:val="center"/>
            <w:hideMark/>
          </w:tcPr>
          <w:p w14:paraId="0E465FA4" w14:textId="4EE618C0" w:rsidR="00AD272E" w:rsidRPr="00195B67" w:rsidRDefault="00F173CB" w:rsidP="00EA3648">
            <w:pPr>
              <w:pStyle w:val="TableText"/>
              <w:rPr>
                <w:rFonts w:eastAsia="Times New Roman"/>
              </w:rPr>
            </w:pPr>
            <w:r w:rsidRPr="00195B67">
              <w:rPr>
                <w:rFonts w:eastAsia="Times New Roman"/>
              </w:rPr>
              <w:t>Non-governmental organisation</w:t>
            </w:r>
            <w:r w:rsidR="00A71684" w:rsidRPr="00195B67">
              <w:rPr>
                <w:rFonts w:eastAsia="Times New Roman"/>
              </w:rPr>
              <w:t>s</w:t>
            </w:r>
            <w:r w:rsidRPr="00195B67">
              <w:rPr>
                <w:rFonts w:eastAsia="Times New Roman"/>
              </w:rPr>
              <w:t xml:space="preserve"> </w:t>
            </w:r>
          </w:p>
        </w:tc>
        <w:tc>
          <w:tcPr>
            <w:tcW w:w="4840" w:type="dxa"/>
            <w:shd w:val="clear" w:color="auto" w:fill="auto"/>
            <w:vAlign w:val="center"/>
            <w:hideMark/>
          </w:tcPr>
          <w:p w14:paraId="3CCFC230" w14:textId="2D94B9D6" w:rsidR="00AD272E" w:rsidRPr="00195B67" w:rsidRDefault="00AD272E" w:rsidP="00EA3648">
            <w:pPr>
              <w:pStyle w:val="TableText"/>
              <w:rPr>
                <w:rFonts w:eastAsia="Times New Roman"/>
              </w:rPr>
            </w:pPr>
            <w:r w:rsidRPr="00195B67">
              <w:rPr>
                <w:rFonts w:eastAsia="Times New Roman"/>
              </w:rPr>
              <w:t>3</w:t>
            </w:r>
            <w:r w:rsidR="008D329D" w:rsidRPr="00195B67">
              <w:rPr>
                <w:rFonts w:eastAsia="Times New Roman"/>
              </w:rPr>
              <w:t>7</w:t>
            </w:r>
          </w:p>
        </w:tc>
      </w:tr>
      <w:tr w:rsidR="00AD272E" w:rsidRPr="00195B67" w14:paraId="410B9062" w14:textId="77777777" w:rsidTr="00EA3648">
        <w:tc>
          <w:tcPr>
            <w:tcW w:w="3660" w:type="dxa"/>
            <w:shd w:val="clear" w:color="auto" w:fill="auto"/>
            <w:vAlign w:val="center"/>
            <w:hideMark/>
          </w:tcPr>
          <w:p w14:paraId="48B71959" w14:textId="6C5061B4" w:rsidR="00AD272E" w:rsidRPr="00195B67" w:rsidRDefault="00AD272E" w:rsidP="00EA3648">
            <w:pPr>
              <w:pStyle w:val="TableText"/>
              <w:rPr>
                <w:rFonts w:eastAsia="Times New Roman"/>
              </w:rPr>
            </w:pPr>
            <w:r w:rsidRPr="00195B67">
              <w:rPr>
                <w:rFonts w:eastAsia="Times New Roman"/>
              </w:rPr>
              <w:t xml:space="preserve">General </w:t>
            </w:r>
            <w:r w:rsidR="00B917F6" w:rsidRPr="00195B67">
              <w:rPr>
                <w:rFonts w:eastAsia="Times New Roman"/>
              </w:rPr>
              <w:t>p</w:t>
            </w:r>
            <w:r w:rsidRPr="00195B67">
              <w:rPr>
                <w:rFonts w:eastAsia="Times New Roman"/>
              </w:rPr>
              <w:t>ublic</w:t>
            </w:r>
          </w:p>
        </w:tc>
        <w:tc>
          <w:tcPr>
            <w:tcW w:w="4840" w:type="dxa"/>
            <w:shd w:val="clear" w:color="auto" w:fill="auto"/>
            <w:vAlign w:val="center"/>
            <w:hideMark/>
          </w:tcPr>
          <w:p w14:paraId="33543896" w14:textId="3DAA217B" w:rsidR="00AD272E" w:rsidRPr="00195B67" w:rsidRDefault="00AD272E" w:rsidP="00EA3648">
            <w:pPr>
              <w:pStyle w:val="TableText"/>
              <w:rPr>
                <w:rFonts w:eastAsia="Times New Roman"/>
              </w:rPr>
            </w:pPr>
            <w:r w:rsidRPr="00195B67">
              <w:rPr>
                <w:rFonts w:eastAsia="Times New Roman"/>
              </w:rPr>
              <w:t>773</w:t>
            </w:r>
            <w:r w:rsidR="008D329D" w:rsidRPr="00195B67">
              <w:rPr>
                <w:rFonts w:eastAsia="Times New Roman"/>
              </w:rPr>
              <w:t>6</w:t>
            </w:r>
          </w:p>
        </w:tc>
      </w:tr>
      <w:tr w:rsidR="00AD272E" w:rsidRPr="00195B67" w14:paraId="71E825A0" w14:textId="77777777" w:rsidTr="00EA3648">
        <w:tc>
          <w:tcPr>
            <w:tcW w:w="3660" w:type="dxa"/>
            <w:shd w:val="clear" w:color="auto" w:fill="auto"/>
            <w:vAlign w:val="center"/>
            <w:hideMark/>
          </w:tcPr>
          <w:p w14:paraId="73AEDAC9" w14:textId="77777777" w:rsidR="00AD272E" w:rsidRPr="00195B67" w:rsidRDefault="00AD272E" w:rsidP="00EA3648">
            <w:pPr>
              <w:pStyle w:val="TableText"/>
              <w:rPr>
                <w:rFonts w:eastAsia="Times New Roman"/>
              </w:rPr>
            </w:pPr>
            <w:r w:rsidRPr="00195B67">
              <w:rPr>
                <w:rFonts w:eastAsia="Times New Roman"/>
              </w:rPr>
              <w:t>Iwi</w:t>
            </w:r>
          </w:p>
        </w:tc>
        <w:tc>
          <w:tcPr>
            <w:tcW w:w="4840" w:type="dxa"/>
            <w:shd w:val="clear" w:color="auto" w:fill="auto"/>
            <w:vAlign w:val="center"/>
            <w:hideMark/>
          </w:tcPr>
          <w:p w14:paraId="160C5366" w14:textId="77777777" w:rsidR="00AD272E" w:rsidRPr="00195B67" w:rsidRDefault="00AD272E" w:rsidP="00EA3648">
            <w:pPr>
              <w:pStyle w:val="TableText"/>
              <w:rPr>
                <w:rFonts w:eastAsia="Times New Roman"/>
              </w:rPr>
            </w:pPr>
            <w:r w:rsidRPr="00195B67">
              <w:rPr>
                <w:rFonts w:eastAsia="Times New Roman"/>
              </w:rPr>
              <w:t>1</w:t>
            </w:r>
          </w:p>
        </w:tc>
      </w:tr>
      <w:tr w:rsidR="00AD272E" w:rsidRPr="00195B67" w14:paraId="70EEB2BF" w14:textId="77777777" w:rsidTr="00EA3648">
        <w:tc>
          <w:tcPr>
            <w:tcW w:w="3660" w:type="dxa"/>
            <w:shd w:val="clear" w:color="auto" w:fill="auto"/>
            <w:vAlign w:val="center"/>
            <w:hideMark/>
          </w:tcPr>
          <w:p w14:paraId="71F86674" w14:textId="62C11C11" w:rsidR="00AD272E" w:rsidRPr="00195B67" w:rsidRDefault="00AD272E" w:rsidP="00EA3648">
            <w:pPr>
              <w:pStyle w:val="TableText"/>
              <w:rPr>
                <w:rFonts w:eastAsia="Times New Roman"/>
              </w:rPr>
            </w:pPr>
            <w:r w:rsidRPr="00195B67">
              <w:rPr>
                <w:rFonts w:eastAsia="Times New Roman"/>
              </w:rPr>
              <w:t xml:space="preserve">Local </w:t>
            </w:r>
            <w:r w:rsidR="00B917F6" w:rsidRPr="00195B67">
              <w:rPr>
                <w:rFonts w:eastAsia="Times New Roman"/>
              </w:rPr>
              <w:t>g</w:t>
            </w:r>
            <w:r w:rsidRPr="00195B67">
              <w:rPr>
                <w:rFonts w:eastAsia="Times New Roman"/>
              </w:rPr>
              <w:t>overnment</w:t>
            </w:r>
          </w:p>
        </w:tc>
        <w:tc>
          <w:tcPr>
            <w:tcW w:w="4840" w:type="dxa"/>
            <w:shd w:val="clear" w:color="auto" w:fill="auto"/>
            <w:vAlign w:val="center"/>
            <w:hideMark/>
          </w:tcPr>
          <w:p w14:paraId="617F6FBE" w14:textId="7BA9CCCF" w:rsidR="00AD272E" w:rsidRPr="00195B67" w:rsidRDefault="00AD272E" w:rsidP="00EA3648">
            <w:pPr>
              <w:pStyle w:val="TableText"/>
              <w:rPr>
                <w:rFonts w:eastAsia="Times New Roman"/>
              </w:rPr>
            </w:pPr>
            <w:r w:rsidRPr="00195B67">
              <w:rPr>
                <w:rFonts w:eastAsia="Times New Roman"/>
              </w:rPr>
              <w:t>2</w:t>
            </w:r>
            <w:r w:rsidR="00B11F21" w:rsidRPr="00195B67">
              <w:rPr>
                <w:rFonts w:eastAsia="Times New Roman"/>
              </w:rPr>
              <w:t>5</w:t>
            </w:r>
          </w:p>
        </w:tc>
      </w:tr>
      <w:tr w:rsidR="00AD272E" w:rsidRPr="00195B67" w14:paraId="44DDC389" w14:textId="77777777" w:rsidTr="00EA3648">
        <w:tc>
          <w:tcPr>
            <w:tcW w:w="3660" w:type="dxa"/>
            <w:shd w:val="clear" w:color="auto" w:fill="auto"/>
            <w:vAlign w:val="center"/>
            <w:hideMark/>
          </w:tcPr>
          <w:p w14:paraId="104C4AB7" w14:textId="255EA4C0" w:rsidR="00AD272E" w:rsidRPr="00195B67" w:rsidRDefault="00AD272E" w:rsidP="00EA3648">
            <w:pPr>
              <w:pStyle w:val="TableText"/>
              <w:rPr>
                <w:rFonts w:eastAsia="Times New Roman"/>
              </w:rPr>
            </w:pPr>
            <w:r w:rsidRPr="00195B67">
              <w:rPr>
                <w:rFonts w:eastAsia="Times New Roman"/>
              </w:rPr>
              <w:t>Manufacturer</w:t>
            </w:r>
            <w:r w:rsidR="00B917F6" w:rsidRPr="00195B67">
              <w:rPr>
                <w:rFonts w:eastAsia="Times New Roman"/>
              </w:rPr>
              <w:t xml:space="preserve"> or </w:t>
            </w:r>
            <w:r w:rsidRPr="00195B67">
              <w:rPr>
                <w:rFonts w:eastAsia="Times New Roman"/>
              </w:rPr>
              <w:t>packaging supplier</w:t>
            </w:r>
          </w:p>
        </w:tc>
        <w:tc>
          <w:tcPr>
            <w:tcW w:w="4840" w:type="dxa"/>
            <w:shd w:val="clear" w:color="auto" w:fill="auto"/>
            <w:vAlign w:val="center"/>
            <w:hideMark/>
          </w:tcPr>
          <w:p w14:paraId="59DB15BC" w14:textId="3C232838" w:rsidR="00AD272E" w:rsidRPr="00195B67" w:rsidRDefault="00B11F21" w:rsidP="00EA3648">
            <w:pPr>
              <w:pStyle w:val="TableText"/>
              <w:rPr>
                <w:rFonts w:eastAsia="Times New Roman"/>
              </w:rPr>
            </w:pPr>
            <w:r w:rsidRPr="00195B67">
              <w:rPr>
                <w:rFonts w:eastAsia="Times New Roman"/>
              </w:rPr>
              <w:t>4</w:t>
            </w:r>
          </w:p>
        </w:tc>
      </w:tr>
      <w:tr w:rsidR="00AD272E" w:rsidRPr="00195B67" w14:paraId="20E89422" w14:textId="77777777" w:rsidTr="00EA3648">
        <w:tc>
          <w:tcPr>
            <w:tcW w:w="3660" w:type="dxa"/>
            <w:shd w:val="clear" w:color="auto" w:fill="auto"/>
            <w:vAlign w:val="center"/>
            <w:hideMark/>
          </w:tcPr>
          <w:p w14:paraId="0AA32A60" w14:textId="77777777" w:rsidR="00AD272E" w:rsidRPr="00195B67" w:rsidRDefault="00AD272E" w:rsidP="00EA3648">
            <w:pPr>
              <w:pStyle w:val="TableText"/>
              <w:rPr>
                <w:rFonts w:eastAsia="Times New Roman"/>
              </w:rPr>
            </w:pPr>
            <w:r w:rsidRPr="00195B67">
              <w:rPr>
                <w:rFonts w:eastAsia="Times New Roman"/>
              </w:rPr>
              <w:t>Other</w:t>
            </w:r>
          </w:p>
        </w:tc>
        <w:tc>
          <w:tcPr>
            <w:tcW w:w="4840" w:type="dxa"/>
            <w:shd w:val="clear" w:color="auto" w:fill="auto"/>
            <w:vAlign w:val="center"/>
            <w:hideMark/>
          </w:tcPr>
          <w:p w14:paraId="309D62EB" w14:textId="77777777" w:rsidR="00AD272E" w:rsidRPr="00195B67" w:rsidRDefault="00AD272E" w:rsidP="00EA3648">
            <w:pPr>
              <w:pStyle w:val="TableText"/>
              <w:rPr>
                <w:rFonts w:eastAsia="Times New Roman"/>
              </w:rPr>
            </w:pPr>
            <w:r w:rsidRPr="00195B67">
              <w:rPr>
                <w:rFonts w:eastAsia="Times New Roman"/>
              </w:rPr>
              <w:t>7</w:t>
            </w:r>
          </w:p>
        </w:tc>
      </w:tr>
      <w:tr w:rsidR="00AD272E" w:rsidRPr="00195B67" w14:paraId="6E2C4533" w14:textId="77777777" w:rsidTr="00EA3648">
        <w:tc>
          <w:tcPr>
            <w:tcW w:w="3660" w:type="dxa"/>
            <w:shd w:val="clear" w:color="auto" w:fill="auto"/>
            <w:vAlign w:val="center"/>
            <w:hideMark/>
          </w:tcPr>
          <w:p w14:paraId="1587B020" w14:textId="34A18EAE" w:rsidR="00AD272E" w:rsidRPr="00195B67" w:rsidRDefault="00AD272E" w:rsidP="00EA3648">
            <w:pPr>
              <w:pStyle w:val="TableText"/>
              <w:rPr>
                <w:rFonts w:eastAsia="Times New Roman"/>
              </w:rPr>
            </w:pPr>
            <w:r w:rsidRPr="00195B67">
              <w:rPr>
                <w:rFonts w:eastAsia="Times New Roman"/>
              </w:rPr>
              <w:t xml:space="preserve">Other </w:t>
            </w:r>
            <w:r w:rsidR="00B917F6" w:rsidRPr="00195B67">
              <w:rPr>
                <w:rFonts w:eastAsia="Times New Roman"/>
              </w:rPr>
              <w:t>i</w:t>
            </w:r>
            <w:r w:rsidRPr="00195B67">
              <w:rPr>
                <w:rFonts w:eastAsia="Times New Roman"/>
              </w:rPr>
              <w:t>ndustry</w:t>
            </w:r>
            <w:r w:rsidR="00B917F6" w:rsidRPr="00195B67">
              <w:rPr>
                <w:rFonts w:eastAsia="Times New Roman"/>
              </w:rPr>
              <w:t xml:space="preserve"> or b</w:t>
            </w:r>
            <w:r w:rsidRPr="00195B67">
              <w:rPr>
                <w:rFonts w:eastAsia="Times New Roman"/>
              </w:rPr>
              <w:t>usiness</w:t>
            </w:r>
          </w:p>
        </w:tc>
        <w:tc>
          <w:tcPr>
            <w:tcW w:w="4840" w:type="dxa"/>
            <w:shd w:val="clear" w:color="auto" w:fill="auto"/>
            <w:vAlign w:val="center"/>
            <w:hideMark/>
          </w:tcPr>
          <w:p w14:paraId="117C71F4" w14:textId="2BCAD279" w:rsidR="00AD272E" w:rsidRPr="00195B67" w:rsidRDefault="00AD272E" w:rsidP="00EA3648">
            <w:pPr>
              <w:pStyle w:val="TableText"/>
              <w:rPr>
                <w:rFonts w:eastAsia="Times New Roman"/>
              </w:rPr>
            </w:pPr>
            <w:r w:rsidRPr="00195B67">
              <w:rPr>
                <w:rFonts w:eastAsia="Times New Roman"/>
              </w:rPr>
              <w:t>5</w:t>
            </w:r>
            <w:r w:rsidR="00B11F21" w:rsidRPr="00195B67">
              <w:rPr>
                <w:rFonts w:eastAsia="Times New Roman"/>
              </w:rPr>
              <w:t>6</w:t>
            </w:r>
          </w:p>
        </w:tc>
      </w:tr>
      <w:tr w:rsidR="00AD272E" w:rsidRPr="00195B67" w14:paraId="53C150D1" w14:textId="77777777" w:rsidTr="00EA3648">
        <w:tc>
          <w:tcPr>
            <w:tcW w:w="3660" w:type="dxa"/>
            <w:shd w:val="clear" w:color="auto" w:fill="auto"/>
            <w:vAlign w:val="center"/>
            <w:hideMark/>
          </w:tcPr>
          <w:p w14:paraId="3367B222" w14:textId="34EB885F" w:rsidR="00AD272E" w:rsidRPr="00195B67" w:rsidRDefault="00AD272E" w:rsidP="00EA3648">
            <w:pPr>
              <w:pStyle w:val="TableText"/>
              <w:rPr>
                <w:rFonts w:eastAsia="Times New Roman"/>
              </w:rPr>
            </w:pPr>
            <w:r w:rsidRPr="00195B67">
              <w:rPr>
                <w:rFonts w:eastAsia="Times New Roman"/>
              </w:rPr>
              <w:t xml:space="preserve">Plastic </w:t>
            </w:r>
            <w:r w:rsidR="00B917F6" w:rsidRPr="00195B67">
              <w:rPr>
                <w:rFonts w:eastAsia="Times New Roman"/>
              </w:rPr>
              <w:t>i</w:t>
            </w:r>
            <w:r w:rsidRPr="00195B67">
              <w:rPr>
                <w:rFonts w:eastAsia="Times New Roman"/>
              </w:rPr>
              <w:t>ndustry</w:t>
            </w:r>
          </w:p>
        </w:tc>
        <w:tc>
          <w:tcPr>
            <w:tcW w:w="4840" w:type="dxa"/>
            <w:shd w:val="clear" w:color="auto" w:fill="auto"/>
            <w:vAlign w:val="center"/>
            <w:hideMark/>
          </w:tcPr>
          <w:p w14:paraId="2C299EE4" w14:textId="77777777" w:rsidR="00AD272E" w:rsidRPr="00195B67" w:rsidRDefault="00AD272E" w:rsidP="00EA3648">
            <w:pPr>
              <w:pStyle w:val="TableText"/>
              <w:rPr>
                <w:rFonts w:eastAsia="Times New Roman"/>
              </w:rPr>
            </w:pPr>
            <w:r w:rsidRPr="00195B67">
              <w:rPr>
                <w:rFonts w:eastAsia="Times New Roman"/>
              </w:rPr>
              <w:t>5</w:t>
            </w:r>
          </w:p>
        </w:tc>
      </w:tr>
      <w:tr w:rsidR="00AD272E" w:rsidRPr="00195B67" w14:paraId="1162D2FD" w14:textId="77777777" w:rsidTr="00EA3648">
        <w:tc>
          <w:tcPr>
            <w:tcW w:w="3660" w:type="dxa"/>
            <w:shd w:val="clear" w:color="auto" w:fill="auto"/>
            <w:vAlign w:val="center"/>
            <w:hideMark/>
          </w:tcPr>
          <w:p w14:paraId="3A464069" w14:textId="4ADB7236" w:rsidR="00AD272E" w:rsidRPr="00195B67" w:rsidRDefault="00AD272E" w:rsidP="00EA3648">
            <w:pPr>
              <w:pStyle w:val="TableText"/>
              <w:rPr>
                <w:rFonts w:eastAsia="Times New Roman"/>
              </w:rPr>
            </w:pPr>
            <w:r w:rsidRPr="00195B67">
              <w:rPr>
                <w:rFonts w:eastAsia="Times New Roman"/>
              </w:rPr>
              <w:t>Recycler</w:t>
            </w:r>
            <w:r w:rsidR="00B917F6" w:rsidRPr="00195B67">
              <w:rPr>
                <w:rFonts w:eastAsia="Times New Roman"/>
              </w:rPr>
              <w:t xml:space="preserve"> or </w:t>
            </w:r>
            <w:proofErr w:type="spellStart"/>
            <w:r w:rsidRPr="00195B67">
              <w:rPr>
                <w:rFonts w:eastAsia="Times New Roman"/>
              </w:rPr>
              <w:t>reprocessor</w:t>
            </w:r>
            <w:proofErr w:type="spellEnd"/>
          </w:p>
        </w:tc>
        <w:tc>
          <w:tcPr>
            <w:tcW w:w="4840" w:type="dxa"/>
            <w:shd w:val="clear" w:color="auto" w:fill="auto"/>
            <w:vAlign w:val="center"/>
            <w:hideMark/>
          </w:tcPr>
          <w:p w14:paraId="3421D7DC" w14:textId="77777777" w:rsidR="00AD272E" w:rsidRPr="00195B67" w:rsidRDefault="00AD272E" w:rsidP="00EA3648">
            <w:pPr>
              <w:pStyle w:val="TableText"/>
              <w:rPr>
                <w:rFonts w:eastAsia="Times New Roman"/>
              </w:rPr>
            </w:pPr>
            <w:r w:rsidRPr="00195B67">
              <w:rPr>
                <w:rFonts w:eastAsia="Times New Roman"/>
              </w:rPr>
              <w:t>4</w:t>
            </w:r>
          </w:p>
        </w:tc>
      </w:tr>
      <w:tr w:rsidR="009C24DF" w:rsidRPr="00195B67" w14:paraId="599AF8BD" w14:textId="77777777" w:rsidTr="00EA3648">
        <w:tc>
          <w:tcPr>
            <w:tcW w:w="3660" w:type="dxa"/>
            <w:shd w:val="clear" w:color="auto" w:fill="auto"/>
            <w:vAlign w:val="center"/>
          </w:tcPr>
          <w:p w14:paraId="5E70A546" w14:textId="6BCF5FD4" w:rsidR="009C24DF" w:rsidRPr="00195B67" w:rsidRDefault="009C24DF" w:rsidP="00EA3648">
            <w:pPr>
              <w:pStyle w:val="TableTextbold"/>
              <w:rPr>
                <w:rFonts w:eastAsia="Times New Roman"/>
              </w:rPr>
            </w:pPr>
            <w:r w:rsidRPr="00195B67">
              <w:rPr>
                <w:rFonts w:eastAsia="Times New Roman"/>
              </w:rPr>
              <w:t>Total</w:t>
            </w:r>
          </w:p>
        </w:tc>
        <w:tc>
          <w:tcPr>
            <w:tcW w:w="4840" w:type="dxa"/>
            <w:shd w:val="clear" w:color="auto" w:fill="auto"/>
            <w:vAlign w:val="center"/>
          </w:tcPr>
          <w:p w14:paraId="228168B7" w14:textId="12A63CAC" w:rsidR="009C24DF" w:rsidRPr="00195B67" w:rsidRDefault="009C24DF" w:rsidP="00EA3648">
            <w:pPr>
              <w:pStyle w:val="TableTextbold"/>
              <w:rPr>
                <w:rFonts w:eastAsia="Times New Roman"/>
              </w:rPr>
            </w:pPr>
            <w:r w:rsidRPr="00195B67">
              <w:rPr>
                <w:rFonts w:eastAsia="Times New Roman"/>
              </w:rPr>
              <w:t>7878</w:t>
            </w:r>
          </w:p>
        </w:tc>
      </w:tr>
    </w:tbl>
    <w:p w14:paraId="43D9AC02" w14:textId="11C567B5" w:rsidR="00AD272E" w:rsidRPr="00195B67" w:rsidRDefault="00AD272E" w:rsidP="00533432">
      <w:pPr>
        <w:jc w:val="left"/>
        <w:rPr>
          <w:rFonts w:eastAsia="Times New Roman" w:cs="Times New Roman"/>
        </w:rPr>
      </w:pPr>
      <w:r w:rsidRPr="00195B67">
        <w:rPr>
          <w:rFonts w:eastAsia="Times New Roman" w:cs="Times New Roman"/>
        </w:rPr>
        <w:t xml:space="preserve"> </w:t>
      </w:r>
    </w:p>
    <w:p w14:paraId="56C5B5CC" w14:textId="77777777" w:rsidR="00BC21B8" w:rsidRPr="00195B67" w:rsidRDefault="00BC21B8" w:rsidP="00EA3648">
      <w:pPr>
        <w:pStyle w:val="BodyText"/>
        <w:rPr>
          <w:rStyle w:val="Heading1Char"/>
          <w:rFonts w:eastAsiaTheme="minorEastAsia" w:cstheme="minorBidi"/>
          <w:b w:val="0"/>
          <w:bCs w:val="0"/>
          <w:color w:val="auto"/>
          <w:sz w:val="22"/>
          <w:szCs w:val="22"/>
        </w:rPr>
      </w:pPr>
      <w:r w:rsidRPr="00195B67">
        <w:rPr>
          <w:rStyle w:val="Heading1Char"/>
          <w:rFonts w:eastAsiaTheme="minorEastAsia" w:cstheme="minorBidi"/>
          <w:b w:val="0"/>
          <w:bCs w:val="0"/>
          <w:color w:val="auto"/>
          <w:sz w:val="22"/>
          <w:szCs w:val="22"/>
        </w:rPr>
        <w:br w:type="page"/>
      </w:r>
    </w:p>
    <w:p w14:paraId="029BA3B6" w14:textId="670A3140" w:rsidR="00BE1A9C" w:rsidRPr="00195B67" w:rsidRDefault="00BE1A9C" w:rsidP="00EA4C20">
      <w:pPr>
        <w:spacing w:before="0" w:after="200" w:line="276" w:lineRule="auto"/>
        <w:jc w:val="left"/>
        <w:rPr>
          <w:rStyle w:val="Heading1Char"/>
          <w:bCs w:val="0"/>
        </w:rPr>
      </w:pPr>
      <w:bookmarkStart w:id="12" w:name="_Toc72137492"/>
      <w:r w:rsidRPr="00195B67">
        <w:rPr>
          <w:rStyle w:val="Heading1Char"/>
          <w:bCs w:val="0"/>
        </w:rPr>
        <w:lastRenderedPageBreak/>
        <w:t xml:space="preserve">What we </w:t>
      </w:r>
      <w:r w:rsidR="00653B1F" w:rsidRPr="00195B67">
        <w:rPr>
          <w:rStyle w:val="Heading1Char"/>
          <w:bCs w:val="0"/>
        </w:rPr>
        <w:t>h</w:t>
      </w:r>
      <w:r w:rsidRPr="00195B67">
        <w:rPr>
          <w:rStyle w:val="Heading1Char"/>
          <w:bCs w:val="0"/>
        </w:rPr>
        <w:t>eard</w:t>
      </w:r>
      <w:r w:rsidR="00B465FD" w:rsidRPr="00195B67">
        <w:rPr>
          <w:rStyle w:val="Heading1Char"/>
          <w:bCs w:val="0"/>
        </w:rPr>
        <w:t xml:space="preserve"> – </w:t>
      </w:r>
      <w:r w:rsidR="001D5343" w:rsidRPr="00195B67">
        <w:rPr>
          <w:rStyle w:val="Heading1Char"/>
          <w:bCs w:val="0"/>
        </w:rPr>
        <w:t>O</w:t>
      </w:r>
      <w:r w:rsidR="00EB09EB" w:rsidRPr="00195B67">
        <w:rPr>
          <w:rStyle w:val="Heading1Char"/>
          <w:bCs w:val="0"/>
        </w:rPr>
        <w:t xml:space="preserve">verall </w:t>
      </w:r>
      <w:r w:rsidR="002F2CCF" w:rsidRPr="00195B67">
        <w:rPr>
          <w:rStyle w:val="Heading1Char"/>
          <w:bCs w:val="0"/>
        </w:rPr>
        <w:t>s</w:t>
      </w:r>
      <w:r w:rsidR="00EB09EB" w:rsidRPr="00195B67">
        <w:rPr>
          <w:rStyle w:val="Heading1Char"/>
          <w:bCs w:val="0"/>
        </w:rPr>
        <w:t>upport</w:t>
      </w:r>
      <w:bookmarkEnd w:id="12"/>
      <w:r w:rsidR="00B465FD" w:rsidRPr="00195B67">
        <w:rPr>
          <w:rStyle w:val="Heading1Char"/>
          <w:bCs w:val="0"/>
        </w:rPr>
        <w:t xml:space="preserve"> </w:t>
      </w:r>
    </w:p>
    <w:p w14:paraId="36D82353" w14:textId="77777777" w:rsidR="00EA3648" w:rsidRPr="00195B67" w:rsidRDefault="00C47119" w:rsidP="00EA3648">
      <w:pPr>
        <w:keepNext/>
        <w:tabs>
          <w:tab w:val="left" w:pos="851"/>
        </w:tabs>
        <w:spacing w:before="240" w:after="0" w:line="240" w:lineRule="auto"/>
        <w:jc w:val="left"/>
        <w:outlineLvl w:val="1"/>
        <w:rPr>
          <w:rFonts w:eastAsia="Times New Roman" w:cs="Times New Roman"/>
          <w:b/>
          <w:bCs/>
          <w:color w:val="0F7B7D"/>
          <w:sz w:val="36"/>
          <w:szCs w:val="26"/>
        </w:rPr>
      </w:pPr>
      <w:r w:rsidRPr="00195B67">
        <w:rPr>
          <w:rFonts w:eastAsia="Times New Roman" w:cs="Times New Roman"/>
          <w:b/>
          <w:bCs/>
          <w:color w:val="0F7B7D"/>
          <w:sz w:val="36"/>
          <w:szCs w:val="26"/>
        </w:rPr>
        <w:t xml:space="preserve">New Zealanders want more action on </w:t>
      </w:r>
      <w:r w:rsidR="00A54304" w:rsidRPr="00195B67">
        <w:rPr>
          <w:rFonts w:eastAsia="Times New Roman" w:cs="Times New Roman"/>
          <w:b/>
          <w:bCs/>
          <w:color w:val="0F7B7D"/>
          <w:sz w:val="36"/>
          <w:szCs w:val="26"/>
        </w:rPr>
        <w:t xml:space="preserve">plastic </w:t>
      </w:r>
      <w:proofErr w:type="gramStart"/>
      <w:r w:rsidR="00A54304" w:rsidRPr="00195B67">
        <w:rPr>
          <w:rFonts w:eastAsia="Times New Roman" w:cs="Times New Roman"/>
          <w:b/>
          <w:bCs/>
          <w:color w:val="0F7B7D"/>
          <w:sz w:val="36"/>
          <w:szCs w:val="26"/>
        </w:rPr>
        <w:t>waste</w:t>
      </w:r>
      <w:proofErr w:type="gramEnd"/>
    </w:p>
    <w:p w14:paraId="233321BB" w14:textId="77777777" w:rsidR="00EA3648" w:rsidRPr="00195B67" w:rsidRDefault="00AD2D82" w:rsidP="00EA3648">
      <w:pPr>
        <w:pStyle w:val="Heading3"/>
        <w:spacing w:before="240"/>
      </w:pPr>
      <w:r w:rsidRPr="00195B67">
        <w:t xml:space="preserve">Overwhelming support for </w:t>
      </w:r>
      <w:r w:rsidR="001E1742" w:rsidRPr="00195B67">
        <w:t>taking action on</w:t>
      </w:r>
      <w:r w:rsidRPr="00195B67">
        <w:t xml:space="preserve"> </w:t>
      </w:r>
      <w:proofErr w:type="gramStart"/>
      <w:r w:rsidRPr="00195B67">
        <w:t>plastics</w:t>
      </w:r>
      <w:proofErr w:type="gramEnd"/>
    </w:p>
    <w:p w14:paraId="16F19BD6" w14:textId="52CF6E1B" w:rsidR="00AC7945" w:rsidRPr="00195B67" w:rsidRDefault="00AC7945" w:rsidP="00EA3648">
      <w:pPr>
        <w:pStyle w:val="BodyText"/>
      </w:pPr>
      <w:r w:rsidRPr="00195B67">
        <w:t xml:space="preserve">New Zealanders </w:t>
      </w:r>
      <w:r w:rsidR="00653B1F" w:rsidRPr="00195B67">
        <w:t xml:space="preserve">showed </w:t>
      </w:r>
      <w:r w:rsidR="00ED76E7" w:rsidRPr="00195B67">
        <w:t>high support</w:t>
      </w:r>
      <w:r w:rsidRPr="00195B67">
        <w:t xml:space="preserve"> for more action on plastic waste and problematic plastic items</w:t>
      </w:r>
      <w:r w:rsidR="00F73E03" w:rsidRPr="00195B67">
        <w:t xml:space="preserve"> (figure 1)</w:t>
      </w:r>
      <w:r w:rsidRPr="00195B67">
        <w:t xml:space="preserve">. </w:t>
      </w:r>
      <w:r w:rsidR="004E65E4" w:rsidRPr="00195B67">
        <w:t>O</w:t>
      </w:r>
      <w:r w:rsidR="004E144C" w:rsidRPr="00195B67">
        <w:t xml:space="preserve">f </w:t>
      </w:r>
      <w:r w:rsidRPr="00195B67">
        <w:t>submitters</w:t>
      </w:r>
      <w:r w:rsidR="004E65E4" w:rsidRPr="00195B67">
        <w:t>,</w:t>
      </w:r>
      <w:r w:rsidRPr="00195B67">
        <w:t xml:space="preserve"> </w:t>
      </w:r>
      <w:r w:rsidR="004E65E4" w:rsidRPr="00195B67">
        <w:t xml:space="preserve">97 per cent (7675) </w:t>
      </w:r>
      <w:r w:rsidRPr="00195B67">
        <w:t>supported more action being taken</w:t>
      </w:r>
      <w:r w:rsidR="00962463" w:rsidRPr="00195B67">
        <w:t> </w:t>
      </w:r>
      <w:r w:rsidRPr="00195B67">
        <w:t xml:space="preserve">on plastics in New Zealand. </w:t>
      </w:r>
    </w:p>
    <w:p w14:paraId="2A3A1223" w14:textId="1446702B" w:rsidR="00E66FC3" w:rsidRPr="00195B67" w:rsidRDefault="00C91A98" w:rsidP="00EA3648">
      <w:pPr>
        <w:pStyle w:val="Figureheading"/>
        <w:spacing w:after="0"/>
      </w:pPr>
      <w:bookmarkStart w:id="13" w:name="_Toc72137527"/>
      <w:r w:rsidRPr="00195B67">
        <w:t xml:space="preserve">Figure 1: </w:t>
      </w:r>
      <w:r w:rsidRPr="00195B67">
        <w:tab/>
        <w:t>Overall support for more action on plastics</w:t>
      </w:r>
      <w:bookmarkEnd w:id="13"/>
    </w:p>
    <w:p w14:paraId="79F2171E" w14:textId="4A481B65" w:rsidR="00EA3648" w:rsidRPr="00195B67" w:rsidRDefault="00BE0A32" w:rsidP="00522A16">
      <w:pPr>
        <w:pStyle w:val="BodyText"/>
        <w:spacing w:before="0" w:after="0"/>
      </w:pPr>
      <w:r w:rsidRPr="00195B67">
        <w:rPr>
          <w:noProof/>
        </w:rPr>
        <w:drawing>
          <wp:inline distT="0" distB="0" distL="0" distR="0" wp14:anchorId="09540CF6" wp14:editId="20EE219D">
            <wp:extent cx="5295265" cy="2480310"/>
            <wp:effectExtent l="0" t="0" r="635" b="0"/>
            <wp:docPr id="3" name="Chart 3">
              <a:extLst xmlns:a="http://schemas.openxmlformats.org/drawingml/2006/main">
                <a:ext uri="{FF2B5EF4-FFF2-40B4-BE49-F238E27FC236}">
                  <a16:creationId xmlns:a16="http://schemas.microsoft.com/office/drawing/2014/main" id="{0E291243-15E6-4EC0-A040-C2C890C50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C82A22" w:rsidRPr="00195B67">
        <w:t xml:space="preserve"> </w:t>
      </w:r>
    </w:p>
    <w:p w14:paraId="4B4FBD25" w14:textId="5EC67A9E" w:rsidR="00906961" w:rsidRPr="00195B67" w:rsidRDefault="00906961" w:rsidP="00725BC3">
      <w:pPr>
        <w:pStyle w:val="Note"/>
        <w:spacing w:before="0"/>
      </w:pPr>
      <w:r w:rsidRPr="00195B67">
        <w:t xml:space="preserve">Note: </w:t>
      </w:r>
      <w:r w:rsidR="00830EE3" w:rsidRPr="00195B67">
        <w:t>T</w:t>
      </w:r>
      <w:r w:rsidRPr="00195B67">
        <w:t xml:space="preserve">he </w:t>
      </w:r>
      <w:r w:rsidR="00830EE3" w:rsidRPr="00195B67">
        <w:t xml:space="preserve">figure </w:t>
      </w:r>
      <w:r w:rsidRPr="00195B67">
        <w:t>includes numbers from both short-form and substantive submissions.</w:t>
      </w:r>
    </w:p>
    <w:p w14:paraId="0779B719" w14:textId="311D9032" w:rsidR="00EA3648" w:rsidRPr="00195B67" w:rsidRDefault="00830EE3" w:rsidP="007743CC">
      <w:pPr>
        <w:pStyle w:val="Heading3"/>
      </w:pPr>
      <w:r w:rsidRPr="00195B67">
        <w:t>G</w:t>
      </w:r>
      <w:r w:rsidR="007A6B14" w:rsidRPr="00195B67">
        <w:t xml:space="preserve">eneral </w:t>
      </w:r>
      <w:r w:rsidR="00E8333C" w:rsidRPr="00195B67">
        <w:t>p</w:t>
      </w:r>
      <w:r w:rsidR="007A6B14" w:rsidRPr="00195B67">
        <w:t xml:space="preserve">ublic </w:t>
      </w:r>
      <w:r w:rsidRPr="00195B67">
        <w:t xml:space="preserve">submitters </w:t>
      </w:r>
      <w:r w:rsidR="00AD7A4D" w:rsidRPr="00195B67">
        <w:t xml:space="preserve">were </w:t>
      </w:r>
      <w:r w:rsidR="007A6B14" w:rsidRPr="00195B67">
        <w:t xml:space="preserve">most likely to support the Government </w:t>
      </w:r>
      <w:r w:rsidR="00FE1089" w:rsidRPr="00195B67">
        <w:t>in </w:t>
      </w:r>
      <w:r w:rsidR="007A6B14" w:rsidRPr="00195B67">
        <w:t xml:space="preserve">taking more action on </w:t>
      </w:r>
      <w:proofErr w:type="gramStart"/>
      <w:r w:rsidR="007A6B14" w:rsidRPr="00195B67">
        <w:t>plastics</w:t>
      </w:r>
      <w:proofErr w:type="gramEnd"/>
    </w:p>
    <w:p w14:paraId="4FB52174" w14:textId="524F4437" w:rsidR="00ED76E7" w:rsidRPr="00195B67" w:rsidRDefault="007A6B14" w:rsidP="007743CC">
      <w:pPr>
        <w:pStyle w:val="BodyText"/>
      </w:pPr>
      <w:r w:rsidRPr="00195B67">
        <w:t xml:space="preserve">As </w:t>
      </w:r>
      <w:r w:rsidR="00E211B5" w:rsidRPr="00195B67">
        <w:t>show</w:t>
      </w:r>
      <w:r w:rsidR="00184534" w:rsidRPr="00195B67">
        <w:t>n</w:t>
      </w:r>
      <w:r w:rsidR="00E211B5" w:rsidRPr="00195B67">
        <w:t xml:space="preserve"> in figure 2</w:t>
      </w:r>
      <w:r w:rsidRPr="00195B67">
        <w:t xml:space="preserve">, </w:t>
      </w:r>
      <w:r w:rsidR="00E211B5" w:rsidRPr="00195B67">
        <w:t>most</w:t>
      </w:r>
      <w:r w:rsidRPr="00195B67">
        <w:t xml:space="preserve"> respondents supported the Government in taking more</w:t>
      </w:r>
      <w:r w:rsidR="00962463" w:rsidRPr="00195B67">
        <w:t> </w:t>
      </w:r>
      <w:r w:rsidRPr="00195B67">
        <w:t xml:space="preserve">action on plastics either in full or in part. </w:t>
      </w:r>
      <w:r w:rsidR="00ED76E7" w:rsidRPr="00195B67">
        <w:t>Members of the public were highly likely to agree</w:t>
      </w:r>
      <w:r w:rsidRPr="00195B67">
        <w:t xml:space="preserve">. </w:t>
      </w:r>
    </w:p>
    <w:p w14:paraId="788EFF44" w14:textId="45F8CE38" w:rsidR="001C5C0E" w:rsidRPr="00195B67" w:rsidRDefault="001C5C0E" w:rsidP="00EA3648">
      <w:pPr>
        <w:pStyle w:val="Figureheading"/>
      </w:pPr>
      <w:bookmarkStart w:id="14" w:name="_Toc72137528"/>
      <w:r w:rsidRPr="00195B67">
        <w:lastRenderedPageBreak/>
        <w:t xml:space="preserve">Figure </w:t>
      </w:r>
      <w:r w:rsidR="00C91A98" w:rsidRPr="00195B67">
        <w:t>2</w:t>
      </w:r>
      <w:r w:rsidRPr="00195B67">
        <w:t xml:space="preserve">: </w:t>
      </w:r>
      <w:r w:rsidR="00EA3648" w:rsidRPr="00195B67">
        <w:tab/>
      </w:r>
      <w:r w:rsidRPr="00195B67">
        <w:t>Overall support for more action on plastics by submitter type</w:t>
      </w:r>
      <w:bookmarkEnd w:id="14"/>
    </w:p>
    <w:p w14:paraId="72D144F7" w14:textId="1C9B84F7" w:rsidR="00ED76E7" w:rsidRPr="00195B67" w:rsidRDefault="00EA6297" w:rsidP="006556BF">
      <w:pPr>
        <w:pStyle w:val="BodyText"/>
        <w:spacing w:before="0" w:after="0"/>
      </w:pPr>
      <w:r w:rsidRPr="00195B67">
        <w:rPr>
          <w:noProof/>
        </w:rPr>
        <w:drawing>
          <wp:inline distT="0" distB="0" distL="0" distR="0" wp14:anchorId="3E0CE9E4" wp14:editId="4089AAEA">
            <wp:extent cx="5427879" cy="3716122"/>
            <wp:effectExtent l="0" t="0" r="1905" b="0"/>
            <wp:docPr id="1" name="Chart 1">
              <a:extLst xmlns:a="http://schemas.openxmlformats.org/drawingml/2006/main">
                <a:ext uri="{FF2B5EF4-FFF2-40B4-BE49-F238E27FC236}">
                  <a16:creationId xmlns:a16="http://schemas.microsoft.com/office/drawing/2014/main" id="{EB055799-87B8-4AD8-9262-2C42D6ADB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95B67" w:rsidDel="008D329D">
        <w:t xml:space="preserve"> </w:t>
      </w:r>
    </w:p>
    <w:p w14:paraId="1548A909" w14:textId="5945DE4E" w:rsidR="00D155E3" w:rsidRPr="00195B67" w:rsidRDefault="00D155E3" w:rsidP="00725BC3">
      <w:pPr>
        <w:pStyle w:val="Note"/>
        <w:spacing w:before="0"/>
      </w:pPr>
      <w:r w:rsidRPr="00195B67">
        <w:t>Note: The figure includes numbers from both short-form and substantive submissions.</w:t>
      </w:r>
    </w:p>
    <w:p w14:paraId="23C97FE4" w14:textId="04587947" w:rsidR="00A54304" w:rsidRPr="00195B67" w:rsidRDefault="00A54304" w:rsidP="00EA3648">
      <w:pPr>
        <w:pStyle w:val="BodyText"/>
      </w:pPr>
      <w:r w:rsidRPr="00195B67">
        <w:t xml:space="preserve">In our </w:t>
      </w:r>
      <w:r w:rsidR="00816E7A" w:rsidRPr="00195B67">
        <w:t>short-form</w:t>
      </w:r>
      <w:r w:rsidR="007A6B14" w:rsidRPr="00195B67">
        <w:t xml:space="preserve"> survey</w:t>
      </w:r>
      <w:r w:rsidR="00241CDD" w:rsidRPr="00195B67">
        <w:t>,</w:t>
      </w:r>
      <w:r w:rsidR="003E5595" w:rsidRPr="00195B67">
        <w:t xml:space="preserve"> we asked</w:t>
      </w:r>
      <w:r w:rsidR="00FA78F1" w:rsidRPr="00195B67">
        <w:t>:</w:t>
      </w:r>
      <w:r w:rsidR="003E5595" w:rsidRPr="00195B67">
        <w:t xml:space="preserve"> “Do you support the Government taking some more action to remove hard-to-recycle plastic and single-use items from use (in principle)?”</w:t>
      </w:r>
      <w:r w:rsidR="00241CDD" w:rsidRPr="00195B67">
        <w:t>.</w:t>
      </w:r>
      <w:r w:rsidR="003E5595" w:rsidRPr="00195B67">
        <w:t xml:space="preserve"> Of </w:t>
      </w:r>
      <w:r w:rsidR="00241CDD" w:rsidRPr="00195B67">
        <w:t xml:space="preserve">the </w:t>
      </w:r>
      <w:r w:rsidR="003E5595" w:rsidRPr="00195B67">
        <w:t xml:space="preserve">4030 people who responded, </w:t>
      </w:r>
      <w:r w:rsidR="003E5595" w:rsidRPr="00195B67">
        <w:rPr>
          <w:b/>
          <w:bCs/>
        </w:rPr>
        <w:t>99.35</w:t>
      </w:r>
      <w:r w:rsidR="00892918" w:rsidRPr="00195B67">
        <w:rPr>
          <w:b/>
          <w:bCs/>
        </w:rPr>
        <w:t xml:space="preserve"> per cent</w:t>
      </w:r>
      <w:r w:rsidR="003E5595" w:rsidRPr="00195B67">
        <w:rPr>
          <w:b/>
          <w:bCs/>
        </w:rPr>
        <w:t xml:space="preserve"> support</w:t>
      </w:r>
      <w:r w:rsidR="00BC6903" w:rsidRPr="00195B67">
        <w:rPr>
          <w:b/>
          <w:bCs/>
        </w:rPr>
        <w:t>ed</w:t>
      </w:r>
      <w:r w:rsidR="003E5595" w:rsidRPr="00195B67">
        <w:rPr>
          <w:b/>
          <w:bCs/>
        </w:rPr>
        <w:t xml:space="preserve"> more action</w:t>
      </w:r>
      <w:r w:rsidR="003E5595" w:rsidRPr="00195B67">
        <w:t xml:space="preserve"> </w:t>
      </w:r>
      <w:r w:rsidR="003E5595" w:rsidRPr="00195B67">
        <w:rPr>
          <w:b/>
          <w:bCs/>
        </w:rPr>
        <w:t>to remove problem</w:t>
      </w:r>
      <w:r w:rsidR="00166460" w:rsidRPr="00195B67">
        <w:rPr>
          <w:b/>
          <w:bCs/>
        </w:rPr>
        <w:t>atic</w:t>
      </w:r>
      <w:r w:rsidR="003E5595" w:rsidRPr="00195B67">
        <w:rPr>
          <w:b/>
          <w:bCs/>
        </w:rPr>
        <w:t xml:space="preserve"> plastics from use</w:t>
      </w:r>
      <w:r w:rsidR="003E5595" w:rsidRPr="00195B67">
        <w:t xml:space="preserve"> (4004 yes, 21 no, 5 did not know). </w:t>
      </w:r>
    </w:p>
    <w:p w14:paraId="23308DEA" w14:textId="750C04D2" w:rsidR="00D04F93" w:rsidRPr="00195B67" w:rsidRDefault="00D04F93" w:rsidP="00EA3648">
      <w:pPr>
        <w:pStyle w:val="BodyText"/>
      </w:pPr>
      <w:r w:rsidRPr="00195B67">
        <w:t xml:space="preserve">In the </w:t>
      </w:r>
      <w:r w:rsidR="00816E7A" w:rsidRPr="00195B67">
        <w:t>short-form</w:t>
      </w:r>
      <w:r w:rsidR="00ED76E7" w:rsidRPr="00195B67">
        <w:t xml:space="preserve"> survey </w:t>
      </w:r>
      <w:r w:rsidRPr="00195B67">
        <w:t>we asked</w:t>
      </w:r>
      <w:r w:rsidR="00FA78F1" w:rsidRPr="00195B67">
        <w:t>:</w:t>
      </w:r>
      <w:r w:rsidRPr="00195B67">
        <w:t xml:space="preserve"> “Do you support the proposed mandatory </w:t>
      </w:r>
      <w:r w:rsidR="00207CB8" w:rsidRPr="00195B67">
        <w:t>phase</w:t>
      </w:r>
      <w:r w:rsidR="004233E6" w:rsidRPr="00195B67">
        <w:t xml:space="preserve"> </w:t>
      </w:r>
      <w:r w:rsidR="00207CB8" w:rsidRPr="00195B67">
        <w:t>out</w:t>
      </w:r>
      <w:r w:rsidRPr="00195B67">
        <w:t xml:space="preserve"> of PVC and polystyrene plastic packaging and all oxo-degradable plastic items?”</w:t>
      </w:r>
      <w:r w:rsidR="006556BF" w:rsidRPr="00195B67">
        <w:t>.</w:t>
      </w:r>
      <w:r w:rsidRPr="00195B67">
        <w:t xml:space="preserve"> Of </w:t>
      </w:r>
      <w:r w:rsidR="004233E6" w:rsidRPr="00195B67">
        <w:t xml:space="preserve">the </w:t>
      </w:r>
      <w:r w:rsidRPr="00195B67">
        <w:t>4030 respondents,</w:t>
      </w:r>
      <w:r w:rsidRPr="00195B67">
        <w:rPr>
          <w:b/>
          <w:bCs/>
        </w:rPr>
        <w:t xml:space="preserve"> 96.2</w:t>
      </w:r>
      <w:r w:rsidR="00892918" w:rsidRPr="00195B67">
        <w:rPr>
          <w:b/>
          <w:bCs/>
        </w:rPr>
        <w:t xml:space="preserve"> per cent</w:t>
      </w:r>
      <w:r w:rsidRPr="00195B67">
        <w:rPr>
          <w:b/>
          <w:bCs/>
        </w:rPr>
        <w:t xml:space="preserve"> indicated their full support, and a further 2.8</w:t>
      </w:r>
      <w:r w:rsidR="00892918" w:rsidRPr="00195B67">
        <w:rPr>
          <w:b/>
          <w:bCs/>
        </w:rPr>
        <w:t xml:space="preserve"> per cent</w:t>
      </w:r>
      <w:r w:rsidRPr="00195B67">
        <w:rPr>
          <w:b/>
          <w:bCs/>
        </w:rPr>
        <w:t xml:space="preserve"> supported in part</w:t>
      </w:r>
      <w:r w:rsidRPr="00195B67">
        <w:t xml:space="preserve"> (3877 yes, 113 yes in part, 32 no, 8 not answered).</w:t>
      </w:r>
    </w:p>
    <w:p w14:paraId="3643DA39" w14:textId="77777777" w:rsidR="008E0316" w:rsidRPr="00195B67" w:rsidRDefault="008E0316" w:rsidP="00EA3648">
      <w:pPr>
        <w:pStyle w:val="BodyText"/>
        <w:rPr>
          <w:rStyle w:val="Heading1Char"/>
          <w:rFonts w:eastAsiaTheme="minorEastAsia" w:cstheme="minorBidi"/>
          <w:b w:val="0"/>
          <w:bCs w:val="0"/>
          <w:color w:val="auto"/>
          <w:sz w:val="22"/>
          <w:szCs w:val="22"/>
        </w:rPr>
      </w:pPr>
      <w:r w:rsidRPr="00195B67">
        <w:rPr>
          <w:rStyle w:val="Heading1Char"/>
          <w:rFonts w:eastAsiaTheme="minorEastAsia" w:cstheme="minorBidi"/>
          <w:b w:val="0"/>
          <w:bCs w:val="0"/>
          <w:color w:val="auto"/>
          <w:sz w:val="22"/>
          <w:szCs w:val="22"/>
        </w:rPr>
        <w:br w:type="page"/>
      </w:r>
    </w:p>
    <w:p w14:paraId="4C020012" w14:textId="6921DB41" w:rsidR="00EB09EB" w:rsidRPr="00195B67" w:rsidRDefault="00EB09EB" w:rsidP="00050545">
      <w:pPr>
        <w:pStyle w:val="Heading1"/>
        <w:rPr>
          <w:bCs w:val="0"/>
        </w:rPr>
      </w:pPr>
      <w:bookmarkStart w:id="15" w:name="_Toc72137493"/>
      <w:r w:rsidRPr="00195B67">
        <w:rPr>
          <w:rStyle w:val="Heading1Char"/>
          <w:b/>
        </w:rPr>
        <w:lastRenderedPageBreak/>
        <w:t xml:space="preserve">What we </w:t>
      </w:r>
      <w:r w:rsidR="00F24001" w:rsidRPr="00195B67">
        <w:rPr>
          <w:rStyle w:val="Heading1Char"/>
          <w:b/>
        </w:rPr>
        <w:t>h</w:t>
      </w:r>
      <w:r w:rsidRPr="00195B67">
        <w:rPr>
          <w:rStyle w:val="Heading1Char"/>
          <w:b/>
        </w:rPr>
        <w:t xml:space="preserve">eard – </w:t>
      </w:r>
      <w:r w:rsidR="001D5343" w:rsidRPr="00195B67">
        <w:rPr>
          <w:rStyle w:val="Heading1Char"/>
          <w:b/>
        </w:rPr>
        <w:t>P</w:t>
      </w:r>
      <w:r w:rsidRPr="00195B67">
        <w:rPr>
          <w:rStyle w:val="Heading1Char"/>
          <w:b/>
        </w:rPr>
        <w:t xml:space="preserve">roposal </w:t>
      </w:r>
      <w:r w:rsidR="00F24001" w:rsidRPr="00195B67">
        <w:rPr>
          <w:rStyle w:val="Heading1Char"/>
          <w:b/>
        </w:rPr>
        <w:t>o</w:t>
      </w:r>
      <w:r w:rsidRPr="00195B67">
        <w:rPr>
          <w:rStyle w:val="Heading1Char"/>
          <w:b/>
        </w:rPr>
        <w:t>ne</w:t>
      </w:r>
      <w:bookmarkEnd w:id="15"/>
    </w:p>
    <w:p w14:paraId="54839ABE" w14:textId="77777777" w:rsidR="00EA3648" w:rsidRPr="00195B67" w:rsidRDefault="002F2CCF" w:rsidP="00EA3648">
      <w:pPr>
        <w:pStyle w:val="Heading2"/>
        <w:spacing w:before="240"/>
        <w:rPr>
          <w:rFonts w:eastAsia="Times New Roman"/>
        </w:rPr>
      </w:pPr>
      <w:bookmarkStart w:id="16" w:name="_Toc72137494"/>
      <w:r w:rsidRPr="00195B67">
        <w:rPr>
          <w:rFonts w:eastAsia="Times New Roman"/>
        </w:rPr>
        <w:t>S</w:t>
      </w:r>
      <w:r w:rsidR="00BC2F13" w:rsidRPr="00195B67">
        <w:rPr>
          <w:rFonts w:eastAsia="Times New Roman"/>
        </w:rPr>
        <w:t>trong</w:t>
      </w:r>
      <w:r w:rsidR="00007D01" w:rsidRPr="00195B67">
        <w:rPr>
          <w:rFonts w:eastAsia="Times New Roman"/>
        </w:rPr>
        <w:t xml:space="preserve"> support for phasing out PVC and </w:t>
      </w:r>
      <w:r w:rsidRPr="00195B67">
        <w:rPr>
          <w:rFonts w:eastAsia="Times New Roman"/>
        </w:rPr>
        <w:t>p</w:t>
      </w:r>
      <w:r w:rsidR="00007D01" w:rsidRPr="00195B67">
        <w:rPr>
          <w:rFonts w:eastAsia="Times New Roman"/>
        </w:rPr>
        <w:t xml:space="preserve">olystyrene food and beverage </w:t>
      </w:r>
      <w:proofErr w:type="gramStart"/>
      <w:r w:rsidR="00007D01" w:rsidRPr="00195B67">
        <w:rPr>
          <w:rFonts w:eastAsia="Times New Roman"/>
        </w:rPr>
        <w:t>packaging</w:t>
      </w:r>
      <w:bookmarkEnd w:id="16"/>
      <w:proofErr w:type="gramEnd"/>
    </w:p>
    <w:p w14:paraId="7B9101E1" w14:textId="52E54D44" w:rsidR="00DA42A3" w:rsidRPr="00195B67" w:rsidRDefault="003B1915" w:rsidP="00EA3648">
      <w:pPr>
        <w:pStyle w:val="BodyText"/>
      </w:pPr>
      <w:r w:rsidRPr="00195B67">
        <w:t>The support levels for phasing</w:t>
      </w:r>
      <w:r w:rsidR="004E144C" w:rsidRPr="00195B67">
        <w:t xml:space="preserve"> </w:t>
      </w:r>
      <w:r w:rsidR="00BE03E6" w:rsidRPr="00195B67">
        <w:t>out PVC and polystyrene food and beverage packaging w</w:t>
      </w:r>
      <w:r w:rsidR="0031353F" w:rsidRPr="00195B67">
        <w:t>ere</w:t>
      </w:r>
      <w:r w:rsidR="00BE03E6" w:rsidRPr="00195B67">
        <w:t xml:space="preserve"> very high</w:t>
      </w:r>
      <w:r w:rsidR="002A5FB7" w:rsidRPr="00195B67">
        <w:t xml:space="preserve"> (figure 3)</w:t>
      </w:r>
      <w:r w:rsidR="00BE03E6" w:rsidRPr="00195B67">
        <w:t xml:space="preserve">. </w:t>
      </w:r>
      <w:r w:rsidR="00FB79B6" w:rsidRPr="00195B67">
        <w:t>Most</w:t>
      </w:r>
      <w:r w:rsidR="00BE03E6" w:rsidRPr="00195B67">
        <w:t xml:space="preserve"> submitters supported the proposal. </w:t>
      </w:r>
    </w:p>
    <w:p w14:paraId="7CE417FD" w14:textId="41D1FED2" w:rsidR="001C77CE" w:rsidRPr="00195B67" w:rsidRDefault="001C5C0E" w:rsidP="00EA3648">
      <w:pPr>
        <w:pStyle w:val="Figureheading"/>
      </w:pPr>
      <w:bookmarkStart w:id="17" w:name="_Toc72137529"/>
      <w:r w:rsidRPr="00195B67">
        <w:t xml:space="preserve">Figure </w:t>
      </w:r>
      <w:r w:rsidR="00C91A98" w:rsidRPr="00195B67">
        <w:t>3</w:t>
      </w:r>
      <w:r w:rsidRPr="00195B67">
        <w:t xml:space="preserve">: </w:t>
      </w:r>
      <w:r w:rsidR="00C91A98" w:rsidRPr="00195B67">
        <w:tab/>
      </w:r>
      <w:r w:rsidRPr="00195B67">
        <w:t xml:space="preserve">Overall support for </w:t>
      </w:r>
      <w:r w:rsidR="00C91A98" w:rsidRPr="00195B67">
        <w:t xml:space="preserve">proposal </w:t>
      </w:r>
      <w:r w:rsidR="00430285" w:rsidRPr="00195B67">
        <w:t>one</w:t>
      </w:r>
      <w:bookmarkEnd w:id="17"/>
    </w:p>
    <w:p w14:paraId="4E9A48C3" w14:textId="3351BA0F" w:rsidR="008E0316" w:rsidRPr="00195B67" w:rsidRDefault="001C77CE" w:rsidP="00264712">
      <w:pPr>
        <w:pStyle w:val="BodyText"/>
        <w:spacing w:after="0"/>
        <w:rPr>
          <w:sz w:val="20"/>
          <w:szCs w:val="20"/>
        </w:rPr>
      </w:pPr>
      <w:r w:rsidRPr="00195B67">
        <w:rPr>
          <w:noProof/>
        </w:rPr>
        <w:drawing>
          <wp:inline distT="0" distB="0" distL="0" distR="0" wp14:anchorId="47241B2D" wp14:editId="7E7D2DEF">
            <wp:extent cx="5530215" cy="3625850"/>
            <wp:effectExtent l="0" t="0" r="0" b="0"/>
            <wp:docPr id="30" name="Chart 30">
              <a:extLst xmlns:a="http://schemas.openxmlformats.org/drawingml/2006/main">
                <a:ext uri="{FF2B5EF4-FFF2-40B4-BE49-F238E27FC236}">
                  <a16:creationId xmlns:a16="http://schemas.microsoft.com/office/drawing/2014/main" id="{82F32F99-4200-4091-A4D9-BA096FB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5B993B" w14:textId="6FA8A582" w:rsidR="00264712" w:rsidRPr="00195B67" w:rsidRDefault="00264712" w:rsidP="00370259">
      <w:pPr>
        <w:pStyle w:val="Note"/>
      </w:pPr>
      <w:r w:rsidRPr="00195B67">
        <w:t xml:space="preserve">Note: </w:t>
      </w:r>
      <w:r w:rsidR="00370259" w:rsidRPr="00195B67">
        <w:t>T</w:t>
      </w:r>
      <w:r w:rsidRPr="00195B67">
        <w:t>he figure includes numbers from both short-form and substantive submissions.</w:t>
      </w:r>
    </w:p>
    <w:p w14:paraId="6500CA62" w14:textId="3029A551" w:rsidR="00E751CE" w:rsidRPr="00195B67" w:rsidRDefault="0049611F" w:rsidP="00EA3648">
      <w:pPr>
        <w:pStyle w:val="BodyText"/>
      </w:pPr>
      <w:r w:rsidRPr="00195B67">
        <w:t>Based on submitter type</w:t>
      </w:r>
      <w:r w:rsidR="003B73FE" w:rsidRPr="00195B67">
        <w:t xml:space="preserve">, </w:t>
      </w:r>
      <w:r w:rsidR="007C3476" w:rsidRPr="00195B67">
        <w:t>members of the</w:t>
      </w:r>
      <w:r w:rsidR="003B73FE" w:rsidRPr="00195B67">
        <w:t xml:space="preserve"> public </w:t>
      </w:r>
      <w:r w:rsidRPr="00195B67">
        <w:t>supported</w:t>
      </w:r>
      <w:r w:rsidR="003B73FE" w:rsidRPr="00195B67">
        <w:t xml:space="preserve"> the proposals</w:t>
      </w:r>
      <w:r w:rsidR="007741D7" w:rsidRPr="00195B67">
        <w:t xml:space="preserve"> (figure 4)</w:t>
      </w:r>
      <w:r w:rsidR="003B73FE" w:rsidRPr="00195B67">
        <w:t xml:space="preserve">. </w:t>
      </w:r>
      <w:r w:rsidRPr="00195B67">
        <w:t xml:space="preserve">Manufacturers, the plastics </w:t>
      </w:r>
      <w:proofErr w:type="gramStart"/>
      <w:r w:rsidRPr="00195B67">
        <w:t>industry</w:t>
      </w:r>
      <w:proofErr w:type="gramEnd"/>
      <w:r w:rsidRPr="00195B67">
        <w:t xml:space="preserve"> and some recyclers were more likely to disagree with the proposal</w:t>
      </w:r>
      <w:r w:rsidR="007C3476" w:rsidRPr="00195B67">
        <w:t>s</w:t>
      </w:r>
      <w:r w:rsidRPr="00195B67">
        <w:t>.</w:t>
      </w:r>
      <w:r w:rsidR="00AA0263" w:rsidRPr="00195B67">
        <w:t xml:space="preserve"> </w:t>
      </w:r>
      <w:r w:rsidRPr="00195B67">
        <w:t>These submitters are more likely to be directly affected by a ban.</w:t>
      </w:r>
      <w:r w:rsidR="00B5369F" w:rsidRPr="00195B67">
        <w:t xml:space="preserve"> </w:t>
      </w:r>
      <w:r w:rsidR="003E4549" w:rsidRPr="00195B67">
        <w:t xml:space="preserve">The challenges </w:t>
      </w:r>
      <w:r w:rsidR="001D5EB8" w:rsidRPr="00195B67">
        <w:t xml:space="preserve">faced by some of these industries are discussed later in this </w:t>
      </w:r>
      <w:r w:rsidR="005D1027" w:rsidRPr="00195B67">
        <w:t>document</w:t>
      </w:r>
      <w:r w:rsidR="00A50F32" w:rsidRPr="00195B67">
        <w:t>.</w:t>
      </w:r>
    </w:p>
    <w:p w14:paraId="2BA2F3AF" w14:textId="48B7E4E6" w:rsidR="0034561D" w:rsidRPr="00195B67" w:rsidRDefault="00E751CE" w:rsidP="00EB0072">
      <w:pPr>
        <w:pStyle w:val="Figureheading"/>
        <w:spacing w:after="60"/>
      </w:pPr>
      <w:bookmarkStart w:id="18" w:name="_Toc72137530"/>
      <w:r w:rsidRPr="00195B67">
        <w:lastRenderedPageBreak/>
        <w:t>Figure 4</w:t>
      </w:r>
      <w:r w:rsidR="00430285" w:rsidRPr="00195B67">
        <w:t>:</w:t>
      </w:r>
      <w:r w:rsidRPr="00195B67">
        <w:t xml:space="preserve"> </w:t>
      </w:r>
      <w:r w:rsidR="00EA3648" w:rsidRPr="00195B67">
        <w:tab/>
      </w:r>
      <w:r w:rsidR="00121042" w:rsidRPr="00195B67">
        <w:t>Support for proposal one by submitter type</w:t>
      </w:r>
      <w:bookmarkEnd w:id="18"/>
    </w:p>
    <w:p w14:paraId="4751D43B" w14:textId="0D3C0705" w:rsidR="0034561D" w:rsidRPr="00195B67" w:rsidRDefault="00B1037F" w:rsidP="00AB1DFB">
      <w:pPr>
        <w:pStyle w:val="BodyText"/>
        <w:spacing w:before="0" w:after="0"/>
      </w:pPr>
      <w:r w:rsidRPr="00195B67">
        <w:rPr>
          <w:noProof/>
        </w:rPr>
        <w:drawing>
          <wp:inline distT="0" distB="0" distL="0" distR="0" wp14:anchorId="6CEE8537" wp14:editId="2BEEDF8B">
            <wp:extent cx="5420360" cy="3904091"/>
            <wp:effectExtent l="0" t="0" r="8890" b="1270"/>
            <wp:docPr id="23" name="Chart 23">
              <a:extLst xmlns:a="http://schemas.openxmlformats.org/drawingml/2006/main">
                <a:ext uri="{FF2B5EF4-FFF2-40B4-BE49-F238E27FC236}">
                  <a16:creationId xmlns:a16="http://schemas.microsoft.com/office/drawing/2014/main" id="{76B37715-946E-4071-A4AF-6747A8213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C4883" w:rsidRPr="00195B67" w:rsidDel="00DC4883">
        <w:t xml:space="preserve"> </w:t>
      </w:r>
    </w:p>
    <w:p w14:paraId="52E60A5B" w14:textId="5E9D71B1" w:rsidR="00C73953" w:rsidRPr="00195B67" w:rsidRDefault="00C73953" w:rsidP="00725BC3">
      <w:pPr>
        <w:pStyle w:val="Note"/>
        <w:spacing w:before="0"/>
      </w:pPr>
      <w:r w:rsidRPr="00195B67">
        <w:t>Note: The figure includes numbers from both short-form and substantive submissions.</w:t>
      </w:r>
    </w:p>
    <w:p w14:paraId="226F3266" w14:textId="0D52072B" w:rsidR="001D5EB8" w:rsidRPr="00195B67" w:rsidRDefault="001D5EB8" w:rsidP="00AB1DFB">
      <w:pPr>
        <w:pStyle w:val="BodyText"/>
      </w:pPr>
      <w:r w:rsidRPr="00195B67">
        <w:t xml:space="preserve">Despite the challenges some businesses and industries may face, </w:t>
      </w:r>
      <w:r w:rsidR="00F07E6C" w:rsidRPr="00195B67">
        <w:t xml:space="preserve">the </w:t>
      </w:r>
      <w:r w:rsidRPr="00195B67">
        <w:t xml:space="preserve">proposal </w:t>
      </w:r>
      <w:r w:rsidR="00F07E6C" w:rsidRPr="00195B67">
        <w:t xml:space="preserve">does have support </w:t>
      </w:r>
      <w:r w:rsidRPr="00195B67">
        <w:t xml:space="preserve">within the most </w:t>
      </w:r>
      <w:r w:rsidR="008611EB" w:rsidRPr="00195B67">
        <w:t xml:space="preserve">affected </w:t>
      </w:r>
      <w:r w:rsidRPr="00195B67">
        <w:t>sectors. Many have already taken steps to remove hard-to-recycle plastic packaging from their supply chains and operations. One industry</w:t>
      </w:r>
      <w:r w:rsidR="005D70A8" w:rsidRPr="00195B67">
        <w:t xml:space="preserve"> and </w:t>
      </w:r>
      <w:r w:rsidRPr="00195B67">
        <w:t>business submitter noted:</w:t>
      </w:r>
    </w:p>
    <w:p w14:paraId="3237BD22" w14:textId="05D92379" w:rsidR="00133EFF" w:rsidRPr="00195B67" w:rsidRDefault="001D5EB8" w:rsidP="00EB0072">
      <w:pPr>
        <w:pStyle w:val="Quote"/>
        <w:rPr>
          <w:shd w:val="clear" w:color="auto" w:fill="FFFFFF"/>
        </w:rPr>
      </w:pPr>
      <w:r w:rsidRPr="00195B67">
        <w:rPr>
          <w:shd w:val="clear" w:color="auto" w:fill="FFFFFF"/>
        </w:rPr>
        <w:t>Additionally, our wholesale businesses</w:t>
      </w:r>
      <w:r w:rsidR="008611EB" w:rsidRPr="00195B67">
        <w:rPr>
          <w:shd w:val="clear" w:color="auto" w:fill="FFFFFF"/>
        </w:rPr>
        <w:t xml:space="preserve"> </w:t>
      </w:r>
      <w:r w:rsidRPr="00195B67">
        <w:rPr>
          <w:shd w:val="clear" w:color="auto" w:fill="FFFFFF"/>
        </w:rPr>
        <w:t xml:space="preserve">… which supply packaging products to other businesses, including the convenience, food service, and hospitality sectors, are now ranging fibre-based alternatives, and are managing a gradual exit from supplying polystyrene packaging. A mandated phase-out of these products would quicken this process as we currently compete with </w:t>
      </w:r>
      <w:proofErr w:type="gramStart"/>
      <w:r w:rsidRPr="00195B67">
        <w:rPr>
          <w:shd w:val="clear" w:color="auto" w:fill="FFFFFF"/>
        </w:rPr>
        <w:t>third-parties</w:t>
      </w:r>
      <w:proofErr w:type="gramEnd"/>
      <w:r w:rsidRPr="00195B67">
        <w:rPr>
          <w:shd w:val="clear" w:color="auto" w:fill="FFFFFF"/>
        </w:rPr>
        <w:t xml:space="preserve"> that pitch the cheaper polystyren</w:t>
      </w:r>
      <w:r w:rsidR="00A20B52" w:rsidRPr="00195B67">
        <w:rPr>
          <w:shd w:val="clear" w:color="auto" w:fill="FFFFFF"/>
        </w:rPr>
        <w:t>e</w:t>
      </w:r>
      <w:r w:rsidR="00AC4EAF" w:rsidRPr="00195B67">
        <w:rPr>
          <w:shd w:val="clear" w:color="auto" w:fill="FFFFFF"/>
        </w:rPr>
        <w:t>.</w:t>
      </w:r>
      <w:r w:rsidR="001E43D6" w:rsidRPr="00195B67">
        <w:rPr>
          <w:shd w:val="clear" w:color="auto" w:fill="FFFFFF"/>
          <w:vertAlign w:val="superscript"/>
        </w:rPr>
        <w:footnoteReference w:id="3"/>
      </w:r>
    </w:p>
    <w:p w14:paraId="177A5519" w14:textId="3F65776F" w:rsidR="006C6EAB" w:rsidRPr="00195B67" w:rsidRDefault="00E91A63" w:rsidP="00AB1DFB">
      <w:pPr>
        <w:pStyle w:val="BodyText"/>
        <w:rPr>
          <w:shd w:val="clear" w:color="auto" w:fill="FFFFFF"/>
        </w:rPr>
      </w:pPr>
      <w:r w:rsidRPr="00195B67">
        <w:rPr>
          <w:shd w:val="clear" w:color="auto" w:fill="FFFFFF"/>
        </w:rPr>
        <w:t xml:space="preserve">As shown in the previous figures, </w:t>
      </w:r>
      <w:r w:rsidR="006C6EAB" w:rsidRPr="00195B67">
        <w:rPr>
          <w:shd w:val="clear" w:color="auto" w:fill="FFFFFF"/>
        </w:rPr>
        <w:t>few submitters disagreed with proposal one and made additional comments. However, one industry group commented on practical considerations for business and industry:</w:t>
      </w:r>
    </w:p>
    <w:p w14:paraId="4ECBC412" w14:textId="4E493155" w:rsidR="006C6EAB" w:rsidRPr="00195B67" w:rsidRDefault="006C6EAB" w:rsidP="00EB0072">
      <w:pPr>
        <w:pStyle w:val="Quote"/>
        <w:rPr>
          <w:shd w:val="clear" w:color="auto" w:fill="FFFFFF"/>
        </w:rPr>
      </w:pPr>
      <w:r w:rsidRPr="00195B67">
        <w:rPr>
          <w:shd w:val="clear" w:color="auto" w:fill="FFFFFF"/>
        </w:rPr>
        <w:t>Members have signed up to the Plastic Packaging Declaration which sets targets for 2025. They therefore question why products should be banned before that agreed deadline. Further, without an understanding of how many companies are using PVC and PS packaging, it is difficult to understand whether the time frame is feasible. The likely costs or benefits of phasing out all PVC and polystyrene packaging needs a full and separate economic analysis. For companies that do use these products, multiple packaging lines will need replacing and often an R&amp;D component will be needed. By the time economic insights are drawn, alternative materials and infrastructure are available, and trials are concluded the end of 2022 is impossible and even the end of 2024 is probably not achievable in totality.</w:t>
      </w:r>
      <w:r w:rsidRPr="00195B67">
        <w:rPr>
          <w:shd w:val="clear" w:color="auto" w:fill="FFFFFF"/>
          <w:vertAlign w:val="superscript"/>
        </w:rPr>
        <w:footnoteReference w:id="4"/>
      </w:r>
    </w:p>
    <w:p w14:paraId="1814AE5A" w14:textId="77777777" w:rsidR="00EB0072" w:rsidRPr="00195B67" w:rsidRDefault="00133EFF" w:rsidP="00EB0072">
      <w:pPr>
        <w:pStyle w:val="Heading2"/>
        <w:rPr>
          <w:rFonts w:eastAsia="Times New Roman"/>
        </w:rPr>
      </w:pPr>
      <w:bookmarkStart w:id="19" w:name="_Toc72137495"/>
      <w:r w:rsidRPr="00195B67">
        <w:rPr>
          <w:rFonts w:eastAsia="Times New Roman"/>
        </w:rPr>
        <w:lastRenderedPageBreak/>
        <w:t xml:space="preserve">Oxo-degradable items can easily be phased </w:t>
      </w:r>
      <w:proofErr w:type="gramStart"/>
      <w:r w:rsidRPr="00195B67">
        <w:rPr>
          <w:rFonts w:eastAsia="Times New Roman"/>
        </w:rPr>
        <w:t>out</w:t>
      </w:r>
      <w:bookmarkEnd w:id="19"/>
      <w:proofErr w:type="gramEnd"/>
    </w:p>
    <w:p w14:paraId="58F18278" w14:textId="1ED10461" w:rsidR="00E751CE" w:rsidRPr="00195B67" w:rsidRDefault="005D70A8" w:rsidP="00EB0072">
      <w:pPr>
        <w:pStyle w:val="BodyText"/>
      </w:pPr>
      <w:r w:rsidRPr="00195B67">
        <w:t>A</w:t>
      </w:r>
      <w:r w:rsidR="0049611F" w:rsidRPr="00195B67">
        <w:t xml:space="preserve">greement </w:t>
      </w:r>
      <w:r w:rsidRPr="00195B67">
        <w:t xml:space="preserve">was high </w:t>
      </w:r>
      <w:r w:rsidR="0049611F" w:rsidRPr="00195B67">
        <w:t>that</w:t>
      </w:r>
      <w:r w:rsidR="00133EFF" w:rsidRPr="00195B67">
        <w:t xml:space="preserve"> oxo-degradable</w:t>
      </w:r>
      <w:r w:rsidR="0049611F" w:rsidRPr="00195B67">
        <w:t xml:space="preserve"> plastics</w:t>
      </w:r>
      <w:r w:rsidR="00133EFF" w:rsidRPr="00195B67">
        <w:t xml:space="preserve"> </w:t>
      </w:r>
      <w:r w:rsidR="0049611F" w:rsidRPr="00195B67">
        <w:t xml:space="preserve">be </w:t>
      </w:r>
      <w:r w:rsidR="00133EFF" w:rsidRPr="00195B67">
        <w:t>phas</w:t>
      </w:r>
      <w:r w:rsidR="0049611F" w:rsidRPr="00195B67">
        <w:t>ed out</w:t>
      </w:r>
      <w:r w:rsidR="00423561" w:rsidRPr="00195B67">
        <w:t xml:space="preserve"> (figure 5)</w:t>
      </w:r>
      <w:r w:rsidR="0049611F" w:rsidRPr="00195B67">
        <w:t>.</w:t>
      </w:r>
      <w:r w:rsidR="00AA0263" w:rsidRPr="00195B67">
        <w:t xml:space="preserve"> </w:t>
      </w:r>
      <w:r w:rsidR="0049611F" w:rsidRPr="00195B67">
        <w:t>The proposal is</w:t>
      </w:r>
      <w:r w:rsidR="00EB0072" w:rsidRPr="00195B67">
        <w:t> </w:t>
      </w:r>
      <w:r w:rsidR="0049611F" w:rsidRPr="00195B67">
        <w:t>to</w:t>
      </w:r>
      <w:r w:rsidR="00EB0072" w:rsidRPr="00195B67">
        <w:t> </w:t>
      </w:r>
      <w:r w:rsidR="00207CB8" w:rsidRPr="00195B67">
        <w:t>phase</w:t>
      </w:r>
      <w:r w:rsidR="008144A0" w:rsidRPr="00195B67">
        <w:t xml:space="preserve"> </w:t>
      </w:r>
      <w:r w:rsidR="00207CB8" w:rsidRPr="00195B67">
        <w:t>out</w:t>
      </w:r>
      <w:r w:rsidR="00133EFF" w:rsidRPr="00195B67">
        <w:t xml:space="preserve"> all oxo-degradable plastics (not just </w:t>
      </w:r>
      <w:r w:rsidR="00EA5D1D" w:rsidRPr="00195B67">
        <w:t xml:space="preserve">for </w:t>
      </w:r>
      <w:r w:rsidR="00133EFF" w:rsidRPr="00195B67">
        <w:t>food and beverage uses)</w:t>
      </w:r>
      <w:r w:rsidR="0049611F" w:rsidRPr="00195B67">
        <w:t xml:space="preserve"> </w:t>
      </w:r>
      <w:r w:rsidR="00133EFF" w:rsidRPr="00195B67">
        <w:t xml:space="preserve">because </w:t>
      </w:r>
      <w:r w:rsidR="00EA5D1D" w:rsidRPr="00195B67">
        <w:t>they</w:t>
      </w:r>
      <w:r w:rsidR="00133EFF" w:rsidRPr="00195B67">
        <w:t xml:space="preserve"> are simply plastics </w:t>
      </w:r>
      <w:r w:rsidR="00EA5D1D" w:rsidRPr="00195B67">
        <w:t xml:space="preserve">that </w:t>
      </w:r>
      <w:r w:rsidR="00133EFF" w:rsidRPr="00195B67">
        <w:t xml:space="preserve">contain chemical additives </w:t>
      </w:r>
      <w:r w:rsidR="00FA3240" w:rsidRPr="00195B67">
        <w:t xml:space="preserve">to </w:t>
      </w:r>
      <w:r w:rsidR="00133EFF" w:rsidRPr="00195B67">
        <w:t>make the</w:t>
      </w:r>
      <w:r w:rsidR="00320794" w:rsidRPr="00195B67">
        <w:t>m</w:t>
      </w:r>
      <w:r w:rsidR="00133EFF" w:rsidRPr="00195B67">
        <w:t xml:space="preserve"> break down faster into smaller plastic pieces (microplastics). They are generally not</w:t>
      </w:r>
      <w:r w:rsidR="00962463" w:rsidRPr="00195B67">
        <w:t> </w:t>
      </w:r>
      <w:r w:rsidR="00133EFF" w:rsidRPr="00195B67">
        <w:t xml:space="preserve">recyclable or compostable. </w:t>
      </w:r>
    </w:p>
    <w:p w14:paraId="2C534AC9" w14:textId="4DBB801B" w:rsidR="00E751CE" w:rsidRPr="00195B67" w:rsidRDefault="00E751CE" w:rsidP="00EB0072">
      <w:pPr>
        <w:pStyle w:val="Figureheading"/>
      </w:pPr>
      <w:bookmarkStart w:id="20" w:name="_Toc72137531"/>
      <w:r w:rsidRPr="00195B67">
        <w:t>Figure 5</w:t>
      </w:r>
      <w:r w:rsidR="00AC4EAF" w:rsidRPr="00195B67">
        <w:t>:</w:t>
      </w:r>
      <w:r w:rsidRPr="00195B67">
        <w:t xml:space="preserve"> </w:t>
      </w:r>
      <w:r w:rsidR="00EB0072" w:rsidRPr="00195B67">
        <w:tab/>
      </w:r>
      <w:r w:rsidRPr="00195B67">
        <w:t xml:space="preserve">Overall preferences for banning oxo-degradable plastic </w:t>
      </w:r>
      <w:proofErr w:type="gramStart"/>
      <w:r w:rsidRPr="00195B67">
        <w:t>items</w:t>
      </w:r>
      <w:bookmarkEnd w:id="20"/>
      <w:proofErr w:type="gramEnd"/>
    </w:p>
    <w:p w14:paraId="2D65C1E4" w14:textId="7C74E29C" w:rsidR="009D06EA" w:rsidRPr="00195B67" w:rsidRDefault="00B1037F" w:rsidP="006C14D5">
      <w:pPr>
        <w:pStyle w:val="BodyText"/>
        <w:spacing w:before="0" w:after="0"/>
      </w:pPr>
      <w:r w:rsidRPr="00195B67">
        <w:rPr>
          <w:noProof/>
        </w:rPr>
        <w:drawing>
          <wp:inline distT="0" distB="0" distL="0" distR="0" wp14:anchorId="5F46070D" wp14:editId="6C1A1505">
            <wp:extent cx="5400040" cy="3667760"/>
            <wp:effectExtent l="0" t="0" r="0" b="8890"/>
            <wp:docPr id="29" name="Chart 29">
              <a:extLst xmlns:a="http://schemas.openxmlformats.org/drawingml/2006/main">
                <a:ext uri="{FF2B5EF4-FFF2-40B4-BE49-F238E27FC236}">
                  <a16:creationId xmlns:a16="http://schemas.microsoft.com/office/drawing/2014/main" id="{D4F1E0C1-925B-4099-B767-427523ADCD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4D8DD3" w14:textId="3C7F8A20" w:rsidR="009D06EA" w:rsidRPr="00195B67" w:rsidRDefault="006C14D5" w:rsidP="00EB0072">
      <w:pPr>
        <w:pStyle w:val="BodyText"/>
        <w:rPr>
          <w:lang w:eastAsia="en-US"/>
        </w:rPr>
      </w:pPr>
      <w:r w:rsidRPr="00195B67">
        <w:rPr>
          <w:lang w:eastAsia="en-US"/>
        </w:rPr>
        <w:t xml:space="preserve">The Ministry </w:t>
      </w:r>
      <w:r w:rsidR="009D06EA" w:rsidRPr="00195B67">
        <w:rPr>
          <w:lang w:eastAsia="en-US"/>
        </w:rPr>
        <w:t xml:space="preserve">heard that oxo-degradable plastic items are a </w:t>
      </w:r>
      <w:r w:rsidR="003549F5" w:rsidRPr="00195B67">
        <w:rPr>
          <w:lang w:eastAsia="en-US"/>
        </w:rPr>
        <w:t xml:space="preserve">significant </w:t>
      </w:r>
      <w:r w:rsidR="009D06EA" w:rsidRPr="00195B67">
        <w:rPr>
          <w:lang w:eastAsia="en-US"/>
        </w:rPr>
        <w:t xml:space="preserve">point of confusion for people, </w:t>
      </w:r>
      <w:r w:rsidR="00FC5585" w:rsidRPr="00195B67">
        <w:rPr>
          <w:lang w:eastAsia="en-US"/>
        </w:rPr>
        <w:t xml:space="preserve">with some </w:t>
      </w:r>
      <w:r w:rsidR="009D06EA" w:rsidRPr="00195B67">
        <w:rPr>
          <w:lang w:eastAsia="en-US"/>
        </w:rPr>
        <w:t>not understand</w:t>
      </w:r>
      <w:r w:rsidR="00FC5585" w:rsidRPr="00195B67">
        <w:rPr>
          <w:lang w:eastAsia="en-US"/>
        </w:rPr>
        <w:t>ing</w:t>
      </w:r>
      <w:r w:rsidR="009D06EA" w:rsidRPr="00195B67">
        <w:rPr>
          <w:lang w:eastAsia="en-US"/>
        </w:rPr>
        <w:t xml:space="preserve"> what the term means or how to dispose of </w:t>
      </w:r>
      <w:r w:rsidR="00BC2AC4" w:rsidRPr="00195B67">
        <w:rPr>
          <w:lang w:eastAsia="en-US"/>
        </w:rPr>
        <w:t>these</w:t>
      </w:r>
      <w:r w:rsidR="009D06EA" w:rsidRPr="00195B67">
        <w:rPr>
          <w:lang w:eastAsia="en-US"/>
        </w:rPr>
        <w:t xml:space="preserve"> items correctly. </w:t>
      </w:r>
      <w:r w:rsidR="008D0FD5" w:rsidRPr="00195B67">
        <w:rPr>
          <w:lang w:eastAsia="en-US"/>
        </w:rPr>
        <w:t xml:space="preserve">One </w:t>
      </w:r>
      <w:proofErr w:type="gramStart"/>
      <w:r w:rsidR="008D0FD5" w:rsidRPr="00195B67">
        <w:rPr>
          <w:lang w:eastAsia="en-US"/>
        </w:rPr>
        <w:t>general public</w:t>
      </w:r>
      <w:proofErr w:type="gramEnd"/>
      <w:r w:rsidR="008D0FD5" w:rsidRPr="00195B67">
        <w:rPr>
          <w:lang w:eastAsia="en-US"/>
        </w:rPr>
        <w:t xml:space="preserve"> submitter noted:</w:t>
      </w:r>
    </w:p>
    <w:p w14:paraId="38A86354" w14:textId="2E305039" w:rsidR="0077370C" w:rsidRPr="00195B67" w:rsidRDefault="008D0FD5" w:rsidP="00EB0072">
      <w:pPr>
        <w:pStyle w:val="Quote"/>
        <w:rPr>
          <w:lang w:eastAsia="en-US"/>
        </w:rPr>
      </w:pPr>
      <w:r w:rsidRPr="00195B67">
        <w:rPr>
          <w:lang w:eastAsia="en-US"/>
        </w:rPr>
        <w:t xml:space="preserve">… the </w:t>
      </w:r>
      <w:proofErr w:type="gramStart"/>
      <w:r w:rsidRPr="00195B67">
        <w:rPr>
          <w:lang w:eastAsia="en-US"/>
        </w:rPr>
        <w:t>green-washing</w:t>
      </w:r>
      <w:proofErr w:type="gramEnd"/>
      <w:r w:rsidRPr="00195B67">
        <w:rPr>
          <w:lang w:eastAsia="en-US"/>
        </w:rPr>
        <w:t xml:space="preserve"> associated with these products threatens to undermine the public education that is required to make reuse and recycling models more efficient and free of contaminants.</w:t>
      </w:r>
      <w:r w:rsidR="001E43D6" w:rsidRPr="00195B67">
        <w:rPr>
          <w:vertAlign w:val="superscript"/>
          <w:lang w:eastAsia="en-US"/>
        </w:rPr>
        <w:footnoteReference w:id="5"/>
      </w:r>
    </w:p>
    <w:p w14:paraId="2E20C831" w14:textId="3AB514F8" w:rsidR="0077370C" w:rsidRPr="00195B67" w:rsidRDefault="0077370C" w:rsidP="00EB0072">
      <w:pPr>
        <w:pStyle w:val="BodyText"/>
        <w:rPr>
          <w:lang w:eastAsia="en-US"/>
        </w:rPr>
      </w:pPr>
      <w:r w:rsidRPr="00195B67">
        <w:rPr>
          <w:lang w:eastAsia="en-US"/>
        </w:rPr>
        <w:t>Another submitter captured the confusing nature of oxo-degradable plastics stating:</w:t>
      </w:r>
    </w:p>
    <w:p w14:paraId="4FF24ADB" w14:textId="3B652B90" w:rsidR="0077370C" w:rsidRPr="00195B67" w:rsidRDefault="0077370C" w:rsidP="00EB0072">
      <w:pPr>
        <w:pStyle w:val="Quote"/>
        <w:rPr>
          <w:lang w:eastAsia="en-US"/>
        </w:rPr>
      </w:pPr>
      <w:r w:rsidRPr="00195B67">
        <w:rPr>
          <w:lang w:eastAsia="en-US"/>
        </w:rPr>
        <w:t xml:space="preserve">You think you are buying ones that decompose but they are </w:t>
      </w:r>
      <w:proofErr w:type="gramStart"/>
      <w:r w:rsidRPr="00195B67">
        <w:rPr>
          <w:lang w:eastAsia="en-US"/>
        </w:rPr>
        <w:t>actually still</w:t>
      </w:r>
      <w:proofErr w:type="gramEnd"/>
      <w:r w:rsidRPr="00195B67">
        <w:rPr>
          <w:lang w:eastAsia="en-US"/>
        </w:rPr>
        <w:t xml:space="preserve"> made of petroleum products that just break down into micro plastics. Oxo degradable plastics gone forever ASAP please</w:t>
      </w:r>
      <w:r w:rsidR="002954B7" w:rsidRPr="00195B67">
        <w:rPr>
          <w:lang w:eastAsia="en-US"/>
        </w:rPr>
        <w:t>.</w:t>
      </w:r>
      <w:r w:rsidR="001E43D6" w:rsidRPr="00195B67">
        <w:rPr>
          <w:vertAlign w:val="superscript"/>
          <w:lang w:eastAsia="en-US"/>
        </w:rPr>
        <w:footnoteReference w:id="6"/>
      </w:r>
    </w:p>
    <w:p w14:paraId="3BFB38BE" w14:textId="3344F7A6" w:rsidR="0077370C" w:rsidRPr="00195B67" w:rsidRDefault="0034561D" w:rsidP="00EB0072">
      <w:pPr>
        <w:pStyle w:val="BodyText"/>
      </w:pPr>
      <w:r w:rsidRPr="00195B67">
        <w:rPr>
          <w:lang w:eastAsia="en-US"/>
        </w:rPr>
        <w:t>O</w:t>
      </w:r>
      <w:r w:rsidR="0066306C" w:rsidRPr="00195B67">
        <w:rPr>
          <w:lang w:eastAsia="en-US"/>
        </w:rPr>
        <w:t>xo-degradable plastics cause public confusion and are relatively new in the New Zealand market. This provide</w:t>
      </w:r>
      <w:r w:rsidRPr="00195B67">
        <w:rPr>
          <w:lang w:eastAsia="en-US"/>
        </w:rPr>
        <w:t>s</w:t>
      </w:r>
      <w:r w:rsidR="0066306C" w:rsidRPr="00195B67">
        <w:rPr>
          <w:lang w:eastAsia="en-US"/>
        </w:rPr>
        <w:t xml:space="preserve"> New Zealand </w:t>
      </w:r>
      <w:r w:rsidR="00E32155" w:rsidRPr="00195B67">
        <w:rPr>
          <w:lang w:eastAsia="en-US"/>
        </w:rPr>
        <w:t xml:space="preserve">with </w:t>
      </w:r>
      <w:r w:rsidR="0066306C" w:rsidRPr="00195B67">
        <w:rPr>
          <w:lang w:eastAsia="en-US"/>
        </w:rPr>
        <w:t xml:space="preserve">an opportunity to remove these items from </w:t>
      </w:r>
      <w:r w:rsidR="00CD780D" w:rsidRPr="00195B67">
        <w:rPr>
          <w:lang w:eastAsia="en-US"/>
        </w:rPr>
        <w:t xml:space="preserve">its </w:t>
      </w:r>
      <w:r w:rsidR="0066306C" w:rsidRPr="00195B67">
        <w:rPr>
          <w:lang w:eastAsia="en-US"/>
        </w:rPr>
        <w:t xml:space="preserve">system </w:t>
      </w:r>
      <w:r w:rsidR="0066306C" w:rsidRPr="00195B67">
        <w:t xml:space="preserve">before they become too widespread. </w:t>
      </w:r>
    </w:p>
    <w:p w14:paraId="42C7E24E" w14:textId="03E9F4E1" w:rsidR="00EB0072" w:rsidRPr="00195B67" w:rsidRDefault="000E2FAB" w:rsidP="00EB0072">
      <w:pPr>
        <w:pStyle w:val="Heading2"/>
        <w:rPr>
          <w:rFonts w:eastAsia="Times New Roman"/>
        </w:rPr>
      </w:pPr>
      <w:bookmarkStart w:id="21" w:name="_Toc72137496"/>
      <w:r w:rsidRPr="00195B67">
        <w:rPr>
          <w:rFonts w:eastAsia="Times New Roman"/>
        </w:rPr>
        <w:lastRenderedPageBreak/>
        <w:t>Most</w:t>
      </w:r>
      <w:r w:rsidR="008042A7" w:rsidRPr="00195B67">
        <w:rPr>
          <w:rFonts w:eastAsia="Times New Roman"/>
        </w:rPr>
        <w:t xml:space="preserve"> submitters</w:t>
      </w:r>
      <w:r w:rsidR="002F2CCF" w:rsidRPr="00195B67">
        <w:rPr>
          <w:rFonts w:eastAsia="Times New Roman"/>
        </w:rPr>
        <w:t xml:space="preserve"> support</w:t>
      </w:r>
      <w:r w:rsidR="008042A7" w:rsidRPr="00195B67">
        <w:rPr>
          <w:rFonts w:eastAsia="Times New Roman"/>
        </w:rPr>
        <w:t xml:space="preserve"> proposed timeframes</w:t>
      </w:r>
      <w:r w:rsidR="001A408A" w:rsidRPr="00195B67">
        <w:rPr>
          <w:rFonts w:eastAsia="Times New Roman"/>
        </w:rPr>
        <w:t>, many</w:t>
      </w:r>
      <w:r w:rsidRPr="00195B67">
        <w:rPr>
          <w:rFonts w:eastAsia="Times New Roman"/>
        </w:rPr>
        <w:t> </w:t>
      </w:r>
      <w:r w:rsidR="008042A7" w:rsidRPr="00195B67">
        <w:rPr>
          <w:rFonts w:eastAsia="Times New Roman"/>
        </w:rPr>
        <w:t xml:space="preserve">wanted faster </w:t>
      </w:r>
      <w:proofErr w:type="gramStart"/>
      <w:r w:rsidR="008042A7" w:rsidRPr="00195B67">
        <w:rPr>
          <w:rFonts w:eastAsia="Times New Roman"/>
        </w:rPr>
        <w:t>action</w:t>
      </w:r>
      <w:bookmarkEnd w:id="21"/>
      <w:proofErr w:type="gramEnd"/>
    </w:p>
    <w:p w14:paraId="6DCF132A" w14:textId="0AFFAC34" w:rsidR="00807D7D" w:rsidRPr="00195B67" w:rsidRDefault="0049611F" w:rsidP="00943AEA">
      <w:pPr>
        <w:pStyle w:val="BodyText"/>
      </w:pPr>
      <w:r w:rsidRPr="00195B67">
        <w:t xml:space="preserve">The Government </w:t>
      </w:r>
      <w:r w:rsidR="009F7516" w:rsidRPr="00195B67">
        <w:t>proposed</w:t>
      </w:r>
      <w:r w:rsidR="00807D7D" w:rsidRPr="00195B67">
        <w:t xml:space="preserve"> the following </w:t>
      </w:r>
      <w:r w:rsidR="009F7516" w:rsidRPr="00195B67">
        <w:t>staged approach to phasing out hard</w:t>
      </w:r>
      <w:r w:rsidR="0031353F" w:rsidRPr="00195B67">
        <w:t>-</w:t>
      </w:r>
      <w:r w:rsidR="009F7516" w:rsidRPr="00195B67">
        <w:t>to</w:t>
      </w:r>
      <w:r w:rsidR="0031353F" w:rsidRPr="00195B67">
        <w:t>-</w:t>
      </w:r>
      <w:r w:rsidR="009F7516" w:rsidRPr="00195B67">
        <w:t>recycle plastics</w:t>
      </w:r>
      <w:r w:rsidR="001B5A75" w:rsidRPr="00195B67">
        <w:t>. This is</w:t>
      </w:r>
      <w:r w:rsidR="003F2988" w:rsidRPr="00195B67">
        <w:t xml:space="preserve"> </w:t>
      </w:r>
      <w:r w:rsidR="009F7516" w:rsidRPr="00195B67">
        <w:t>to ensure manufacturers and businesses have adequate time to shift their packaging to</w:t>
      </w:r>
      <w:r w:rsidR="00943AEA" w:rsidRPr="00195B67">
        <w:t> </w:t>
      </w:r>
      <w:r w:rsidR="009F7516" w:rsidRPr="00195B67">
        <w:t xml:space="preserve">sustainable alternatives, while also balancing environmental impacts. </w:t>
      </w:r>
    </w:p>
    <w:p w14:paraId="7FE81079" w14:textId="678FF576" w:rsidR="00807D7D" w:rsidRPr="00195B67" w:rsidRDefault="00807D7D" w:rsidP="00943AEA">
      <w:pPr>
        <w:pStyle w:val="BodyText"/>
      </w:pPr>
      <w:r w:rsidRPr="00195B67">
        <w:t>Stage 1 – soon (2023)</w:t>
      </w:r>
      <w:r w:rsidR="001A408A" w:rsidRPr="00195B67">
        <w:t>:</w:t>
      </w:r>
    </w:p>
    <w:p w14:paraId="790AB580" w14:textId="7A0BE629" w:rsidR="00807D7D" w:rsidRPr="00195B67" w:rsidRDefault="00807D7D" w:rsidP="00943AEA">
      <w:pPr>
        <w:pStyle w:val="Bullet"/>
      </w:pPr>
      <w:r w:rsidRPr="00195B67">
        <w:t>all food and beverage PVC packaging</w:t>
      </w:r>
    </w:p>
    <w:p w14:paraId="3589BD5D" w14:textId="5B654B12" w:rsidR="00807D7D" w:rsidRPr="00195B67" w:rsidRDefault="00807D7D" w:rsidP="00943AEA">
      <w:pPr>
        <w:pStyle w:val="Bullet"/>
      </w:pPr>
      <w:r w:rsidRPr="00195B67">
        <w:t xml:space="preserve">some food and beverage items that contain PVC </w:t>
      </w:r>
      <w:proofErr w:type="gramStart"/>
      <w:r w:rsidRPr="00195B67">
        <w:t>packaging</w:t>
      </w:r>
      <w:proofErr w:type="gramEnd"/>
    </w:p>
    <w:p w14:paraId="57FDCA54" w14:textId="18C88B95" w:rsidR="00457DA4" w:rsidRPr="00195B67" w:rsidRDefault="00457DA4" w:rsidP="00943AEA">
      <w:pPr>
        <w:pStyle w:val="Bullet"/>
      </w:pPr>
      <w:r w:rsidRPr="00195B67">
        <w:t>all oxo-degradable plastic items</w:t>
      </w:r>
      <w:r w:rsidR="001A408A" w:rsidRPr="00195B67">
        <w:t>.</w:t>
      </w:r>
    </w:p>
    <w:p w14:paraId="0F552C7F" w14:textId="609F9331" w:rsidR="00807D7D" w:rsidRPr="00195B67" w:rsidRDefault="00807D7D" w:rsidP="00943AEA">
      <w:pPr>
        <w:pStyle w:val="BodyText"/>
      </w:pPr>
      <w:r w:rsidRPr="00195B67">
        <w:t>Stage 2 – later (2025)</w:t>
      </w:r>
      <w:r w:rsidR="001A408A" w:rsidRPr="00195B67">
        <w:t>:</w:t>
      </w:r>
    </w:p>
    <w:p w14:paraId="6E50D23F" w14:textId="41640B51" w:rsidR="00807D7D" w:rsidRPr="00195B67" w:rsidRDefault="00807D7D" w:rsidP="00943AEA">
      <w:pPr>
        <w:pStyle w:val="Bullet"/>
      </w:pPr>
      <w:r w:rsidRPr="00195B67">
        <w:t xml:space="preserve">all food and beverage items that contain polystyrene packaging not captured in </w:t>
      </w:r>
      <w:r w:rsidR="00C20ADC" w:rsidRPr="00195B67">
        <w:t>S</w:t>
      </w:r>
      <w:r w:rsidRPr="00195B67">
        <w:t xml:space="preserve">tage </w:t>
      </w:r>
      <w:proofErr w:type="gramStart"/>
      <w:r w:rsidRPr="00195B67">
        <w:t>1</w:t>
      </w:r>
      <w:proofErr w:type="gramEnd"/>
    </w:p>
    <w:p w14:paraId="5495AD7D" w14:textId="64DEA440" w:rsidR="00807D7D" w:rsidRPr="00195B67" w:rsidRDefault="00807D7D" w:rsidP="00943AEA">
      <w:pPr>
        <w:pStyle w:val="Bullet"/>
      </w:pPr>
      <w:r w:rsidRPr="00195B67">
        <w:t>all expanded polystyrene (EPS) packaging</w:t>
      </w:r>
      <w:r w:rsidR="001A408A" w:rsidRPr="00195B67">
        <w:t>.</w:t>
      </w:r>
    </w:p>
    <w:p w14:paraId="5221C730" w14:textId="7D96B7C3" w:rsidR="00E751CE" w:rsidRPr="00195B67" w:rsidRDefault="008042A7" w:rsidP="00943AEA">
      <w:pPr>
        <w:pStyle w:val="BodyText"/>
      </w:pPr>
      <w:r w:rsidRPr="00195B67">
        <w:rPr>
          <w:rFonts w:asciiTheme="minorHAnsi" w:hAnsiTheme="minorHAnsi" w:cstheme="minorHAnsi"/>
        </w:rPr>
        <w:t>Overall</w:t>
      </w:r>
      <w:r w:rsidR="00F157FA" w:rsidRPr="00195B67">
        <w:rPr>
          <w:rFonts w:asciiTheme="minorHAnsi" w:hAnsiTheme="minorHAnsi" w:cstheme="minorHAnsi"/>
        </w:rPr>
        <w:t>,</w:t>
      </w:r>
      <w:r w:rsidRPr="00195B67">
        <w:rPr>
          <w:rFonts w:asciiTheme="minorHAnsi" w:hAnsiTheme="minorHAnsi" w:cstheme="minorHAnsi"/>
        </w:rPr>
        <w:t xml:space="preserve"> 56 </w:t>
      </w:r>
      <w:r w:rsidR="001A408A" w:rsidRPr="00195B67">
        <w:rPr>
          <w:rFonts w:asciiTheme="minorHAnsi" w:hAnsiTheme="minorHAnsi" w:cstheme="minorHAnsi"/>
        </w:rPr>
        <w:t xml:space="preserve">per cent </w:t>
      </w:r>
      <w:r w:rsidRPr="00195B67">
        <w:rPr>
          <w:rFonts w:asciiTheme="minorHAnsi" w:hAnsiTheme="minorHAnsi" w:cstheme="minorHAnsi"/>
        </w:rPr>
        <w:t>of submitters supported the proposed</w:t>
      </w:r>
      <w:r w:rsidRPr="00195B67">
        <w:t xml:space="preserve"> staged </w:t>
      </w:r>
      <w:r w:rsidR="00207CB8" w:rsidRPr="00195B67">
        <w:t>phase-out</w:t>
      </w:r>
      <w:r w:rsidRPr="00195B67">
        <w:t xml:space="preserve"> timeframes of</w:t>
      </w:r>
      <w:r w:rsidR="000F2352" w:rsidRPr="00195B67">
        <w:t> </w:t>
      </w:r>
      <w:r w:rsidRPr="00195B67">
        <w:t>2023</w:t>
      </w:r>
      <w:r w:rsidR="00C92105" w:rsidRPr="00195B67">
        <w:t xml:space="preserve"> to </w:t>
      </w:r>
      <w:r w:rsidRPr="00195B67">
        <w:t>2025 for PVC and polystyrene food and beverage packaging</w:t>
      </w:r>
      <w:r w:rsidR="00660699" w:rsidRPr="00195B67">
        <w:t xml:space="preserve"> (figure 6)</w:t>
      </w:r>
      <w:r w:rsidRPr="00195B67">
        <w:t xml:space="preserve">. </w:t>
      </w:r>
      <w:r w:rsidR="007A18DC" w:rsidRPr="00195B67">
        <w:t>A</w:t>
      </w:r>
      <w:r w:rsidRPr="00195B67">
        <w:t xml:space="preserve"> significant portion of submitters (41 </w:t>
      </w:r>
      <w:r w:rsidR="001A408A" w:rsidRPr="00195B67">
        <w:t>per cent</w:t>
      </w:r>
      <w:r w:rsidRPr="00195B67">
        <w:t>)</w:t>
      </w:r>
      <w:r w:rsidR="007A18DC" w:rsidRPr="00195B67">
        <w:t>, however,</w:t>
      </w:r>
      <w:r w:rsidR="00447B1E" w:rsidRPr="00195B67">
        <w:t xml:space="preserve"> wanted </w:t>
      </w:r>
      <w:r w:rsidR="00725BC3">
        <w:t>faster action</w:t>
      </w:r>
      <w:r w:rsidR="003F4C9C" w:rsidRPr="00195B67">
        <w:t>, many preferring a 12</w:t>
      </w:r>
      <w:r w:rsidR="00EB5BA2" w:rsidRPr="00195B67">
        <w:noBreakHyphen/>
        <w:t> </w:t>
      </w:r>
      <w:r w:rsidR="003F4C9C" w:rsidRPr="00195B67">
        <w:t>or</w:t>
      </w:r>
      <w:r w:rsidR="00EB5BA2" w:rsidRPr="00195B67">
        <w:t> </w:t>
      </w:r>
      <w:r w:rsidR="003F4C9C" w:rsidRPr="00195B67">
        <w:t>18</w:t>
      </w:r>
      <w:r w:rsidR="00943AEA" w:rsidRPr="00195B67">
        <w:noBreakHyphen/>
      </w:r>
      <w:r w:rsidR="003F4C9C" w:rsidRPr="00195B67">
        <w:t>month phase-out period for all in-scope items</w:t>
      </w:r>
      <w:r w:rsidR="00D017D6" w:rsidRPr="00195B67">
        <w:t>.</w:t>
      </w:r>
      <w:r w:rsidR="003F4C9C" w:rsidRPr="00195B67">
        <w:t xml:space="preserve"> </w:t>
      </w:r>
      <w:r w:rsidR="00D017D6" w:rsidRPr="00195B67">
        <w:t>O</w:t>
      </w:r>
      <w:r w:rsidR="003F4C9C" w:rsidRPr="00195B67">
        <w:t>thers call</w:t>
      </w:r>
      <w:r w:rsidR="00D80BC9" w:rsidRPr="00195B67">
        <w:t>ed</w:t>
      </w:r>
      <w:r w:rsidR="003F4C9C" w:rsidRPr="00195B67">
        <w:t xml:space="preserve"> for it to happen as</w:t>
      </w:r>
      <w:r w:rsidR="00EB5BA2" w:rsidRPr="00195B67">
        <w:t> </w:t>
      </w:r>
      <w:r w:rsidR="003F4C9C" w:rsidRPr="00195B67">
        <w:t>soon as</w:t>
      </w:r>
      <w:r w:rsidR="00943AEA" w:rsidRPr="00195B67">
        <w:t> </w:t>
      </w:r>
      <w:r w:rsidR="003F4C9C" w:rsidRPr="00195B67">
        <w:t xml:space="preserve">possible. </w:t>
      </w:r>
    </w:p>
    <w:p w14:paraId="1850DF31" w14:textId="1A14BDC9" w:rsidR="00E751CE" w:rsidRPr="00195B67" w:rsidRDefault="00E751CE" w:rsidP="00943AEA">
      <w:pPr>
        <w:pStyle w:val="Figureheading"/>
      </w:pPr>
      <w:bookmarkStart w:id="22" w:name="_Toc72137532"/>
      <w:r w:rsidRPr="00195B67">
        <w:t xml:space="preserve">Figure </w:t>
      </w:r>
      <w:r w:rsidR="00430285" w:rsidRPr="00195B67">
        <w:t>6</w:t>
      </w:r>
      <w:r w:rsidR="002954B7" w:rsidRPr="00195B67">
        <w:t>:</w:t>
      </w:r>
      <w:r w:rsidRPr="00195B67">
        <w:t xml:space="preserve"> </w:t>
      </w:r>
      <w:r w:rsidR="00943AEA" w:rsidRPr="00195B67">
        <w:tab/>
      </w:r>
      <w:r w:rsidRPr="00195B67">
        <w:t>Overall preferences for phasing out PVC and polystyrene food and beverage packaging</w:t>
      </w:r>
      <w:r w:rsidR="0076327A" w:rsidRPr="00195B67">
        <w:t> </w:t>
      </w:r>
      <w:r w:rsidRPr="00195B67">
        <w:t xml:space="preserve">between 2023 and </w:t>
      </w:r>
      <w:proofErr w:type="gramStart"/>
      <w:r w:rsidRPr="00195B67">
        <w:t>2025</w:t>
      </w:r>
      <w:bookmarkEnd w:id="22"/>
      <w:proofErr w:type="gramEnd"/>
    </w:p>
    <w:p w14:paraId="2A03A25F" w14:textId="12638652" w:rsidR="00943AEA" w:rsidRPr="00195B67" w:rsidRDefault="001965B1" w:rsidP="00C92105">
      <w:pPr>
        <w:pStyle w:val="BodyText"/>
        <w:spacing w:after="0"/>
      </w:pPr>
      <w:r w:rsidRPr="00195B67">
        <w:rPr>
          <w:noProof/>
        </w:rPr>
        <w:drawing>
          <wp:inline distT="0" distB="0" distL="0" distR="0" wp14:anchorId="1BB0142E" wp14:editId="54D75DE0">
            <wp:extent cx="5457139" cy="3262579"/>
            <wp:effectExtent l="0" t="0" r="0" b="0"/>
            <wp:docPr id="6" name="Chart 6">
              <a:extLst xmlns:a="http://schemas.openxmlformats.org/drawingml/2006/main">
                <a:ext uri="{FF2B5EF4-FFF2-40B4-BE49-F238E27FC236}">
                  <a16:creationId xmlns:a16="http://schemas.microsoft.com/office/drawing/2014/main" id="{65487E24-50B8-434E-816C-4C1A12E15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24C232" w14:textId="3C84ABEA" w:rsidR="00C92105" w:rsidRPr="00195B67" w:rsidRDefault="00C92105" w:rsidP="00725BC3">
      <w:pPr>
        <w:pStyle w:val="Note"/>
        <w:spacing w:before="0"/>
      </w:pPr>
      <w:r w:rsidRPr="00195B67">
        <w:t xml:space="preserve">Note: </w:t>
      </w:r>
      <w:r w:rsidR="00C85F50" w:rsidRPr="00195B67">
        <w:t>T</w:t>
      </w:r>
      <w:r w:rsidRPr="00195B67">
        <w:t>he figure includes numbers from both short-form and substantive submissions.</w:t>
      </w:r>
    </w:p>
    <w:p w14:paraId="3AC17D43" w14:textId="23FBAE2B" w:rsidR="00070D15" w:rsidRPr="00195B67" w:rsidRDefault="009F7516" w:rsidP="00943AEA">
      <w:pPr>
        <w:pStyle w:val="Heading3"/>
      </w:pPr>
      <w:r w:rsidRPr="00195B67">
        <w:lastRenderedPageBreak/>
        <w:t xml:space="preserve">Industry and business submitters </w:t>
      </w:r>
      <w:r w:rsidR="00D14F85" w:rsidRPr="00195B67">
        <w:t>favour</w:t>
      </w:r>
      <w:r w:rsidR="00A13135" w:rsidRPr="00195B67">
        <w:t xml:space="preserve"> a longer lead</w:t>
      </w:r>
      <w:r w:rsidR="00660699" w:rsidRPr="00195B67">
        <w:t>-</w:t>
      </w:r>
      <w:r w:rsidR="00A13135" w:rsidRPr="00195B67">
        <w:t xml:space="preserve">in </w:t>
      </w:r>
      <w:proofErr w:type="gramStart"/>
      <w:r w:rsidR="00A13135" w:rsidRPr="00195B67">
        <w:t>time</w:t>
      </w:r>
      <w:proofErr w:type="gramEnd"/>
    </w:p>
    <w:p w14:paraId="3A83F82A" w14:textId="20C8644F" w:rsidR="0009553A" w:rsidRPr="00195B67" w:rsidRDefault="00246A20" w:rsidP="00943AEA">
      <w:pPr>
        <w:pStyle w:val="BodyText"/>
        <w:rPr>
          <w:lang w:eastAsia="en-US"/>
        </w:rPr>
      </w:pPr>
      <w:r w:rsidRPr="00195B67">
        <w:t>Figure 7</w:t>
      </w:r>
      <w:r w:rsidR="00C56042" w:rsidRPr="00195B67">
        <w:rPr>
          <w:lang w:eastAsia="en-US"/>
        </w:rPr>
        <w:t xml:space="preserve"> shows that some industry</w:t>
      </w:r>
      <w:r w:rsidRPr="00195B67">
        <w:rPr>
          <w:lang w:eastAsia="en-US"/>
        </w:rPr>
        <w:t xml:space="preserve"> and</w:t>
      </w:r>
      <w:r w:rsidR="00C56042" w:rsidRPr="00195B67">
        <w:rPr>
          <w:lang w:eastAsia="en-US"/>
        </w:rPr>
        <w:t xml:space="preserve"> special interest groups are concerned about the proposed timeframes</w:t>
      </w:r>
      <w:r w:rsidR="002B3ABB" w:rsidRPr="00195B67">
        <w:rPr>
          <w:lang w:eastAsia="en-US"/>
        </w:rPr>
        <w:t>. They</w:t>
      </w:r>
      <w:r w:rsidR="00C56042" w:rsidRPr="00195B67">
        <w:rPr>
          <w:lang w:eastAsia="en-US"/>
        </w:rPr>
        <w:t xml:space="preserve"> want more time to consider </w:t>
      </w:r>
      <w:r w:rsidR="009A08A3" w:rsidRPr="00195B67">
        <w:rPr>
          <w:lang w:eastAsia="en-US"/>
        </w:rPr>
        <w:t xml:space="preserve">the </w:t>
      </w:r>
      <w:r w:rsidR="0071762B" w:rsidRPr="00195B67">
        <w:rPr>
          <w:lang w:eastAsia="en-US"/>
        </w:rPr>
        <w:t>options</w:t>
      </w:r>
      <w:r w:rsidR="00C56042" w:rsidRPr="00195B67">
        <w:rPr>
          <w:lang w:eastAsia="en-US"/>
        </w:rPr>
        <w:t xml:space="preserve">, or further engagement with government, </w:t>
      </w:r>
      <w:proofErr w:type="gramStart"/>
      <w:r w:rsidR="00C56042" w:rsidRPr="00195B67">
        <w:rPr>
          <w:lang w:eastAsia="en-US"/>
        </w:rPr>
        <w:t>suppliers</w:t>
      </w:r>
      <w:proofErr w:type="gramEnd"/>
      <w:r w:rsidR="00C56042" w:rsidRPr="00195B67">
        <w:rPr>
          <w:lang w:eastAsia="en-US"/>
        </w:rPr>
        <w:t xml:space="preserve"> and retailers</w:t>
      </w:r>
      <w:r w:rsidR="00865EA9" w:rsidRPr="00195B67">
        <w:rPr>
          <w:lang w:eastAsia="en-US"/>
        </w:rPr>
        <w:t>,</w:t>
      </w:r>
      <w:r w:rsidR="00C56042" w:rsidRPr="00195B67">
        <w:rPr>
          <w:lang w:eastAsia="en-US"/>
        </w:rPr>
        <w:t xml:space="preserve"> to find appropriate and sustainable alternatives.</w:t>
      </w:r>
    </w:p>
    <w:p w14:paraId="23B523CC" w14:textId="5A7D1910" w:rsidR="00430285" w:rsidRPr="00195B67" w:rsidRDefault="00430285" w:rsidP="00943AEA">
      <w:pPr>
        <w:pStyle w:val="Figureheading"/>
      </w:pPr>
      <w:bookmarkStart w:id="23" w:name="_Toc72137533"/>
      <w:r w:rsidRPr="00195B67">
        <w:rPr>
          <w:lang w:eastAsia="en-US"/>
        </w:rPr>
        <w:t xml:space="preserve">Figure 7: </w:t>
      </w:r>
      <w:r w:rsidR="00943AEA" w:rsidRPr="00195B67">
        <w:rPr>
          <w:lang w:eastAsia="en-US"/>
        </w:rPr>
        <w:tab/>
      </w:r>
      <w:r w:rsidR="007E2251" w:rsidRPr="00195B67">
        <w:rPr>
          <w:lang w:eastAsia="en-US"/>
        </w:rPr>
        <w:t xml:space="preserve">Industry and special interest groups support </w:t>
      </w:r>
      <w:r w:rsidR="001B75B4" w:rsidRPr="00195B67">
        <w:rPr>
          <w:lang w:eastAsia="en-US"/>
        </w:rPr>
        <w:t xml:space="preserve">levels </w:t>
      </w:r>
      <w:r w:rsidR="007E2251" w:rsidRPr="00195B67">
        <w:rPr>
          <w:lang w:eastAsia="en-US"/>
        </w:rPr>
        <w:t xml:space="preserve">for </w:t>
      </w:r>
      <w:r w:rsidR="002954B7" w:rsidRPr="00195B67">
        <w:rPr>
          <w:lang w:eastAsia="en-US"/>
        </w:rPr>
        <w:t xml:space="preserve">proposed </w:t>
      </w:r>
      <w:r w:rsidR="007E2251" w:rsidRPr="00195B67">
        <w:t>t</w:t>
      </w:r>
      <w:r w:rsidRPr="00195B67">
        <w:t xml:space="preserve">imeframe </w:t>
      </w:r>
      <w:r w:rsidR="002954B7" w:rsidRPr="00195B67">
        <w:t>for</w:t>
      </w:r>
      <w:r w:rsidR="00F13047" w:rsidRPr="00195B67">
        <w:t> </w:t>
      </w:r>
      <w:r w:rsidRPr="00195B67">
        <w:t>phasing</w:t>
      </w:r>
      <w:r w:rsidR="002D2D93" w:rsidRPr="00195B67">
        <w:t> </w:t>
      </w:r>
      <w:r w:rsidRPr="00195B67">
        <w:t xml:space="preserve">out PVC food and beverage </w:t>
      </w:r>
      <w:proofErr w:type="gramStart"/>
      <w:r w:rsidRPr="00195B67">
        <w:t>packaging</w:t>
      </w:r>
      <w:bookmarkEnd w:id="23"/>
      <w:proofErr w:type="gramEnd"/>
    </w:p>
    <w:p w14:paraId="757CDCA1" w14:textId="4CBD219B" w:rsidR="00944A88" w:rsidRPr="00195B67" w:rsidRDefault="00C37BAA" w:rsidP="005E681E">
      <w:pPr>
        <w:spacing w:before="0" w:after="0"/>
      </w:pPr>
      <w:r w:rsidRPr="00195B67">
        <w:rPr>
          <w:noProof/>
        </w:rPr>
        <w:drawing>
          <wp:inline distT="0" distB="0" distL="0" distR="0" wp14:anchorId="5BD915B8" wp14:editId="7F91EC1A">
            <wp:extent cx="5080635" cy="3401568"/>
            <wp:effectExtent l="0" t="0" r="5715" b="2540"/>
            <wp:docPr id="15" name="Chart 15">
              <a:extLst xmlns:a="http://schemas.openxmlformats.org/drawingml/2006/main">
                <a:ext uri="{FF2B5EF4-FFF2-40B4-BE49-F238E27FC236}">
                  <a16:creationId xmlns:a16="http://schemas.microsoft.com/office/drawing/2014/main" id="{C8C06C4A-4FEB-49E5-A57D-C2096C340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BF0982" w14:textId="652D014D" w:rsidR="002D2D93" w:rsidRPr="00195B67" w:rsidRDefault="002D2D93" w:rsidP="00D4057E">
      <w:pPr>
        <w:pStyle w:val="Note"/>
        <w:spacing w:before="0"/>
      </w:pPr>
      <w:r w:rsidRPr="00195B67">
        <w:t xml:space="preserve">Note: </w:t>
      </w:r>
      <w:r w:rsidR="00D93532" w:rsidRPr="00195B67">
        <w:t>The f</w:t>
      </w:r>
      <w:r w:rsidRPr="00195B67">
        <w:t xml:space="preserve">igure includes numbers from both short-form and substantive submissions (excluding submissions received from </w:t>
      </w:r>
      <w:proofErr w:type="gramStart"/>
      <w:r w:rsidRPr="00195B67">
        <w:t>general public</w:t>
      </w:r>
      <w:proofErr w:type="gramEnd"/>
      <w:r w:rsidRPr="00195B67">
        <w:t xml:space="preserve"> submitters).</w:t>
      </w:r>
    </w:p>
    <w:p w14:paraId="60E65AA1" w14:textId="79679399" w:rsidR="00EC3FD5" w:rsidRPr="00195B67" w:rsidRDefault="00EC3FD5" w:rsidP="00943AEA">
      <w:pPr>
        <w:pStyle w:val="BodyText"/>
        <w:rPr>
          <w:lang w:eastAsia="en-US"/>
        </w:rPr>
      </w:pPr>
      <w:r w:rsidRPr="00195B67">
        <w:rPr>
          <w:lang w:eastAsia="en-US"/>
        </w:rPr>
        <w:t>Manufacturers, the plastic industry, and other industry</w:t>
      </w:r>
      <w:r w:rsidR="00C2707E" w:rsidRPr="00195B67">
        <w:rPr>
          <w:lang w:eastAsia="en-US"/>
        </w:rPr>
        <w:t xml:space="preserve"> and</w:t>
      </w:r>
      <w:r w:rsidRPr="00195B67">
        <w:rPr>
          <w:lang w:eastAsia="en-US"/>
        </w:rPr>
        <w:t xml:space="preserve"> business </w:t>
      </w:r>
      <w:r w:rsidR="00C2707E" w:rsidRPr="00195B67">
        <w:rPr>
          <w:lang w:eastAsia="en-US"/>
        </w:rPr>
        <w:t xml:space="preserve">submitters </w:t>
      </w:r>
      <w:r w:rsidRPr="00195B67">
        <w:rPr>
          <w:lang w:eastAsia="en-US"/>
        </w:rPr>
        <w:t xml:space="preserve">were most likely to either want more time before </w:t>
      </w:r>
      <w:r w:rsidR="00207CB8" w:rsidRPr="00195B67">
        <w:rPr>
          <w:lang w:eastAsia="en-US"/>
        </w:rPr>
        <w:t>phase</w:t>
      </w:r>
      <w:r w:rsidR="00C2707E" w:rsidRPr="00195B67">
        <w:rPr>
          <w:lang w:eastAsia="en-US"/>
        </w:rPr>
        <w:t xml:space="preserve"> </w:t>
      </w:r>
      <w:r w:rsidR="00207CB8" w:rsidRPr="00195B67">
        <w:rPr>
          <w:lang w:eastAsia="en-US"/>
        </w:rPr>
        <w:t>out</w:t>
      </w:r>
      <w:r w:rsidRPr="00195B67">
        <w:rPr>
          <w:lang w:eastAsia="en-US"/>
        </w:rPr>
        <w:t xml:space="preserve">s come into force or signalled no support </w:t>
      </w:r>
      <w:r w:rsidR="00C02EAF" w:rsidRPr="00195B67">
        <w:rPr>
          <w:lang w:eastAsia="en-US"/>
        </w:rPr>
        <w:t>f</w:t>
      </w:r>
      <w:r w:rsidRPr="00195B67">
        <w:rPr>
          <w:lang w:eastAsia="en-US"/>
        </w:rPr>
        <w:t xml:space="preserve">or the proposed timeframes. </w:t>
      </w:r>
    </w:p>
    <w:p w14:paraId="571C8654" w14:textId="456FC5C4" w:rsidR="00EC3FD5" w:rsidRPr="00195B67" w:rsidRDefault="00EC3FD5" w:rsidP="00943AEA">
      <w:pPr>
        <w:pStyle w:val="BodyText"/>
        <w:rPr>
          <w:lang w:eastAsia="en-US"/>
        </w:rPr>
      </w:pPr>
      <w:r w:rsidRPr="00195B67">
        <w:rPr>
          <w:lang w:eastAsia="en-US"/>
        </w:rPr>
        <w:t>As discussed in</w:t>
      </w:r>
      <w:r w:rsidR="005D1027" w:rsidRPr="00195B67">
        <w:rPr>
          <w:lang w:eastAsia="en-US"/>
        </w:rPr>
        <w:t xml:space="preserve"> the</w:t>
      </w:r>
      <w:r w:rsidRPr="00195B67">
        <w:rPr>
          <w:lang w:eastAsia="en-US"/>
        </w:rPr>
        <w:t xml:space="preserve"> </w:t>
      </w:r>
      <w:r w:rsidR="002B3FFA" w:rsidRPr="00195B67">
        <w:rPr>
          <w:lang w:eastAsia="en-US"/>
        </w:rPr>
        <w:t>following sections</w:t>
      </w:r>
      <w:r w:rsidRPr="00195B67">
        <w:rPr>
          <w:lang w:eastAsia="en-US"/>
        </w:rPr>
        <w:t xml:space="preserve">, </w:t>
      </w:r>
      <w:r w:rsidR="005D1027" w:rsidRPr="00195B67">
        <w:rPr>
          <w:lang w:eastAsia="en-US"/>
        </w:rPr>
        <w:t xml:space="preserve">some of the </w:t>
      </w:r>
      <w:r w:rsidRPr="00195B67">
        <w:rPr>
          <w:lang w:eastAsia="en-US"/>
        </w:rPr>
        <w:t>concerns raised by individual industries or businesses are related to specific items or use</w:t>
      </w:r>
      <w:r w:rsidR="0034561D" w:rsidRPr="00195B67">
        <w:rPr>
          <w:lang w:eastAsia="en-US"/>
        </w:rPr>
        <w:t>s</w:t>
      </w:r>
      <w:r w:rsidRPr="00195B67">
        <w:rPr>
          <w:lang w:eastAsia="en-US"/>
        </w:rPr>
        <w:t xml:space="preserve"> for PVC and polystyrene in food and beverage packaging</w:t>
      </w:r>
      <w:r w:rsidR="008F18B9" w:rsidRPr="00195B67">
        <w:rPr>
          <w:lang w:eastAsia="en-US"/>
        </w:rPr>
        <w:t>, rather than an overall dis</w:t>
      </w:r>
      <w:r w:rsidR="00F80DA1" w:rsidRPr="00195B67">
        <w:rPr>
          <w:lang w:eastAsia="en-US"/>
        </w:rPr>
        <w:t>agreement</w:t>
      </w:r>
      <w:r w:rsidR="008F18B9" w:rsidRPr="00195B67">
        <w:rPr>
          <w:lang w:eastAsia="en-US"/>
        </w:rPr>
        <w:t xml:space="preserve"> </w:t>
      </w:r>
      <w:r w:rsidR="00F80DA1" w:rsidRPr="00195B67">
        <w:rPr>
          <w:lang w:eastAsia="en-US"/>
        </w:rPr>
        <w:t>with</w:t>
      </w:r>
      <w:r w:rsidR="008F18B9" w:rsidRPr="00195B67">
        <w:rPr>
          <w:lang w:eastAsia="en-US"/>
        </w:rPr>
        <w:t xml:space="preserve"> </w:t>
      </w:r>
      <w:proofErr w:type="gramStart"/>
      <w:r w:rsidR="00F80DA1" w:rsidRPr="00195B67">
        <w:rPr>
          <w:lang w:eastAsia="en-US"/>
        </w:rPr>
        <w:t>taking action</w:t>
      </w:r>
      <w:proofErr w:type="gramEnd"/>
      <w:r w:rsidR="00F80DA1" w:rsidRPr="00195B67">
        <w:rPr>
          <w:lang w:eastAsia="en-US"/>
        </w:rPr>
        <w:t xml:space="preserve"> on problematic plastics.</w:t>
      </w:r>
      <w:r w:rsidR="008F18B9" w:rsidRPr="00195B67">
        <w:rPr>
          <w:lang w:eastAsia="en-US"/>
        </w:rPr>
        <w:t xml:space="preserve"> </w:t>
      </w:r>
    </w:p>
    <w:p w14:paraId="347758B6" w14:textId="15963F0F" w:rsidR="00943AEA" w:rsidRPr="00195B67" w:rsidRDefault="008F18B9" w:rsidP="00943AEA">
      <w:pPr>
        <w:pStyle w:val="Heading2"/>
        <w:rPr>
          <w:rFonts w:eastAsia="Times New Roman"/>
        </w:rPr>
      </w:pPr>
      <w:bookmarkStart w:id="24" w:name="_Toc72137497"/>
      <w:r w:rsidRPr="00195B67">
        <w:rPr>
          <w:rFonts w:eastAsia="Times New Roman"/>
        </w:rPr>
        <w:t>S</w:t>
      </w:r>
      <w:r w:rsidR="002F455C" w:rsidRPr="00195B67">
        <w:rPr>
          <w:rFonts w:eastAsia="Times New Roman"/>
        </w:rPr>
        <w:t xml:space="preserve">ome items are more challenging to </w:t>
      </w:r>
      <w:r w:rsidR="00207CB8" w:rsidRPr="00195B67">
        <w:rPr>
          <w:rFonts w:eastAsia="Times New Roman"/>
        </w:rPr>
        <w:t>phase</w:t>
      </w:r>
      <w:r w:rsidR="00D80193" w:rsidRPr="00195B67">
        <w:rPr>
          <w:rFonts w:eastAsia="Times New Roman"/>
        </w:rPr>
        <w:t xml:space="preserve"> </w:t>
      </w:r>
      <w:r w:rsidR="00207CB8" w:rsidRPr="00195B67">
        <w:rPr>
          <w:rFonts w:eastAsia="Times New Roman"/>
        </w:rPr>
        <w:t>out</w:t>
      </w:r>
      <w:r w:rsidR="002F455C" w:rsidRPr="00195B67">
        <w:rPr>
          <w:rFonts w:eastAsia="Times New Roman"/>
        </w:rPr>
        <w:t>, requiring</w:t>
      </w:r>
      <w:r w:rsidR="00943AEA" w:rsidRPr="00195B67">
        <w:rPr>
          <w:rFonts w:eastAsia="Times New Roman"/>
        </w:rPr>
        <w:t> </w:t>
      </w:r>
      <w:r w:rsidR="002F455C" w:rsidRPr="00195B67">
        <w:rPr>
          <w:rFonts w:eastAsia="Times New Roman"/>
        </w:rPr>
        <w:t xml:space="preserve">a longer lead-in </w:t>
      </w:r>
      <w:proofErr w:type="gramStart"/>
      <w:r w:rsidR="002F455C" w:rsidRPr="00195B67">
        <w:t>time</w:t>
      </w:r>
      <w:bookmarkEnd w:id="24"/>
      <w:proofErr w:type="gramEnd"/>
    </w:p>
    <w:p w14:paraId="055968BD" w14:textId="7FB635FC" w:rsidR="00C1040F" w:rsidRPr="00195B67" w:rsidRDefault="008F6E28" w:rsidP="00943AEA">
      <w:pPr>
        <w:pStyle w:val="BodyText"/>
      </w:pPr>
      <w:r w:rsidRPr="00195B67">
        <w:t>Although</w:t>
      </w:r>
      <w:r w:rsidR="00C02EAF" w:rsidRPr="00195B67">
        <w:t xml:space="preserve"> </w:t>
      </w:r>
      <w:r w:rsidR="00D80193" w:rsidRPr="00195B67">
        <w:t>most</w:t>
      </w:r>
      <w:r w:rsidRPr="00195B67">
        <w:t xml:space="preserve"> submitters supported more action on plastics, some applications for PVC and </w:t>
      </w:r>
      <w:r w:rsidR="00D80193" w:rsidRPr="00195B67">
        <w:t>p</w:t>
      </w:r>
      <w:r w:rsidRPr="00195B67">
        <w:t xml:space="preserve">olystyrene food and beverage packaging present unique challenges to manufacturers, producers, </w:t>
      </w:r>
      <w:proofErr w:type="gramStart"/>
      <w:r w:rsidRPr="00195B67">
        <w:t>recyclers</w:t>
      </w:r>
      <w:proofErr w:type="gramEnd"/>
      <w:r w:rsidRPr="00195B67">
        <w:t xml:space="preserve"> and consumers. </w:t>
      </w:r>
    </w:p>
    <w:p w14:paraId="36960157" w14:textId="38CC6EDF" w:rsidR="00A50F32" w:rsidRPr="00195B67" w:rsidRDefault="00A50F32" w:rsidP="00E7168C">
      <w:pPr>
        <w:pStyle w:val="Heading3"/>
        <w:spacing w:before="240"/>
      </w:pPr>
      <w:r w:rsidRPr="00195B67">
        <w:t>Timeframes</w:t>
      </w:r>
    </w:p>
    <w:p w14:paraId="6EDE251C" w14:textId="0C42055A" w:rsidR="00A50F32" w:rsidRPr="00195B67" w:rsidRDefault="00A50F32" w:rsidP="005E681E">
      <w:pPr>
        <w:pStyle w:val="BodyText"/>
      </w:pPr>
      <w:r w:rsidRPr="00195B67">
        <w:t xml:space="preserve">We heard calls to stage certain </w:t>
      </w:r>
      <w:r w:rsidR="00207CB8" w:rsidRPr="00195B67">
        <w:t>phase</w:t>
      </w:r>
      <w:r w:rsidR="00CB05DA" w:rsidRPr="00195B67">
        <w:t xml:space="preserve"> </w:t>
      </w:r>
      <w:r w:rsidR="00207CB8" w:rsidRPr="00195B67">
        <w:t>out</w:t>
      </w:r>
      <w:r w:rsidRPr="00195B67">
        <w:t>s later than the proposed timeframes</w:t>
      </w:r>
      <w:r w:rsidR="002B0DEF" w:rsidRPr="00195B67">
        <w:t>,</w:t>
      </w:r>
      <w:r w:rsidRPr="00195B67">
        <w:t xml:space="preserve"> to allow business and industry to find suitable alternatives to specific items that are challenging to phase-out within the proposed categories (PVC and polystyrene). This was echoed by a local</w:t>
      </w:r>
      <w:r w:rsidR="000F2352" w:rsidRPr="00195B67">
        <w:t> </w:t>
      </w:r>
      <w:r w:rsidRPr="00195B67">
        <w:t>government submitter who noted:</w:t>
      </w:r>
    </w:p>
    <w:p w14:paraId="15C62DF7" w14:textId="70A2369E" w:rsidR="00A50F32" w:rsidRPr="00195B67" w:rsidRDefault="00A50F32" w:rsidP="00943AEA">
      <w:pPr>
        <w:pStyle w:val="Quote"/>
      </w:pPr>
      <w:r w:rsidRPr="00195B67">
        <w:lastRenderedPageBreak/>
        <w:t>PVC and PS/EPS are used for packaging for high value products, medications and to</w:t>
      </w:r>
      <w:r w:rsidR="000613CB" w:rsidRPr="00195B67">
        <w:t> </w:t>
      </w:r>
      <w:r w:rsidRPr="00195B67">
        <w:t>ensure</w:t>
      </w:r>
      <w:r w:rsidR="00F973A0" w:rsidRPr="00195B67">
        <w:t> </w:t>
      </w:r>
      <w:r w:rsidRPr="00195B67">
        <w:t>food products are kept at suitable temperatures for transportation. It is possible</w:t>
      </w:r>
      <w:r w:rsidR="000613CB" w:rsidRPr="00195B67">
        <w:t> </w:t>
      </w:r>
      <w:r w:rsidRPr="00195B67">
        <w:t>that exemptions might be needed for medical use if suitable alternatives are not</w:t>
      </w:r>
      <w:r w:rsidR="000613CB" w:rsidRPr="00195B67">
        <w:t> </w:t>
      </w:r>
      <w:r w:rsidRPr="00195B67">
        <w:t>available.</w:t>
      </w:r>
      <w:r w:rsidR="00F973A0" w:rsidRPr="00195B67">
        <w:t xml:space="preserve"> </w:t>
      </w:r>
      <w:r w:rsidRPr="00195B67">
        <w:t>PVC is also used in the construction industry for a variety of materials. Phase-out of this packaging may inadvertently lead to increased waste in other high value</w:t>
      </w:r>
      <w:r w:rsidR="000613CB" w:rsidRPr="00195B67">
        <w:t> </w:t>
      </w:r>
      <w:r w:rsidRPr="00195B67">
        <w:t>materials and products</w:t>
      </w:r>
      <w:r w:rsidR="002954B7" w:rsidRPr="00195B67">
        <w:t>.</w:t>
      </w:r>
      <w:r w:rsidR="00F14EF1" w:rsidRPr="00195B67">
        <w:rPr>
          <w:vertAlign w:val="superscript"/>
        </w:rPr>
        <w:footnoteReference w:id="7"/>
      </w:r>
    </w:p>
    <w:p w14:paraId="68C775AC" w14:textId="62767AAD" w:rsidR="00DE670E" w:rsidRPr="00195B67" w:rsidRDefault="000349D2" w:rsidP="00E7168C">
      <w:pPr>
        <w:pStyle w:val="Heading3"/>
      </w:pPr>
      <w:r w:rsidRPr="00195B67">
        <w:t>S</w:t>
      </w:r>
      <w:r w:rsidR="00FB1414" w:rsidRPr="00195B67">
        <w:t xml:space="preserve">pecific challenges for phasing out hard-to-recycle </w:t>
      </w:r>
      <w:proofErr w:type="gramStart"/>
      <w:r w:rsidR="00FB1414" w:rsidRPr="00195B67">
        <w:t>plastics</w:t>
      </w:r>
      <w:proofErr w:type="gramEnd"/>
      <w:r w:rsidR="00EA04DB" w:rsidRPr="00195B67">
        <w:t xml:space="preserve"> </w:t>
      </w:r>
    </w:p>
    <w:p w14:paraId="1A7EEB8E" w14:textId="764D293E" w:rsidR="00CD3B50" w:rsidRPr="00195B67" w:rsidRDefault="00CD3B50" w:rsidP="00E7168C">
      <w:pPr>
        <w:pStyle w:val="BodyText"/>
      </w:pPr>
      <w:r w:rsidRPr="00195B67">
        <w:t>Flexible types of PVC are harder to replace</w:t>
      </w:r>
      <w:r w:rsidR="00C56042" w:rsidRPr="00195B67">
        <w:t xml:space="preserve"> </w:t>
      </w:r>
      <w:r w:rsidR="004E144C" w:rsidRPr="00195B67">
        <w:t>(</w:t>
      </w:r>
      <w:r w:rsidR="000349D2" w:rsidRPr="00195B67">
        <w:t>for example</w:t>
      </w:r>
      <w:r w:rsidR="004E144C" w:rsidRPr="00195B67">
        <w:t>,</w:t>
      </w:r>
      <w:r w:rsidR="00C56042" w:rsidRPr="00195B67">
        <w:t xml:space="preserve"> PVC cling wrap)</w:t>
      </w:r>
      <w:r w:rsidRPr="00195B67">
        <w:t xml:space="preserve">. This is because PVC has unique moisture and gas transmission barrier properties. This makes it a good packaging material for products like cheese, </w:t>
      </w:r>
      <w:proofErr w:type="gramStart"/>
      <w:r w:rsidRPr="00195B67">
        <w:t>seafood</w:t>
      </w:r>
      <w:proofErr w:type="gramEnd"/>
      <w:r w:rsidRPr="00195B67">
        <w:t xml:space="preserve"> and meat</w:t>
      </w:r>
      <w:r w:rsidR="0095247D" w:rsidRPr="00195B67">
        <w:t>,</w:t>
      </w:r>
      <w:r w:rsidRPr="00195B67">
        <w:t xml:space="preserve"> particularly where shelf life is important.</w:t>
      </w:r>
      <w:r w:rsidR="00AA0263" w:rsidRPr="00195B67">
        <w:t xml:space="preserve"> </w:t>
      </w:r>
    </w:p>
    <w:p w14:paraId="573920CD" w14:textId="7C112277" w:rsidR="00CD3B50" w:rsidRPr="00195B67" w:rsidRDefault="00CD3B50" w:rsidP="00E7168C">
      <w:pPr>
        <w:pStyle w:val="BodyText"/>
      </w:pPr>
      <w:r w:rsidRPr="00195B67">
        <w:t>We heard from some submitters that</w:t>
      </w:r>
      <w:r w:rsidR="0034561D" w:rsidRPr="00195B67">
        <w:t xml:space="preserve"> hard</w:t>
      </w:r>
      <w:r w:rsidRPr="00195B67">
        <w:t xml:space="preserve"> polystyrene is preferred over other plastic types for</w:t>
      </w:r>
      <w:r w:rsidR="006479D4" w:rsidRPr="00195B67">
        <w:t xml:space="preserve"> </w:t>
      </w:r>
      <w:r w:rsidRPr="00195B67">
        <w:t xml:space="preserve">some products because it is strong, malleable and can be made to be very thin. Polystyrene also has unique ‘snap’ properties, which allow </w:t>
      </w:r>
      <w:r w:rsidR="00C56042" w:rsidRPr="00195B67">
        <w:t xml:space="preserve">businesses </w:t>
      </w:r>
      <w:r w:rsidRPr="00195B67">
        <w:t>to present individual portions (such</w:t>
      </w:r>
      <w:r w:rsidR="006479D4" w:rsidRPr="00195B67">
        <w:t xml:space="preserve"> </w:t>
      </w:r>
      <w:r w:rsidRPr="00195B67">
        <w:t>as yoghurt) in break-apart multi-pack</w:t>
      </w:r>
      <w:r w:rsidR="00DE5234" w:rsidRPr="00195B67">
        <w:t>s</w:t>
      </w:r>
      <w:r w:rsidRPr="00195B67">
        <w:t>.</w:t>
      </w:r>
      <w:r w:rsidR="00AA0263" w:rsidRPr="00195B67">
        <w:t xml:space="preserve"> </w:t>
      </w:r>
      <w:r w:rsidRPr="00195B67">
        <w:t>Feedback from industry and business submitters</w:t>
      </w:r>
      <w:r w:rsidR="006479D4" w:rsidRPr="00195B67">
        <w:t xml:space="preserve"> </w:t>
      </w:r>
      <w:r w:rsidRPr="00195B67">
        <w:t>suggest</w:t>
      </w:r>
      <w:r w:rsidR="001F13C4" w:rsidRPr="00195B67">
        <w:t>s</w:t>
      </w:r>
      <w:r w:rsidRPr="00195B67">
        <w:t xml:space="preserve"> a phase-out is possible but additional costs </w:t>
      </w:r>
      <w:r w:rsidR="001F13C4" w:rsidRPr="00195B67">
        <w:t>will be involved in</w:t>
      </w:r>
      <w:r w:rsidRPr="00195B67">
        <w:t xml:space="preserve"> mak</w:t>
      </w:r>
      <w:r w:rsidR="001F13C4" w:rsidRPr="00195B67">
        <w:t>ing</w:t>
      </w:r>
      <w:r w:rsidR="00E84F6E" w:rsidRPr="00195B67">
        <w:t> </w:t>
      </w:r>
      <w:r w:rsidRPr="00195B67">
        <w:t>this change</w:t>
      </w:r>
      <w:r w:rsidR="001F13C4" w:rsidRPr="00195B67">
        <w:t>,</w:t>
      </w:r>
      <w:r w:rsidRPr="00195B67">
        <w:t xml:space="preserve"> including for new infrastructure, research and development,</w:t>
      </w:r>
      <w:r w:rsidR="005D2F9F" w:rsidRPr="00195B67">
        <w:t xml:space="preserve"> packaging</w:t>
      </w:r>
      <w:r w:rsidRPr="00195B67">
        <w:t xml:space="preserve"> redesign and product</w:t>
      </w:r>
      <w:r w:rsidR="006479D4" w:rsidRPr="00195B67">
        <w:t> </w:t>
      </w:r>
      <w:r w:rsidRPr="00195B67">
        <w:t>testing.</w:t>
      </w:r>
      <w:r w:rsidR="00AA0263" w:rsidRPr="00195B67">
        <w:t xml:space="preserve"> </w:t>
      </w:r>
    </w:p>
    <w:p w14:paraId="2E0E2B1E" w14:textId="7572FBF7" w:rsidR="00381BC2" w:rsidRPr="00195B67" w:rsidRDefault="00381BC2" w:rsidP="00E84F6E">
      <w:pPr>
        <w:pStyle w:val="Heading3"/>
      </w:pPr>
      <w:r w:rsidRPr="00195B67">
        <w:t xml:space="preserve">Phasing out expanded polystyrene is likely to be more </w:t>
      </w:r>
      <w:proofErr w:type="gramStart"/>
      <w:r w:rsidRPr="00195B67">
        <w:t>challenging</w:t>
      </w:r>
      <w:proofErr w:type="gramEnd"/>
    </w:p>
    <w:p w14:paraId="19AD9964" w14:textId="38642AF0" w:rsidR="00E84F6E" w:rsidRPr="00195B67" w:rsidRDefault="00381BC2" w:rsidP="00E84F6E">
      <w:pPr>
        <w:pStyle w:val="BodyText"/>
      </w:pPr>
      <w:r w:rsidRPr="00195B67">
        <w:t>Beyond food and beverage applications</w:t>
      </w:r>
      <w:r w:rsidR="00DE5234" w:rsidRPr="00195B67">
        <w:t>,</w:t>
      </w:r>
      <w:r w:rsidRPr="00195B67">
        <w:t xml:space="preserve"> such as takeaway food containers, expanded polystyrene is used to protect objects during transit, like delicate homeware items, whiteware, larger consumer electronics, and heat pumps. Striking a balance between what is needed and what could be replaced remains challenging for some of these uses.</w:t>
      </w:r>
    </w:p>
    <w:p w14:paraId="6DCEEDF8" w14:textId="0F30CD6F" w:rsidR="00381BC2" w:rsidRPr="00195B67" w:rsidRDefault="00C56042" w:rsidP="00E84F6E">
      <w:pPr>
        <w:pStyle w:val="BodyText"/>
      </w:pPr>
      <w:r w:rsidRPr="00195B67">
        <w:t>S</w:t>
      </w:r>
      <w:r w:rsidR="00381BC2" w:rsidRPr="00195B67">
        <w:t xml:space="preserve">ome submitters raised concerns about whether </w:t>
      </w:r>
      <w:r w:rsidRPr="00195B67">
        <w:t xml:space="preserve">expanded polystyrene </w:t>
      </w:r>
      <w:r w:rsidR="00381BC2" w:rsidRPr="00195B67">
        <w:t>can, or should feasibly, be phased</w:t>
      </w:r>
      <w:r w:rsidR="00194E3C" w:rsidRPr="00195B67">
        <w:t xml:space="preserve"> </w:t>
      </w:r>
      <w:r w:rsidR="00381BC2" w:rsidRPr="00195B67">
        <w:t>out. The material is lightweight, capable of protecting goods from collision and</w:t>
      </w:r>
      <w:r w:rsidR="009C6BBB" w:rsidRPr="00195B67">
        <w:t> </w:t>
      </w:r>
      <w:r w:rsidR="00381BC2" w:rsidRPr="00195B67">
        <w:t>impact damage, and has temperature</w:t>
      </w:r>
      <w:r w:rsidR="00194E3C" w:rsidRPr="00195B67">
        <w:t>-</w:t>
      </w:r>
      <w:r w:rsidR="00381BC2" w:rsidRPr="00195B67">
        <w:t>controlling qualities. This presents benefits to users, but</w:t>
      </w:r>
      <w:r w:rsidR="00612D62" w:rsidRPr="00195B67">
        <w:t>,</w:t>
      </w:r>
      <w:r w:rsidR="00381BC2" w:rsidRPr="00195B67">
        <w:t xml:space="preserve"> </w:t>
      </w:r>
      <w:r w:rsidR="005D2F9F" w:rsidRPr="00195B67">
        <w:t xml:space="preserve">because it is lightweight, </w:t>
      </w:r>
      <w:proofErr w:type="gramStart"/>
      <w:r w:rsidR="005D2F9F" w:rsidRPr="00195B67">
        <w:t>bulky</w:t>
      </w:r>
      <w:proofErr w:type="gramEnd"/>
      <w:r w:rsidR="005D2F9F" w:rsidRPr="00195B67">
        <w:t xml:space="preserve"> and easily fragments</w:t>
      </w:r>
      <w:r w:rsidR="00AF0D39" w:rsidRPr="00195B67">
        <w:t>,</w:t>
      </w:r>
      <w:r w:rsidR="005D2F9F" w:rsidRPr="00195B67">
        <w:t xml:space="preserve"> </w:t>
      </w:r>
      <w:r w:rsidR="00381BC2" w:rsidRPr="00195B67">
        <w:t>how we manage, process and dispose of it</w:t>
      </w:r>
      <w:r w:rsidR="00AF0D39" w:rsidRPr="00195B67">
        <w:t xml:space="preserve"> is challenging</w:t>
      </w:r>
      <w:r w:rsidR="00381BC2" w:rsidRPr="00195B67">
        <w:t>.</w:t>
      </w:r>
      <w:r w:rsidR="008404B9" w:rsidRPr="00195B67">
        <w:t xml:space="preserve"> Some submitters </w:t>
      </w:r>
      <w:r w:rsidR="00FB43B9" w:rsidRPr="00195B67">
        <w:t>(</w:t>
      </w:r>
      <w:r w:rsidR="00DA05C6" w:rsidRPr="00195B67">
        <w:t>see</w:t>
      </w:r>
      <w:r w:rsidR="008404B9" w:rsidRPr="00195B67">
        <w:t xml:space="preserve"> quote below</w:t>
      </w:r>
      <w:r w:rsidR="00FB43B9" w:rsidRPr="00195B67">
        <w:t>)</w:t>
      </w:r>
      <w:r w:rsidR="008404B9" w:rsidRPr="00195B67">
        <w:t xml:space="preserve"> believe applications </w:t>
      </w:r>
      <w:r w:rsidR="00AF0D39" w:rsidRPr="00195B67">
        <w:t xml:space="preserve">exist </w:t>
      </w:r>
      <w:r w:rsidR="008404B9" w:rsidRPr="00195B67">
        <w:t>where expanded polystyrene cannot currently be phased</w:t>
      </w:r>
      <w:r w:rsidR="00AF0D39" w:rsidRPr="00195B67">
        <w:t xml:space="preserve"> </w:t>
      </w:r>
      <w:r w:rsidR="008404B9" w:rsidRPr="00195B67">
        <w:t>out without having major impacts on the trade or supply of certain use cases.</w:t>
      </w:r>
    </w:p>
    <w:p w14:paraId="17ED3612" w14:textId="3541157C" w:rsidR="008404B9" w:rsidRPr="00195B67" w:rsidRDefault="008404B9" w:rsidP="00E84F6E">
      <w:pPr>
        <w:pStyle w:val="Quote"/>
      </w:pPr>
      <w:r w:rsidRPr="00195B67">
        <w:t xml:space="preserve">…there are not currently, practical alternatives to replace </w:t>
      </w:r>
      <w:proofErr w:type="gramStart"/>
      <w:r w:rsidRPr="00195B67">
        <w:t>a number of</w:t>
      </w:r>
      <w:proofErr w:type="gramEnd"/>
      <w:r w:rsidRPr="00195B67">
        <w:t xml:space="preserve"> ‘hard-to-recycle’ packaging because we are not seeing these globally. However, the industry would embrace practical alternatives if they emerged commercially.</w:t>
      </w:r>
      <w:r w:rsidR="00F14EF1" w:rsidRPr="00195B67">
        <w:rPr>
          <w:vertAlign w:val="superscript"/>
        </w:rPr>
        <w:footnoteReference w:id="8"/>
      </w:r>
    </w:p>
    <w:p w14:paraId="56EE4BA0" w14:textId="1CE204E0" w:rsidR="00381BC2" w:rsidRPr="00195B67" w:rsidRDefault="00381BC2" w:rsidP="00E84F6E">
      <w:pPr>
        <w:pStyle w:val="Heading3"/>
      </w:pPr>
      <w:r w:rsidRPr="00195B67">
        <w:t>Polystyrene and the ‘cold</w:t>
      </w:r>
      <w:r w:rsidR="00FB43B9" w:rsidRPr="00195B67">
        <w:t xml:space="preserve"> </w:t>
      </w:r>
      <w:r w:rsidRPr="00195B67">
        <w:t>chain’</w:t>
      </w:r>
    </w:p>
    <w:p w14:paraId="617DBFE2" w14:textId="38331DD0" w:rsidR="00A20B52" w:rsidRPr="00195B67" w:rsidRDefault="00E5295D" w:rsidP="00E84F6E">
      <w:pPr>
        <w:pStyle w:val="BodyText"/>
        <w:spacing w:after="100"/>
      </w:pPr>
      <w:r w:rsidRPr="00195B67">
        <w:t xml:space="preserve">We heard it may be </w:t>
      </w:r>
      <w:r w:rsidR="008404B9" w:rsidRPr="00195B67">
        <w:t>particularly challenging</w:t>
      </w:r>
      <w:r w:rsidRPr="00195B67">
        <w:t xml:space="preserve"> to </w:t>
      </w:r>
      <w:r w:rsidR="00207CB8" w:rsidRPr="00195B67">
        <w:t>phase</w:t>
      </w:r>
      <w:r w:rsidR="00282DDA" w:rsidRPr="00195B67">
        <w:t xml:space="preserve"> </w:t>
      </w:r>
      <w:r w:rsidR="00207CB8" w:rsidRPr="00195B67">
        <w:t>out</w:t>
      </w:r>
      <w:r w:rsidRPr="00195B67">
        <w:t xml:space="preserve"> expanded polystyrene within the</w:t>
      </w:r>
      <w:r w:rsidR="0067133A" w:rsidRPr="00195B67">
        <w:t xml:space="preserve"> ‘cold chain’. Specifically</w:t>
      </w:r>
      <w:r w:rsidR="00282DDA" w:rsidRPr="00195B67">
        <w:t>,</w:t>
      </w:r>
      <w:r w:rsidR="00ED6814" w:rsidRPr="00195B67">
        <w:t xml:space="preserve"> this term refers to</w:t>
      </w:r>
      <w:r w:rsidR="003121B8" w:rsidRPr="00195B67">
        <w:t xml:space="preserve"> how</w:t>
      </w:r>
      <w:r w:rsidR="0067133A" w:rsidRPr="00195B67">
        <w:t xml:space="preserve"> expanded polystyrene is used </w:t>
      </w:r>
      <w:r w:rsidR="00FF3DAF" w:rsidRPr="00195B67">
        <w:t>to package and</w:t>
      </w:r>
      <w:r w:rsidR="009C6BBB" w:rsidRPr="00195B67">
        <w:t> </w:t>
      </w:r>
      <w:r w:rsidR="00FF3DAF" w:rsidRPr="00195B67">
        <w:t>transport chilled products, namely seafood items in small chiller-bin style packaging. This</w:t>
      </w:r>
      <w:r w:rsidR="009C6BBB" w:rsidRPr="00195B67">
        <w:t> </w:t>
      </w:r>
      <w:r w:rsidR="00FF3DAF" w:rsidRPr="00195B67">
        <w:t>packaging keeps the seafood</w:t>
      </w:r>
      <w:r w:rsidR="005D2F9F" w:rsidRPr="00195B67">
        <w:t xml:space="preserve"> (or other chilled products)</w:t>
      </w:r>
      <w:r w:rsidR="00FF3DAF" w:rsidRPr="00195B67">
        <w:t xml:space="preserve"> protected during transit and temperature controlled</w:t>
      </w:r>
      <w:r w:rsidR="005D2F9F" w:rsidRPr="00195B67">
        <w:t>. This is important throughout long supply chains where products can be in transit over several hours or days in varying heat conditions</w:t>
      </w:r>
      <w:r w:rsidR="00FF3DAF" w:rsidRPr="00195B67">
        <w:t>. We heard that</w:t>
      </w:r>
      <w:r w:rsidR="00282DDA" w:rsidRPr="00195B67">
        <w:t>,</w:t>
      </w:r>
      <w:r w:rsidR="00FF3DAF" w:rsidRPr="00195B67">
        <w:t xml:space="preserve"> while work is being done to find alternatives to </w:t>
      </w:r>
      <w:r w:rsidR="0045023E">
        <w:t>expanded polystyrene</w:t>
      </w:r>
      <w:r w:rsidR="00FF3DAF" w:rsidRPr="00195B67">
        <w:t xml:space="preserve">, few </w:t>
      </w:r>
      <w:r w:rsidR="00677B49" w:rsidRPr="00195B67">
        <w:t xml:space="preserve">exist </w:t>
      </w:r>
      <w:r w:rsidR="00FF3DAF" w:rsidRPr="00195B67">
        <w:t xml:space="preserve">that </w:t>
      </w:r>
      <w:r w:rsidR="00D912B0" w:rsidRPr="00195B67">
        <w:t>are via</w:t>
      </w:r>
      <w:r w:rsidR="00FB4D7E" w:rsidRPr="00195B67">
        <w:t xml:space="preserve">ble that </w:t>
      </w:r>
      <w:r w:rsidR="00FF3DAF" w:rsidRPr="00195B67">
        <w:lastRenderedPageBreak/>
        <w:t xml:space="preserve">businesses could use in the short term. </w:t>
      </w:r>
      <w:r w:rsidR="005D2F9F" w:rsidRPr="00195B67">
        <w:t>C</w:t>
      </w:r>
      <w:r w:rsidR="00FF3DAF" w:rsidRPr="00195B67">
        <w:t>hallen</w:t>
      </w:r>
      <w:r w:rsidR="00260928" w:rsidRPr="00195B67">
        <w:t xml:space="preserve">ges include finding an alternative that </w:t>
      </w:r>
      <w:proofErr w:type="gramStart"/>
      <w:r w:rsidR="00260928" w:rsidRPr="00195B67">
        <w:t>is capable of protecting</w:t>
      </w:r>
      <w:proofErr w:type="gramEnd"/>
      <w:r w:rsidR="00260928" w:rsidRPr="00195B67">
        <w:t xml:space="preserve"> stock, reserving its quality</w:t>
      </w:r>
      <w:r w:rsidR="00B95AA8" w:rsidRPr="00195B67">
        <w:t xml:space="preserve"> and</w:t>
      </w:r>
      <w:r w:rsidR="006E5A8A" w:rsidRPr="00195B67">
        <w:t xml:space="preserve"> food safety</w:t>
      </w:r>
      <w:r w:rsidR="00260928" w:rsidRPr="00195B67">
        <w:t>, and is n</w:t>
      </w:r>
      <w:r w:rsidR="006E5A8A" w:rsidRPr="00195B67">
        <w:t>o</w:t>
      </w:r>
      <w:r w:rsidR="00260928" w:rsidRPr="00195B67">
        <w:t xml:space="preserve">t worse for the environment. </w:t>
      </w:r>
    </w:p>
    <w:p w14:paraId="2B0C8EEE" w14:textId="22D3AEB6" w:rsidR="00A20B52" w:rsidRPr="00195B67" w:rsidRDefault="00A20B52" w:rsidP="00E84F6E">
      <w:pPr>
        <w:pStyle w:val="BodyText"/>
        <w:spacing w:after="100"/>
      </w:pPr>
      <w:r w:rsidRPr="00195B67">
        <w:t xml:space="preserve">One submitter </w:t>
      </w:r>
      <w:r w:rsidR="0063494A" w:rsidRPr="00195B67">
        <w:t xml:space="preserve">representing an </w:t>
      </w:r>
      <w:r w:rsidR="004F61AD" w:rsidRPr="00195B67">
        <w:t xml:space="preserve">affected </w:t>
      </w:r>
      <w:r w:rsidRPr="00195B67">
        <w:t xml:space="preserve">industry noted: </w:t>
      </w:r>
    </w:p>
    <w:p w14:paraId="0458C0BE" w14:textId="2DE23C7B" w:rsidR="00A20B52" w:rsidRPr="00195B67" w:rsidRDefault="00A20B52" w:rsidP="00E84F6E">
      <w:pPr>
        <w:pStyle w:val="Quote"/>
      </w:pPr>
      <w:r w:rsidRPr="00195B67">
        <w:t xml:space="preserve">…significant concern has been raised by our industry regarding the proposed mandatory phase-out of expanded polystyrene (EPS) transport boxes. A large portion of seafood is distributed in live or chilled form using EPS transport boxes both throughout New Zealand and to many export markets, including markets in China, the United States of America and Europe. Products include live rock lobsters, shellfish, </w:t>
      </w:r>
      <w:proofErr w:type="gramStart"/>
      <w:r w:rsidRPr="00195B67">
        <w:t>eels</w:t>
      </w:r>
      <w:proofErr w:type="gramEnd"/>
      <w:r w:rsidRPr="00195B67">
        <w:t xml:space="preserve"> and other high value chilled and processed seafood products. The annual export value of live and chilled seafood alone is approximately $530 million…</w:t>
      </w:r>
    </w:p>
    <w:p w14:paraId="0EB8F10A" w14:textId="5B3715A5" w:rsidR="00401543" w:rsidRPr="00195B67" w:rsidRDefault="00A20B52" w:rsidP="00E84F6E">
      <w:pPr>
        <w:pStyle w:val="Quote"/>
      </w:pPr>
      <w:r w:rsidRPr="00195B67">
        <w:t xml:space="preserve">…live and chilled seafood is extremely perishable and places high demands on packaging during transport. Thermal properties, liquid </w:t>
      </w:r>
      <w:proofErr w:type="gramStart"/>
      <w:r w:rsidRPr="00195B67">
        <w:t>containment</w:t>
      </w:r>
      <w:proofErr w:type="gramEnd"/>
      <w:r w:rsidRPr="00195B67">
        <w:t xml:space="preserve"> and product protection (requiring a high degree of rigidity), are necessary to maintain the product’s integrity and to ensure high quality, safe seafood reaches its destination.</w:t>
      </w:r>
      <w:r w:rsidR="0063494A" w:rsidRPr="00195B67">
        <w:rPr>
          <w:vertAlign w:val="superscript"/>
        </w:rPr>
        <w:footnoteReference w:id="9"/>
      </w:r>
    </w:p>
    <w:p w14:paraId="1FF9D153" w14:textId="77777777" w:rsidR="00381DAE" w:rsidRDefault="00381DAE">
      <w:pPr>
        <w:spacing w:before="0" w:after="200" w:line="276" w:lineRule="auto"/>
        <w:jc w:val="left"/>
        <w:rPr>
          <w:rFonts w:eastAsia="Times New Roman" w:cstheme="majorBidi"/>
          <w:b/>
          <w:bCs/>
          <w:color w:val="1C556C"/>
          <w:sz w:val="48"/>
          <w:szCs w:val="28"/>
        </w:rPr>
      </w:pPr>
      <w:bookmarkStart w:id="25" w:name="_Toc72137499"/>
      <w:bookmarkEnd w:id="4"/>
      <w:r>
        <w:rPr>
          <w:rFonts w:eastAsia="Times New Roman"/>
        </w:rPr>
        <w:br w:type="page"/>
      </w:r>
    </w:p>
    <w:p w14:paraId="091F0243" w14:textId="16ED12E0" w:rsidR="001A3BB3" w:rsidRPr="00195B67" w:rsidRDefault="001A3BB3" w:rsidP="003652B1">
      <w:pPr>
        <w:pStyle w:val="Heading1"/>
        <w:rPr>
          <w:rFonts w:eastAsia="Times New Roman"/>
        </w:rPr>
      </w:pPr>
      <w:r w:rsidRPr="00195B67">
        <w:rPr>
          <w:rFonts w:eastAsia="Times New Roman"/>
        </w:rPr>
        <w:lastRenderedPageBreak/>
        <w:t xml:space="preserve">What </w:t>
      </w:r>
      <w:r w:rsidR="00F24001" w:rsidRPr="00195B67">
        <w:rPr>
          <w:rFonts w:eastAsia="Times New Roman"/>
        </w:rPr>
        <w:t>we h</w:t>
      </w:r>
      <w:r w:rsidRPr="00195B67">
        <w:rPr>
          <w:rFonts w:eastAsia="Times New Roman"/>
        </w:rPr>
        <w:t xml:space="preserve">eard – Proposal </w:t>
      </w:r>
      <w:r w:rsidR="00F24001" w:rsidRPr="00195B67">
        <w:rPr>
          <w:rFonts w:eastAsia="Times New Roman"/>
        </w:rPr>
        <w:t>t</w:t>
      </w:r>
      <w:r w:rsidRPr="00195B67">
        <w:rPr>
          <w:rFonts w:eastAsia="Times New Roman"/>
        </w:rPr>
        <w:t>wo</w:t>
      </w:r>
      <w:bookmarkEnd w:id="25"/>
    </w:p>
    <w:p w14:paraId="6109DF2B" w14:textId="21C56CDC" w:rsidR="001A3BB3" w:rsidRPr="00195B67" w:rsidRDefault="002F2CCF" w:rsidP="003652B1">
      <w:pPr>
        <w:pStyle w:val="Heading2"/>
        <w:spacing w:before="120"/>
        <w:rPr>
          <w:rFonts w:eastAsia="Times New Roman"/>
        </w:rPr>
      </w:pPr>
      <w:bookmarkStart w:id="26" w:name="_Toc72137500"/>
      <w:r w:rsidRPr="00195B67">
        <w:rPr>
          <w:rFonts w:eastAsia="Times New Roman"/>
        </w:rPr>
        <w:t>W</w:t>
      </w:r>
      <w:r w:rsidR="001A3BB3" w:rsidRPr="00195B67">
        <w:rPr>
          <w:rFonts w:eastAsia="Times New Roman"/>
        </w:rPr>
        <w:t>idespread support for phasing</w:t>
      </w:r>
      <w:r w:rsidR="00380D34" w:rsidRPr="00195B67">
        <w:rPr>
          <w:rFonts w:eastAsia="Times New Roman"/>
        </w:rPr>
        <w:t xml:space="preserve"> </w:t>
      </w:r>
      <w:r w:rsidR="001A3BB3" w:rsidRPr="00195B67">
        <w:rPr>
          <w:rFonts w:eastAsia="Times New Roman"/>
        </w:rPr>
        <w:t xml:space="preserve">out </w:t>
      </w:r>
      <w:proofErr w:type="gramStart"/>
      <w:r w:rsidR="001A3BB3" w:rsidRPr="00195B67">
        <w:rPr>
          <w:rFonts w:eastAsia="Times New Roman"/>
        </w:rPr>
        <w:t>single-use</w:t>
      </w:r>
      <w:proofErr w:type="gramEnd"/>
      <w:r w:rsidR="001A3BB3" w:rsidRPr="00195B67">
        <w:rPr>
          <w:rFonts w:eastAsia="Times New Roman"/>
        </w:rPr>
        <w:t xml:space="preserve"> plastics</w:t>
      </w:r>
      <w:bookmarkEnd w:id="26"/>
    </w:p>
    <w:p w14:paraId="25A717AE" w14:textId="77777777" w:rsidR="00CB3E9A" w:rsidRPr="00195B67" w:rsidRDefault="00CB3E9A" w:rsidP="003652B1">
      <w:pPr>
        <w:pStyle w:val="Heading3"/>
        <w:spacing w:before="240"/>
      </w:pPr>
      <w:r w:rsidRPr="00195B67">
        <w:t>Overall support levels</w:t>
      </w:r>
    </w:p>
    <w:p w14:paraId="16442968" w14:textId="7A3B1F42" w:rsidR="00CB3E9A" w:rsidRPr="00195B67" w:rsidRDefault="00E6071B" w:rsidP="003652B1">
      <w:pPr>
        <w:pStyle w:val="BodyText"/>
      </w:pPr>
      <w:r w:rsidRPr="00195B67">
        <w:t>Support</w:t>
      </w:r>
      <w:r w:rsidR="00CB3E9A" w:rsidRPr="00195B67">
        <w:t xml:space="preserve"> for proposal two </w:t>
      </w:r>
      <w:r w:rsidR="00380D34" w:rsidRPr="00195B67">
        <w:t>was</w:t>
      </w:r>
      <w:r w:rsidR="00CB3E9A" w:rsidRPr="00195B67">
        <w:t xml:space="preserve"> high across nearly all submitter types. Of the 384</w:t>
      </w:r>
      <w:r w:rsidR="004832DD" w:rsidRPr="00195B67">
        <w:t>8</w:t>
      </w:r>
      <w:r w:rsidR="00CB3E9A" w:rsidRPr="00195B67">
        <w:t xml:space="preserve"> substantive submitters,</w:t>
      </w:r>
      <w:r w:rsidR="00CB3E9A" w:rsidRPr="00195B67">
        <w:rPr>
          <w:b/>
          <w:bCs/>
        </w:rPr>
        <w:t xml:space="preserve"> 96</w:t>
      </w:r>
      <w:r w:rsidR="008E1167" w:rsidRPr="00195B67">
        <w:rPr>
          <w:b/>
          <w:bCs/>
        </w:rPr>
        <w:t xml:space="preserve"> </w:t>
      </w:r>
      <w:r w:rsidR="00CB3E9A" w:rsidRPr="00195B67">
        <w:rPr>
          <w:b/>
          <w:bCs/>
        </w:rPr>
        <w:t>per</w:t>
      </w:r>
      <w:r w:rsidR="00816E7A" w:rsidRPr="00195B67">
        <w:rPr>
          <w:b/>
          <w:bCs/>
        </w:rPr>
        <w:t xml:space="preserve"> </w:t>
      </w:r>
      <w:r w:rsidR="00CB3E9A" w:rsidRPr="00195B67">
        <w:rPr>
          <w:b/>
          <w:bCs/>
        </w:rPr>
        <w:t>cent (3705) agree</w:t>
      </w:r>
      <w:r w:rsidR="00F24001" w:rsidRPr="00195B67">
        <w:rPr>
          <w:b/>
          <w:bCs/>
        </w:rPr>
        <w:t>d</w:t>
      </w:r>
      <w:r w:rsidR="00CB3E9A" w:rsidRPr="00195B67">
        <w:rPr>
          <w:b/>
          <w:bCs/>
        </w:rPr>
        <w:t xml:space="preserve"> in full </w:t>
      </w:r>
      <w:proofErr w:type="gramStart"/>
      <w:r w:rsidR="00CB3E9A" w:rsidRPr="00195B67">
        <w:rPr>
          <w:b/>
          <w:bCs/>
        </w:rPr>
        <w:t>with</w:t>
      </w:r>
      <w:proofErr w:type="gramEnd"/>
      <w:r w:rsidR="00CB3E9A" w:rsidRPr="00195B67">
        <w:rPr>
          <w:b/>
          <w:bCs/>
        </w:rPr>
        <w:t xml:space="preserve"> proposal</w:t>
      </w:r>
      <w:r w:rsidR="00380D34" w:rsidRPr="00195B67">
        <w:rPr>
          <w:b/>
          <w:bCs/>
        </w:rPr>
        <w:t xml:space="preserve"> two</w:t>
      </w:r>
      <w:r w:rsidR="00CB3E9A" w:rsidRPr="00D4057E">
        <w:t>,</w:t>
      </w:r>
      <w:r w:rsidR="00CB3E9A" w:rsidRPr="00195B67">
        <w:rPr>
          <w:b/>
          <w:bCs/>
        </w:rPr>
        <w:t xml:space="preserve"> </w:t>
      </w:r>
      <w:r w:rsidR="00CB3E9A" w:rsidRPr="00195B67">
        <w:t>1.87 per</w:t>
      </w:r>
      <w:r w:rsidR="00816E7A" w:rsidRPr="00195B67">
        <w:t xml:space="preserve"> </w:t>
      </w:r>
      <w:r w:rsidR="00CB3E9A" w:rsidRPr="00195B67">
        <w:t>cent (72) agree</w:t>
      </w:r>
      <w:r w:rsidR="00F24001" w:rsidRPr="00195B67">
        <w:t>d</w:t>
      </w:r>
      <w:r w:rsidR="00CB3E9A" w:rsidRPr="00195B67">
        <w:t xml:space="preserve"> in part</w:t>
      </w:r>
      <w:r w:rsidR="001843F8" w:rsidRPr="00195B67">
        <w:t xml:space="preserve">, </w:t>
      </w:r>
      <w:r w:rsidR="00CB3E9A" w:rsidRPr="00195B67">
        <w:t xml:space="preserve">0.5 </w:t>
      </w:r>
      <w:r w:rsidR="00892918" w:rsidRPr="00195B67">
        <w:t>per cent</w:t>
      </w:r>
      <w:r w:rsidR="00CB3E9A" w:rsidRPr="00195B67">
        <w:t xml:space="preserve"> (2) disagree</w:t>
      </w:r>
      <w:r w:rsidR="001843F8" w:rsidRPr="00195B67">
        <w:t>d</w:t>
      </w:r>
      <w:r w:rsidR="00E751CE" w:rsidRPr="00195B67">
        <w:t>, and 1.6 per cent (65) did not answer</w:t>
      </w:r>
      <w:r w:rsidR="00651A05" w:rsidRPr="00195B67">
        <w:t xml:space="preserve"> (figure 8).</w:t>
      </w:r>
      <w:r w:rsidR="00577FC7" w:rsidRPr="00195B67">
        <w:rPr>
          <w:vertAlign w:val="superscript"/>
        </w:rPr>
        <w:footnoteReference w:id="10"/>
      </w:r>
      <w:r w:rsidR="00380D34" w:rsidRPr="00195B67">
        <w:t xml:space="preserve"> </w:t>
      </w:r>
      <w:r w:rsidR="002A34E3" w:rsidRPr="00195B67">
        <w:t>Short-form s</w:t>
      </w:r>
      <w:r w:rsidR="00B70C93" w:rsidRPr="00195B67">
        <w:t>urvey respondents were asked to indicate their support item</w:t>
      </w:r>
      <w:r w:rsidR="00651A05" w:rsidRPr="00195B67">
        <w:t xml:space="preserve"> </w:t>
      </w:r>
      <w:r w:rsidR="00B70C93" w:rsidRPr="00195B67">
        <w:t>by</w:t>
      </w:r>
      <w:r w:rsidR="00651A05" w:rsidRPr="00195B67">
        <w:t xml:space="preserve"> </w:t>
      </w:r>
      <w:r w:rsidR="00B70C93" w:rsidRPr="00195B67">
        <w:t xml:space="preserve">item so their data </w:t>
      </w:r>
      <w:r w:rsidR="00116B35" w:rsidRPr="00195B67">
        <w:t>are</w:t>
      </w:r>
      <w:r w:rsidR="00B70C93" w:rsidRPr="00195B67">
        <w:t xml:space="preserve"> excluded from </w:t>
      </w:r>
      <w:r w:rsidR="00380D34" w:rsidRPr="00195B67">
        <w:t>figure 8</w:t>
      </w:r>
      <w:r w:rsidR="00B70C93" w:rsidRPr="00195B67">
        <w:t xml:space="preserve">. </w:t>
      </w:r>
    </w:p>
    <w:p w14:paraId="3D683820" w14:textId="492B2707" w:rsidR="00577FC7" w:rsidRPr="00195B67" w:rsidRDefault="00CB3E9A" w:rsidP="00707BE2">
      <w:pPr>
        <w:pStyle w:val="Figureheading"/>
        <w:spacing w:after="0"/>
      </w:pPr>
      <w:bookmarkStart w:id="27" w:name="_Toc72137534"/>
      <w:r w:rsidRPr="00195B67">
        <w:t xml:space="preserve">Figure </w:t>
      </w:r>
      <w:r w:rsidR="00430285" w:rsidRPr="00195B67">
        <w:t>8</w:t>
      </w:r>
      <w:r w:rsidRPr="00195B67">
        <w:t xml:space="preserve">: </w:t>
      </w:r>
      <w:r w:rsidRPr="00195B67">
        <w:tab/>
        <w:t>Overall support levels for proposal two by submitter type</w:t>
      </w:r>
      <w:bookmarkEnd w:id="27"/>
    </w:p>
    <w:p w14:paraId="5797A8EC" w14:textId="3BC802A5" w:rsidR="00CB3E9A" w:rsidRPr="00195B67" w:rsidRDefault="00577FC7" w:rsidP="00522DDB">
      <w:pPr>
        <w:pStyle w:val="BodyText"/>
        <w:spacing w:after="0"/>
      </w:pPr>
      <w:r w:rsidRPr="00195B67">
        <w:rPr>
          <w:noProof/>
        </w:rPr>
        <w:drawing>
          <wp:inline distT="0" distB="0" distL="0" distR="0" wp14:anchorId="0BC11AA7" wp14:editId="15F45FF5">
            <wp:extent cx="5400000" cy="3258000"/>
            <wp:effectExtent l="0" t="0" r="0" b="0"/>
            <wp:docPr id="7" name="Chart 7">
              <a:extLst xmlns:a="http://schemas.openxmlformats.org/drawingml/2006/main">
                <a:ext uri="{FF2B5EF4-FFF2-40B4-BE49-F238E27FC236}">
                  <a16:creationId xmlns:a16="http://schemas.microsoft.com/office/drawing/2014/main" id="{206AD85A-622D-4921-A252-615A5D042E9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1A5654" w14:textId="74EECACA" w:rsidR="00116B35" w:rsidRPr="00195B67" w:rsidRDefault="00116B35" w:rsidP="00D4057E">
      <w:pPr>
        <w:pStyle w:val="Note"/>
      </w:pPr>
      <w:r w:rsidRPr="00195B67">
        <w:t xml:space="preserve">Note: </w:t>
      </w:r>
      <w:r w:rsidR="002A7204" w:rsidRPr="00195B67">
        <w:t>T</w:t>
      </w:r>
      <w:r w:rsidRPr="00195B67">
        <w:t>he percentages in the figure are from 3780 substantive submissions that talked about their support level for proposal two (excluding responses from the short-form survey, which did not cover this question).</w:t>
      </w:r>
    </w:p>
    <w:p w14:paraId="70384664" w14:textId="53D38D26" w:rsidR="00CB3E9A" w:rsidRPr="00195B67" w:rsidRDefault="00CB3E9A" w:rsidP="003652B1">
      <w:pPr>
        <w:pStyle w:val="Heading3"/>
      </w:pPr>
      <w:r w:rsidRPr="00195B67">
        <w:t>Reasons for disagreement</w:t>
      </w:r>
    </w:p>
    <w:p w14:paraId="48452B38" w14:textId="102D5426" w:rsidR="003652B1" w:rsidRPr="00195B67" w:rsidRDefault="00CB3E9A" w:rsidP="003652B1">
      <w:pPr>
        <w:pStyle w:val="BodyText"/>
      </w:pPr>
      <w:r w:rsidRPr="00195B67">
        <w:t>Four substantive submitters disagree</w:t>
      </w:r>
      <w:r w:rsidR="007C52A5" w:rsidRPr="00195B67">
        <w:t>d</w:t>
      </w:r>
      <w:r w:rsidRPr="00195B67">
        <w:t xml:space="preserve"> with proposal two. Two individuals </w:t>
      </w:r>
      <w:r w:rsidR="00E6071B" w:rsidRPr="00195B67">
        <w:t xml:space="preserve">said </w:t>
      </w:r>
      <w:r w:rsidRPr="00195B67">
        <w:t>the</w:t>
      </w:r>
      <w:r w:rsidR="00554640" w:rsidRPr="00195B67">
        <w:t xml:space="preserve"> seven proposed</w:t>
      </w:r>
      <w:r w:rsidRPr="00195B67">
        <w:t xml:space="preserve"> items should not be phased</w:t>
      </w:r>
      <w:r w:rsidR="00F03CA2" w:rsidRPr="00195B67">
        <w:t xml:space="preserve"> </w:t>
      </w:r>
      <w:r w:rsidRPr="00195B67">
        <w:t>out because they serve vital functions.</w:t>
      </w:r>
      <w:r w:rsidRPr="00195B67">
        <w:rPr>
          <w:rStyle w:val="FootnoteReference"/>
        </w:rPr>
        <w:footnoteReference w:id="11"/>
      </w:r>
      <w:r w:rsidRPr="00195B67">
        <w:t xml:space="preserve"> Two businesses </w:t>
      </w:r>
      <w:r w:rsidR="00E6071B" w:rsidRPr="00195B67">
        <w:t xml:space="preserve">were </w:t>
      </w:r>
      <w:r w:rsidRPr="00195B67">
        <w:t>concerned about the significant impact that a phase</w:t>
      </w:r>
      <w:r w:rsidR="00F03CA2" w:rsidRPr="00195B67">
        <w:t xml:space="preserve"> </w:t>
      </w:r>
      <w:r w:rsidRPr="00195B67">
        <w:t xml:space="preserve">out of one </w:t>
      </w:r>
      <w:proofErr w:type="gramStart"/>
      <w:r w:rsidRPr="00195B67">
        <w:t>particular</w:t>
      </w:r>
      <w:r w:rsidR="00577FC7" w:rsidRPr="00195B67">
        <w:t xml:space="preserve"> </w:t>
      </w:r>
      <w:r w:rsidRPr="00195B67">
        <w:t>item</w:t>
      </w:r>
      <w:proofErr w:type="gramEnd"/>
      <w:r w:rsidRPr="00195B67">
        <w:t xml:space="preserve"> </w:t>
      </w:r>
      <w:r w:rsidR="00F03CA2" w:rsidRPr="00195B67">
        <w:t xml:space="preserve">would </w:t>
      </w:r>
      <w:r w:rsidRPr="00195B67">
        <w:t>have on</w:t>
      </w:r>
      <w:r w:rsidR="00707BE2" w:rsidRPr="00195B67">
        <w:t> </w:t>
      </w:r>
      <w:r w:rsidRPr="00195B67">
        <w:t>their operations.</w:t>
      </w:r>
      <w:r w:rsidRPr="00195B67">
        <w:rPr>
          <w:vertAlign w:val="superscript"/>
        </w:rPr>
        <w:footnoteReference w:id="12"/>
      </w:r>
    </w:p>
    <w:p w14:paraId="14B7DB03" w14:textId="0589DC5D" w:rsidR="00CB3E9A" w:rsidRPr="00195B67" w:rsidRDefault="00816E7A" w:rsidP="003652B1">
      <w:pPr>
        <w:pStyle w:val="BodyText"/>
      </w:pPr>
      <w:r w:rsidRPr="00195B67">
        <w:t>In our</w:t>
      </w:r>
      <w:r w:rsidR="00CB3E9A" w:rsidRPr="00195B67">
        <w:t xml:space="preserve"> </w:t>
      </w:r>
      <w:r w:rsidR="002A34E3" w:rsidRPr="00195B67">
        <w:t>short-form</w:t>
      </w:r>
      <w:r w:rsidR="00CB3E9A" w:rsidRPr="00195B67">
        <w:t xml:space="preserve"> survey</w:t>
      </w:r>
      <w:r w:rsidRPr="00195B67">
        <w:t xml:space="preserve"> we </w:t>
      </w:r>
      <w:proofErr w:type="gramStart"/>
      <w:r w:rsidR="00CB3E9A" w:rsidRPr="00195B67">
        <w:t>asked</w:t>
      </w:r>
      <w:proofErr w:type="gramEnd"/>
      <w:r w:rsidR="00CB3E9A" w:rsidRPr="00195B67">
        <w:t xml:space="preserve"> “Which single-use items do you support for phase</w:t>
      </w:r>
      <w:r w:rsidR="005B0D3E" w:rsidRPr="00195B67">
        <w:t xml:space="preserve"> </w:t>
      </w:r>
      <w:r w:rsidR="00CB3E9A" w:rsidRPr="00195B67">
        <w:t>out?”</w:t>
      </w:r>
      <w:r w:rsidR="00F03CA2" w:rsidRPr="00195B67">
        <w:t>.</w:t>
      </w:r>
      <w:r w:rsidR="00CB3E9A" w:rsidRPr="00195B67">
        <w:t xml:space="preserve"> Of</w:t>
      </w:r>
      <w:r w:rsidR="00707BE2" w:rsidRPr="00195B67">
        <w:t> </w:t>
      </w:r>
      <w:r w:rsidR="005B0D3E" w:rsidRPr="00195B67">
        <w:t xml:space="preserve">the </w:t>
      </w:r>
      <w:r w:rsidR="00CB3E9A" w:rsidRPr="00195B67">
        <w:t>4022 respondents, 94.29</w:t>
      </w:r>
      <w:r w:rsidR="00892918" w:rsidRPr="00195B67">
        <w:t xml:space="preserve"> per cent</w:t>
      </w:r>
      <w:r w:rsidR="00CB3E9A" w:rsidRPr="00195B67">
        <w:t xml:space="preserve"> support</w:t>
      </w:r>
      <w:r w:rsidR="00F24001" w:rsidRPr="00195B67">
        <w:t>ed</w:t>
      </w:r>
      <w:r w:rsidR="00CB3E9A" w:rsidRPr="00195B67">
        <w:t xml:space="preserve"> produce bags, 91.89</w:t>
      </w:r>
      <w:r w:rsidR="00892918" w:rsidRPr="00195B67">
        <w:t xml:space="preserve"> per cent</w:t>
      </w:r>
      <w:r w:rsidR="00CB3E9A" w:rsidRPr="00195B67">
        <w:t xml:space="preserve"> support</w:t>
      </w:r>
      <w:r w:rsidR="00F24001" w:rsidRPr="00195B67">
        <w:t>ed</w:t>
      </w:r>
      <w:r w:rsidR="00CB3E9A" w:rsidRPr="00195B67">
        <w:t xml:space="preserve"> tableware, 96.72</w:t>
      </w:r>
      <w:r w:rsidR="00892918" w:rsidRPr="00195B67">
        <w:t xml:space="preserve"> per cent</w:t>
      </w:r>
      <w:r w:rsidR="00CB3E9A" w:rsidRPr="00195B67">
        <w:t xml:space="preserve"> support</w:t>
      </w:r>
      <w:r w:rsidR="00F24001" w:rsidRPr="00195B67">
        <w:t>ed</w:t>
      </w:r>
      <w:r w:rsidR="00CB3E9A" w:rsidRPr="00195B67">
        <w:t xml:space="preserve"> produce </w:t>
      </w:r>
      <w:r w:rsidR="00207CB8" w:rsidRPr="00195B67">
        <w:t>label</w:t>
      </w:r>
      <w:r w:rsidR="00CB3E9A" w:rsidRPr="00195B67">
        <w:t>s, 96.23</w:t>
      </w:r>
      <w:r w:rsidR="00892918" w:rsidRPr="00195B67">
        <w:t xml:space="preserve"> per cent</w:t>
      </w:r>
      <w:r w:rsidR="00CB3E9A" w:rsidRPr="00195B67">
        <w:t xml:space="preserve"> support</w:t>
      </w:r>
      <w:r w:rsidR="00F24001" w:rsidRPr="00195B67">
        <w:t>ed</w:t>
      </w:r>
      <w:r w:rsidR="00CB3E9A" w:rsidRPr="00195B67">
        <w:t xml:space="preserve"> drink stirrers, </w:t>
      </w:r>
      <w:r w:rsidR="00CB3E9A" w:rsidRPr="00195B67">
        <w:lastRenderedPageBreak/>
        <w:t>95.01</w:t>
      </w:r>
      <w:r w:rsidR="00892918" w:rsidRPr="00195B67">
        <w:t xml:space="preserve"> per cent</w:t>
      </w:r>
      <w:r w:rsidR="00CB3E9A" w:rsidRPr="00195B67">
        <w:t xml:space="preserve"> support</w:t>
      </w:r>
      <w:r w:rsidR="00F24001" w:rsidRPr="00195B67">
        <w:t>ed</w:t>
      </w:r>
      <w:r w:rsidR="00CB3E9A" w:rsidRPr="00195B67">
        <w:t xml:space="preserve"> single-use cups and lids, 87.77</w:t>
      </w:r>
      <w:r w:rsidR="00892918" w:rsidRPr="00195B67">
        <w:t xml:space="preserve"> per cent</w:t>
      </w:r>
      <w:r w:rsidR="00CB3E9A" w:rsidRPr="00195B67">
        <w:t xml:space="preserve"> support</w:t>
      </w:r>
      <w:r w:rsidR="00F24001" w:rsidRPr="00195B67">
        <w:t>ed</w:t>
      </w:r>
      <w:r w:rsidR="00CB3E9A" w:rsidRPr="00195B67">
        <w:t xml:space="preserve"> cotton buds, 92.93</w:t>
      </w:r>
      <w:r w:rsidR="00892918" w:rsidRPr="00195B67">
        <w:t xml:space="preserve"> per cent</w:t>
      </w:r>
      <w:r w:rsidR="00CB3E9A" w:rsidRPr="00195B67">
        <w:t xml:space="preserve"> support</w:t>
      </w:r>
      <w:r w:rsidR="00F24001" w:rsidRPr="00195B67">
        <w:t>ed</w:t>
      </w:r>
      <w:r w:rsidR="00CB3E9A" w:rsidRPr="00195B67">
        <w:t xml:space="preserve"> straws (3.03</w:t>
      </w:r>
      <w:r w:rsidR="00892918" w:rsidRPr="00195B67">
        <w:t xml:space="preserve"> per cent</w:t>
      </w:r>
      <w:r w:rsidR="00CB3E9A" w:rsidRPr="00195B67">
        <w:t xml:space="preserve"> </w:t>
      </w:r>
      <w:r w:rsidR="00207CB8" w:rsidRPr="00195B67">
        <w:t>did not support the phase</w:t>
      </w:r>
      <w:r w:rsidR="00C7466F" w:rsidRPr="00195B67">
        <w:t xml:space="preserve"> </w:t>
      </w:r>
      <w:r w:rsidR="00207CB8" w:rsidRPr="00195B67">
        <w:t>out of any item</w:t>
      </w:r>
      <w:r w:rsidR="00CB3E9A" w:rsidRPr="00195B67">
        <w:t>, 0.20</w:t>
      </w:r>
      <w:r w:rsidR="00707BE2" w:rsidRPr="00195B67">
        <w:t> </w:t>
      </w:r>
      <w:r w:rsidR="00892918" w:rsidRPr="00195B67">
        <w:t>per cent</w:t>
      </w:r>
      <w:r w:rsidR="00CB3E9A" w:rsidRPr="00195B67">
        <w:t xml:space="preserve"> </w:t>
      </w:r>
      <w:r w:rsidR="00207CB8" w:rsidRPr="00195B67">
        <w:t xml:space="preserve">did not </w:t>
      </w:r>
      <w:r w:rsidR="00CB3E9A" w:rsidRPr="00195B67">
        <w:t>answer).</w:t>
      </w:r>
    </w:p>
    <w:p w14:paraId="372D8DA7" w14:textId="56ECF889" w:rsidR="00B37A0F" w:rsidRPr="00195B67" w:rsidRDefault="00C7466F" w:rsidP="00102818">
      <w:pPr>
        <w:pStyle w:val="BodyText"/>
      </w:pPr>
      <w:r w:rsidRPr="00195B67">
        <w:t xml:space="preserve">The main </w:t>
      </w:r>
      <w:r w:rsidR="00B37A0F" w:rsidRPr="00195B67">
        <w:t xml:space="preserve">points </w:t>
      </w:r>
      <w:r w:rsidR="00BE37D8" w:rsidRPr="00195B67">
        <w:t>raised</w:t>
      </w:r>
      <w:r w:rsidR="00102818" w:rsidRPr="00195B67">
        <w:t>,</w:t>
      </w:r>
      <w:r w:rsidR="00BE37D8" w:rsidRPr="00195B67">
        <w:t xml:space="preserve"> </w:t>
      </w:r>
      <w:r w:rsidR="00722F48" w:rsidRPr="00195B67">
        <w:t>and reasons why some submitters did not agree with the proposed phase</w:t>
      </w:r>
      <w:r w:rsidR="00102818" w:rsidRPr="00195B67">
        <w:t xml:space="preserve"> </w:t>
      </w:r>
      <w:r w:rsidR="00722F48" w:rsidRPr="00195B67">
        <w:t>out of a particular item</w:t>
      </w:r>
      <w:r w:rsidR="00BE37D8" w:rsidRPr="00195B67">
        <w:t xml:space="preserve"> in proposal two</w:t>
      </w:r>
      <w:r w:rsidR="00102818" w:rsidRPr="00195B67">
        <w:t>,</w:t>
      </w:r>
      <w:r w:rsidR="00722F48" w:rsidRPr="00195B67">
        <w:t xml:space="preserve"> </w:t>
      </w:r>
      <w:r w:rsidR="00BE37D8" w:rsidRPr="00195B67">
        <w:t xml:space="preserve">are summarised </w:t>
      </w:r>
      <w:r w:rsidR="00722F48" w:rsidRPr="00195B67">
        <w:t>below.</w:t>
      </w:r>
    </w:p>
    <w:p w14:paraId="6F22E563" w14:textId="77777777" w:rsidR="004044D5" w:rsidRPr="00195B67" w:rsidRDefault="004044D5" w:rsidP="003652B1">
      <w:pPr>
        <w:pStyle w:val="Heading2"/>
        <w:rPr>
          <w:rFonts w:asciiTheme="minorHAnsi" w:hAnsiTheme="minorHAnsi" w:cstheme="minorHAnsi"/>
          <w:sz w:val="20"/>
          <w:szCs w:val="20"/>
        </w:rPr>
      </w:pPr>
      <w:bookmarkStart w:id="28" w:name="_Toc72137501"/>
      <w:r w:rsidRPr="00195B67">
        <w:rPr>
          <w:rFonts w:eastAsia="Times New Roman"/>
        </w:rPr>
        <w:t xml:space="preserve">Produce bags can easily be phased </w:t>
      </w:r>
      <w:proofErr w:type="gramStart"/>
      <w:r w:rsidRPr="00195B67">
        <w:rPr>
          <w:rFonts w:eastAsia="Times New Roman"/>
        </w:rPr>
        <w:t>out</w:t>
      </w:r>
      <w:bookmarkEnd w:id="28"/>
      <w:proofErr w:type="gramEnd"/>
    </w:p>
    <w:p w14:paraId="28C7018D" w14:textId="5C078047" w:rsidR="004044D5" w:rsidRPr="00195B67" w:rsidRDefault="004044D5" w:rsidP="003652B1">
      <w:pPr>
        <w:pStyle w:val="BodyText"/>
      </w:pPr>
      <w:r w:rsidRPr="00195B67">
        <w:t>The consultation document proposed a phase</w:t>
      </w:r>
      <w:r w:rsidR="00B47DAE" w:rsidRPr="00195B67">
        <w:t xml:space="preserve"> </w:t>
      </w:r>
      <w:r w:rsidRPr="00195B67">
        <w:t>out for produce bags</w:t>
      </w:r>
      <w:r w:rsidR="00F21982" w:rsidRPr="00195B67">
        <w:t>,</w:t>
      </w:r>
      <w:r w:rsidRPr="00195B67">
        <w:t xml:space="preserve"> which are under 70</w:t>
      </w:r>
      <w:r w:rsidR="00C42F9A" w:rsidRPr="00195B67">
        <w:t> </w:t>
      </w:r>
      <w:r w:rsidRPr="00195B67">
        <w:t>microns thick, without handles,</w:t>
      </w:r>
      <w:r w:rsidR="00F21982" w:rsidRPr="00195B67">
        <w:t xml:space="preserve"> and used</w:t>
      </w:r>
      <w:r w:rsidRPr="00195B67">
        <w:t xml:space="preserve"> for carrying fruit and vegetables. </w:t>
      </w:r>
    </w:p>
    <w:p w14:paraId="4D6638DB" w14:textId="1CA76D34" w:rsidR="0055530A" w:rsidRPr="00195B67" w:rsidRDefault="00084B62" w:rsidP="003652B1">
      <w:pPr>
        <w:pStyle w:val="BodyText"/>
      </w:pPr>
      <w:r w:rsidRPr="00195B67">
        <w:t>Many s</w:t>
      </w:r>
      <w:r w:rsidR="004044D5" w:rsidRPr="00195B67">
        <w:t>ubmitters suggested expanding the scope to include ‘net’ type produce bags</w:t>
      </w:r>
      <w:r w:rsidR="00722F48" w:rsidRPr="00195B67">
        <w:t>.</w:t>
      </w:r>
      <w:r w:rsidR="004044D5" w:rsidRPr="00195B67">
        <w:rPr>
          <w:vertAlign w:val="superscript"/>
        </w:rPr>
        <w:footnoteReference w:id="13"/>
      </w:r>
      <w:r w:rsidR="004044D5" w:rsidRPr="00195B67">
        <w:t xml:space="preserve"> </w:t>
      </w:r>
    </w:p>
    <w:p w14:paraId="409DF9C3" w14:textId="26D0FBD6" w:rsidR="004044D5" w:rsidRPr="00195B67" w:rsidRDefault="0055530A" w:rsidP="003652B1">
      <w:pPr>
        <w:pStyle w:val="BodyText"/>
      </w:pPr>
      <w:r w:rsidRPr="00195B67">
        <w:t>Of the 384</w:t>
      </w:r>
      <w:r w:rsidR="00860F10" w:rsidRPr="00195B67">
        <w:t>8</w:t>
      </w:r>
      <w:r w:rsidRPr="00195B67">
        <w:t xml:space="preserve"> substantive submissions, </w:t>
      </w:r>
      <w:r w:rsidR="00602723" w:rsidRPr="00195B67">
        <w:t>two</w:t>
      </w:r>
      <w:r w:rsidRPr="00195B67">
        <w:t xml:space="preserve"> submitter</w:t>
      </w:r>
      <w:r w:rsidR="00602723" w:rsidRPr="00195B67">
        <w:t>s</w:t>
      </w:r>
      <w:r w:rsidRPr="00195B67">
        <w:t xml:space="preserve"> oppose</w:t>
      </w:r>
      <w:r w:rsidR="00F24001" w:rsidRPr="00195B67">
        <w:t>d</w:t>
      </w:r>
      <w:r w:rsidRPr="00195B67">
        <w:t xml:space="preserve"> the ban on produce bags.</w:t>
      </w:r>
      <w:r w:rsidR="00602723" w:rsidRPr="00195B67">
        <w:t xml:space="preserve"> </w:t>
      </w:r>
      <w:r w:rsidR="00816E7A" w:rsidRPr="00195B67">
        <w:t>Short</w:t>
      </w:r>
      <w:r w:rsidR="00C42F9A" w:rsidRPr="00195B67">
        <w:noBreakHyphen/>
      </w:r>
      <w:r w:rsidR="00816E7A" w:rsidRPr="00195B67">
        <w:t>form</w:t>
      </w:r>
      <w:r w:rsidR="00602723" w:rsidRPr="00195B67">
        <w:t xml:space="preserve"> submitters who provided comment around why they </w:t>
      </w:r>
      <w:r w:rsidR="00F24001" w:rsidRPr="00195B67">
        <w:t xml:space="preserve">did </w:t>
      </w:r>
      <w:r w:rsidR="00602723" w:rsidRPr="00195B67">
        <w:t>not support a phase</w:t>
      </w:r>
      <w:r w:rsidR="00B47DAE" w:rsidRPr="00195B67">
        <w:t xml:space="preserve"> </w:t>
      </w:r>
      <w:r w:rsidR="00602723" w:rsidRPr="00195B67">
        <w:t>out of produce bags sa</w:t>
      </w:r>
      <w:r w:rsidR="007C52A5" w:rsidRPr="00195B67">
        <w:t>id</w:t>
      </w:r>
      <w:r w:rsidR="00602723" w:rsidRPr="00195B67">
        <w:t xml:space="preserve"> they </w:t>
      </w:r>
      <w:r w:rsidR="007C52A5" w:rsidRPr="00195B67">
        <w:t>were</w:t>
      </w:r>
      <w:r w:rsidR="00602723" w:rsidRPr="00195B67">
        <w:t xml:space="preserve"> useful.</w:t>
      </w:r>
      <w:r w:rsidR="00602723" w:rsidRPr="00195B67">
        <w:rPr>
          <w:vertAlign w:val="superscript"/>
        </w:rPr>
        <w:footnoteReference w:id="14"/>
      </w:r>
    </w:p>
    <w:p w14:paraId="0432666A" w14:textId="77777777" w:rsidR="004044D5" w:rsidRPr="00195B67" w:rsidRDefault="004044D5" w:rsidP="00C42F9A">
      <w:pPr>
        <w:pStyle w:val="Heading2"/>
      </w:pPr>
      <w:bookmarkStart w:id="29" w:name="_Toc72137502"/>
      <w:r w:rsidRPr="00195B67">
        <w:t xml:space="preserve">Tableware can easily be phased </w:t>
      </w:r>
      <w:proofErr w:type="gramStart"/>
      <w:r w:rsidRPr="00195B67">
        <w:t>out</w:t>
      </w:r>
      <w:bookmarkEnd w:id="29"/>
      <w:proofErr w:type="gramEnd"/>
    </w:p>
    <w:p w14:paraId="1C8FA0D7" w14:textId="2A705DB2" w:rsidR="004044D5" w:rsidRPr="00195B67" w:rsidRDefault="004044D5" w:rsidP="00C42F9A">
      <w:pPr>
        <w:pStyle w:val="BodyText"/>
      </w:pPr>
      <w:r w:rsidRPr="00195B67">
        <w:t>The consultation document proposed a phase</w:t>
      </w:r>
      <w:r w:rsidR="00567F5E" w:rsidRPr="00195B67">
        <w:t xml:space="preserve"> </w:t>
      </w:r>
      <w:r w:rsidRPr="00195B67">
        <w:t>out for plastic tableware and cutlery intended for single</w:t>
      </w:r>
      <w:r w:rsidR="00567F5E" w:rsidRPr="00195B67">
        <w:t xml:space="preserve"> </w:t>
      </w:r>
      <w:r w:rsidRPr="00195B67">
        <w:t>use (including multipacks).</w:t>
      </w:r>
    </w:p>
    <w:p w14:paraId="4D1A11A6" w14:textId="40E78348" w:rsidR="004044D5" w:rsidRPr="00195B67" w:rsidRDefault="004044D5" w:rsidP="00C42F9A">
      <w:pPr>
        <w:pStyle w:val="BodyText"/>
      </w:pPr>
      <w:r w:rsidRPr="00195B67">
        <w:t>None of the 384</w:t>
      </w:r>
      <w:r w:rsidR="00860F10" w:rsidRPr="00195B67">
        <w:t>8</w:t>
      </w:r>
      <w:r w:rsidRPr="00195B67">
        <w:t xml:space="preserve"> substantive submissions specif</w:t>
      </w:r>
      <w:r w:rsidR="00722F48" w:rsidRPr="00195B67">
        <w:t>ied</w:t>
      </w:r>
      <w:r w:rsidRPr="00195B67">
        <w:t xml:space="preserve"> if they oppose</w:t>
      </w:r>
      <w:r w:rsidR="00F24001" w:rsidRPr="00195B67">
        <w:t>d</w:t>
      </w:r>
      <w:r w:rsidRPr="00195B67">
        <w:t xml:space="preserve"> a phase</w:t>
      </w:r>
      <w:r w:rsidR="000D3FB1" w:rsidRPr="00195B67">
        <w:t xml:space="preserve"> </w:t>
      </w:r>
      <w:r w:rsidRPr="00195B67">
        <w:t>out of plastic tableware. Many NGO</w:t>
      </w:r>
      <w:r w:rsidRPr="00195B67">
        <w:rPr>
          <w:vertAlign w:val="superscript"/>
        </w:rPr>
        <w:footnoteReference w:id="15"/>
      </w:r>
      <w:r w:rsidRPr="00195B67">
        <w:t xml:space="preserve"> and individual</w:t>
      </w:r>
      <w:r w:rsidRPr="00195B67">
        <w:rPr>
          <w:vertAlign w:val="superscript"/>
        </w:rPr>
        <w:footnoteReference w:id="16"/>
      </w:r>
      <w:r w:rsidRPr="00195B67">
        <w:t xml:space="preserve"> submitters suggest</w:t>
      </w:r>
      <w:r w:rsidR="00F24001" w:rsidRPr="00195B67">
        <w:t>ed</w:t>
      </w:r>
      <w:r w:rsidRPr="00195B67">
        <w:t xml:space="preserve"> broadening the scope for phase</w:t>
      </w:r>
      <w:r w:rsidR="003E30FC" w:rsidRPr="00195B67">
        <w:t> </w:t>
      </w:r>
      <w:r w:rsidRPr="00195B67">
        <w:t>out to include plastic</w:t>
      </w:r>
      <w:r w:rsidR="000D3FB1" w:rsidRPr="00195B67">
        <w:t>-</w:t>
      </w:r>
      <w:r w:rsidRPr="00195B67">
        <w:t>lined tableware (</w:t>
      </w:r>
      <w:r w:rsidR="000D3FB1" w:rsidRPr="00195B67">
        <w:t>for example</w:t>
      </w:r>
      <w:r w:rsidR="00084B62" w:rsidRPr="00195B67">
        <w:t>,</w:t>
      </w:r>
      <w:r w:rsidRPr="00195B67">
        <w:t xml:space="preserve"> plastic</w:t>
      </w:r>
      <w:r w:rsidR="000D3FB1" w:rsidRPr="00195B67">
        <w:t>-</w:t>
      </w:r>
      <w:r w:rsidRPr="00195B67">
        <w:t>lined cardboard bowls and</w:t>
      </w:r>
      <w:r w:rsidR="003E30FC" w:rsidRPr="00195B67">
        <w:t> </w:t>
      </w:r>
      <w:r w:rsidRPr="00195B67">
        <w:t xml:space="preserve">containers). </w:t>
      </w:r>
    </w:p>
    <w:p w14:paraId="7C23FA52" w14:textId="2F696C7D" w:rsidR="004044D5" w:rsidRPr="00195B67" w:rsidRDefault="00816E7A" w:rsidP="00C42F9A">
      <w:pPr>
        <w:pStyle w:val="BodyText"/>
        <w:rPr>
          <w:sz w:val="20"/>
          <w:szCs w:val="20"/>
        </w:rPr>
      </w:pPr>
      <w:r w:rsidRPr="00195B67">
        <w:t>Short-form</w:t>
      </w:r>
      <w:r w:rsidR="004044D5" w:rsidRPr="00195B67">
        <w:t xml:space="preserve"> submitters who comment</w:t>
      </w:r>
      <w:r w:rsidR="002258BA" w:rsidRPr="00195B67">
        <w:t>ed</w:t>
      </w:r>
      <w:r w:rsidR="004044D5" w:rsidRPr="00195B67">
        <w:t xml:space="preserve"> </w:t>
      </w:r>
      <w:r w:rsidR="002258BA" w:rsidRPr="00195B67">
        <w:t xml:space="preserve">on </w:t>
      </w:r>
      <w:r w:rsidR="004044D5" w:rsidRPr="00195B67">
        <w:t xml:space="preserve">why they </w:t>
      </w:r>
      <w:r w:rsidR="00F24001" w:rsidRPr="00195B67">
        <w:t xml:space="preserve">did </w:t>
      </w:r>
      <w:r w:rsidR="004044D5" w:rsidRPr="00195B67">
        <w:t>not support a phase</w:t>
      </w:r>
      <w:r w:rsidR="002258BA" w:rsidRPr="00195B67">
        <w:t xml:space="preserve"> </w:t>
      </w:r>
      <w:r w:rsidR="004044D5" w:rsidRPr="00195B67">
        <w:t xml:space="preserve">out of plastic tableware </w:t>
      </w:r>
      <w:r w:rsidR="00DA17A7" w:rsidRPr="00195B67">
        <w:t>we</w:t>
      </w:r>
      <w:r w:rsidR="004044D5" w:rsidRPr="00195B67">
        <w:t xml:space="preserve">re concerned about the accessibility </w:t>
      </w:r>
      <w:r w:rsidR="009B33D3" w:rsidRPr="00195B67">
        <w:t xml:space="preserve">effects </w:t>
      </w:r>
      <w:r w:rsidR="004044D5" w:rsidRPr="00195B67">
        <w:t xml:space="preserve">for </w:t>
      </w:r>
      <w:r w:rsidR="007C52A5" w:rsidRPr="00195B67">
        <w:t xml:space="preserve">disabled </w:t>
      </w:r>
      <w:r w:rsidR="004044D5" w:rsidRPr="00195B67">
        <w:t>people</w:t>
      </w:r>
      <w:r w:rsidR="004044D5" w:rsidRPr="00195B67">
        <w:rPr>
          <w:vertAlign w:val="superscript"/>
        </w:rPr>
        <w:footnoteReference w:id="17"/>
      </w:r>
      <w:r w:rsidR="004044D5" w:rsidRPr="00195B67">
        <w:t xml:space="preserve"> and the </w:t>
      </w:r>
      <w:r w:rsidR="00722F48" w:rsidRPr="00195B67">
        <w:t xml:space="preserve">environmental </w:t>
      </w:r>
      <w:r w:rsidR="004044D5" w:rsidRPr="00195B67">
        <w:t xml:space="preserve">consequences that could come from switching to another </w:t>
      </w:r>
      <w:r w:rsidR="00F21982" w:rsidRPr="00195B67">
        <w:t xml:space="preserve">single-use </w:t>
      </w:r>
      <w:r w:rsidR="004044D5" w:rsidRPr="00195B67">
        <w:t>material (</w:t>
      </w:r>
      <w:r w:rsidR="009B33D3" w:rsidRPr="00195B67">
        <w:t>for example</w:t>
      </w:r>
      <w:r w:rsidR="00084B62" w:rsidRPr="00195B67">
        <w:t>,</w:t>
      </w:r>
      <w:r w:rsidR="004044D5" w:rsidRPr="00195B67">
        <w:t xml:space="preserve"> cardboard).</w:t>
      </w:r>
      <w:r w:rsidR="004044D5" w:rsidRPr="00195B67">
        <w:rPr>
          <w:vertAlign w:val="superscript"/>
        </w:rPr>
        <w:footnoteReference w:id="18"/>
      </w:r>
      <w:r w:rsidR="004044D5" w:rsidRPr="00195B67">
        <w:t xml:space="preserve"> </w:t>
      </w:r>
    </w:p>
    <w:p w14:paraId="4F3D7A00" w14:textId="33AD0464" w:rsidR="004044D5" w:rsidRPr="00195B67" w:rsidRDefault="004044D5" w:rsidP="000F3FF3">
      <w:pPr>
        <w:pStyle w:val="Heading2"/>
      </w:pPr>
      <w:bookmarkStart w:id="30" w:name="_Toc72137503"/>
      <w:r w:rsidRPr="00195B67">
        <w:rPr>
          <w:rFonts w:eastAsia="Times New Roman"/>
        </w:rPr>
        <w:t>Significant support for phasing</w:t>
      </w:r>
      <w:r w:rsidR="004E144C" w:rsidRPr="00195B67">
        <w:rPr>
          <w:rFonts w:eastAsia="Times New Roman"/>
        </w:rPr>
        <w:t xml:space="preserve"> </w:t>
      </w:r>
      <w:r w:rsidRPr="00195B67">
        <w:rPr>
          <w:rFonts w:eastAsia="Times New Roman"/>
        </w:rPr>
        <w:t xml:space="preserve">out produce </w:t>
      </w:r>
      <w:r w:rsidR="00207CB8" w:rsidRPr="00195B67">
        <w:rPr>
          <w:rFonts w:eastAsia="Times New Roman"/>
        </w:rPr>
        <w:t>labels</w:t>
      </w:r>
      <w:r w:rsidRPr="00195B67">
        <w:rPr>
          <w:rFonts w:eastAsia="Times New Roman"/>
        </w:rPr>
        <w:t>, with</w:t>
      </w:r>
      <w:r w:rsidR="000F3FF3" w:rsidRPr="00195B67">
        <w:rPr>
          <w:rFonts w:eastAsia="Times New Roman"/>
        </w:rPr>
        <w:t> </w:t>
      </w:r>
      <w:r w:rsidRPr="00195B67">
        <w:t xml:space="preserve">some </w:t>
      </w:r>
      <w:proofErr w:type="gramStart"/>
      <w:r w:rsidRPr="00195B67">
        <w:t>challenges</w:t>
      </w:r>
      <w:bookmarkEnd w:id="30"/>
      <w:proofErr w:type="gramEnd"/>
    </w:p>
    <w:p w14:paraId="047E29BF" w14:textId="59576E46" w:rsidR="004044D5" w:rsidRPr="00195B67" w:rsidRDefault="004044D5" w:rsidP="000F3FF3">
      <w:pPr>
        <w:pStyle w:val="BodyText"/>
      </w:pPr>
      <w:r w:rsidRPr="00195B67">
        <w:t>The consultation proposed a phase</w:t>
      </w:r>
      <w:r w:rsidR="00E26F94" w:rsidRPr="00195B67">
        <w:t xml:space="preserve"> </w:t>
      </w:r>
      <w:r w:rsidRPr="00195B67">
        <w:t xml:space="preserve">out </w:t>
      </w:r>
      <w:r w:rsidR="003B4872" w:rsidRPr="00195B67">
        <w:t>of</w:t>
      </w:r>
      <w:r w:rsidRPr="00195B67">
        <w:t xml:space="preserve"> plastic produce labels </w:t>
      </w:r>
      <w:r w:rsidR="0021444A" w:rsidRPr="00195B67">
        <w:t xml:space="preserve">used </w:t>
      </w:r>
      <w:r w:rsidRPr="00195B67">
        <w:t xml:space="preserve">on fruit or vegetables sold in New Zealand and made partly or wholly of plastic that is not compostable. The consultation document proposed that produce for export could be exempt if </w:t>
      </w:r>
      <w:r w:rsidR="00F21982" w:rsidRPr="00195B67">
        <w:t xml:space="preserve">a plastic label is </w:t>
      </w:r>
      <w:r w:rsidRPr="00195B67">
        <w:t xml:space="preserve">required to meet market conditions. </w:t>
      </w:r>
    </w:p>
    <w:p w14:paraId="77142C65" w14:textId="0BF95200" w:rsidR="004044D5" w:rsidRPr="00195B67" w:rsidRDefault="004044D5" w:rsidP="00BC09F0">
      <w:pPr>
        <w:pStyle w:val="Heading3"/>
      </w:pPr>
      <w:r w:rsidRPr="00195B67">
        <w:lastRenderedPageBreak/>
        <w:t>Wide suppo</w:t>
      </w:r>
      <w:r w:rsidR="00B37A0F" w:rsidRPr="00195B67">
        <w:t xml:space="preserve">rt, </w:t>
      </w:r>
      <w:r w:rsidRPr="00195B67">
        <w:t xml:space="preserve">but challenges identified by the horticulture </w:t>
      </w:r>
      <w:proofErr w:type="gramStart"/>
      <w:r w:rsidRPr="00195B67">
        <w:t>industry</w:t>
      </w:r>
      <w:proofErr w:type="gramEnd"/>
    </w:p>
    <w:p w14:paraId="58C04932" w14:textId="2DC73CB2" w:rsidR="004044D5" w:rsidRPr="00195B67" w:rsidRDefault="002B28B9" w:rsidP="00BC09F0">
      <w:pPr>
        <w:pStyle w:val="BodyText"/>
      </w:pPr>
      <w:r w:rsidRPr="00195B67">
        <w:t xml:space="preserve">Of </w:t>
      </w:r>
      <w:r w:rsidR="00C41F43" w:rsidRPr="00195B67">
        <w:t xml:space="preserve">the </w:t>
      </w:r>
      <w:r w:rsidRPr="00195B67">
        <w:t>384</w:t>
      </w:r>
      <w:r w:rsidR="00860F10" w:rsidRPr="00195B67">
        <w:t>8</w:t>
      </w:r>
      <w:r w:rsidRPr="00195B67">
        <w:t xml:space="preserve"> substantive submissions, f</w:t>
      </w:r>
      <w:r w:rsidR="004044D5" w:rsidRPr="00195B67">
        <w:t>ive industry submitters d</w:t>
      </w:r>
      <w:r w:rsidR="007C52A5" w:rsidRPr="00195B67">
        <w:t>id</w:t>
      </w:r>
      <w:r w:rsidR="004044D5" w:rsidRPr="00195B67">
        <w:t xml:space="preserve"> not support the phase</w:t>
      </w:r>
      <w:r w:rsidR="00C41F43" w:rsidRPr="00195B67">
        <w:t xml:space="preserve"> </w:t>
      </w:r>
      <w:r w:rsidR="004044D5" w:rsidRPr="00195B67">
        <w:t xml:space="preserve">out of produce </w:t>
      </w:r>
      <w:r w:rsidR="00207CB8" w:rsidRPr="00195B67">
        <w:t>label</w:t>
      </w:r>
      <w:r w:rsidR="004044D5" w:rsidRPr="00195B67">
        <w:t>s and would prefer a voluntary approach.</w:t>
      </w:r>
      <w:r w:rsidR="00084B62" w:rsidRPr="00195B67">
        <w:t xml:space="preserve"> </w:t>
      </w:r>
      <w:r w:rsidR="004044D5" w:rsidRPr="00195B67">
        <w:t xml:space="preserve">While this is a relatively small number of submissions, they represent </w:t>
      </w:r>
      <w:r w:rsidR="007C52A5" w:rsidRPr="00195B67">
        <w:t>key</w:t>
      </w:r>
      <w:r w:rsidR="004044D5" w:rsidRPr="00195B67">
        <w:t xml:space="preserve"> manufacturers and the horticulture industry</w:t>
      </w:r>
      <w:r w:rsidR="007C52A5" w:rsidRPr="00195B67">
        <w:t xml:space="preserve"> most</w:t>
      </w:r>
      <w:r w:rsidR="004044D5" w:rsidRPr="00195B67">
        <w:t xml:space="preserve"> affected.</w:t>
      </w:r>
      <w:r w:rsidR="00AA0263" w:rsidRPr="00195B67">
        <w:t xml:space="preserve"> </w:t>
      </w:r>
      <w:r w:rsidR="00207CB8" w:rsidRPr="00195B67">
        <w:t>Comments from these submitters included</w:t>
      </w:r>
      <w:r w:rsidR="004044D5" w:rsidRPr="00195B67">
        <w:t>:</w:t>
      </w:r>
    </w:p>
    <w:p w14:paraId="63C4EBC3" w14:textId="21F1DDDC" w:rsidR="004044D5" w:rsidRPr="00195B67" w:rsidRDefault="004044D5" w:rsidP="00BC09F0">
      <w:pPr>
        <w:pStyle w:val="Quote"/>
      </w:pPr>
      <w:r w:rsidRPr="00195B67">
        <w:t>Fruit stickers play a vital part in food identity, food traceability, brand identity (as all other packaging is being removed) and preventing product fraud.</w:t>
      </w:r>
      <w:r w:rsidRPr="00195B67">
        <w:rPr>
          <w:vertAlign w:val="superscript"/>
        </w:rPr>
        <w:footnoteReference w:id="19"/>
      </w:r>
    </w:p>
    <w:p w14:paraId="477E4C1F" w14:textId="5C725B3C" w:rsidR="004044D5" w:rsidRPr="00195B67" w:rsidRDefault="004044D5" w:rsidP="00BC09F0">
      <w:pPr>
        <w:pStyle w:val="Quote"/>
      </w:pPr>
      <w:r w:rsidRPr="00195B67">
        <w:t xml:space="preserve">Some industry members have committed to have an effective home compostable label solution in market by 2025. Adding a mandatory </w:t>
      </w:r>
      <w:r w:rsidR="00207CB8" w:rsidRPr="00195B67">
        <w:t>phase-out</w:t>
      </w:r>
      <w:r w:rsidRPr="00195B67">
        <w:t xml:space="preserve"> legislation on top of the existing positive momentum seems distracting, </w:t>
      </w:r>
      <w:proofErr w:type="gramStart"/>
      <w:r w:rsidRPr="00195B67">
        <w:t>unnecessary</w:t>
      </w:r>
      <w:proofErr w:type="gramEnd"/>
      <w:r w:rsidRPr="00195B67">
        <w:t xml:space="preserve"> and potentially wasteful.</w:t>
      </w:r>
      <w:r w:rsidRPr="00195B67">
        <w:rPr>
          <w:vertAlign w:val="superscript"/>
        </w:rPr>
        <w:footnoteReference w:id="20"/>
      </w:r>
    </w:p>
    <w:p w14:paraId="1B5DDF35" w14:textId="18782712" w:rsidR="004044D5" w:rsidRPr="00195B67" w:rsidRDefault="004044D5" w:rsidP="00BC09F0">
      <w:pPr>
        <w:pStyle w:val="Quote"/>
      </w:pPr>
      <w:r w:rsidRPr="00195B67">
        <w:t>Moving to an eco-compostable label, cost increase would be +70</w:t>
      </w:r>
      <w:r w:rsidR="00892918" w:rsidRPr="00195B67">
        <w:t xml:space="preserve"> per cent</w:t>
      </w:r>
      <w:r w:rsidRPr="00195B67">
        <w:t xml:space="preserve"> of current costs as quoted by supplier.</w:t>
      </w:r>
      <w:r w:rsidRPr="00195B67">
        <w:rPr>
          <w:vertAlign w:val="superscript"/>
        </w:rPr>
        <w:footnoteReference w:id="21"/>
      </w:r>
    </w:p>
    <w:p w14:paraId="5D1E22B1" w14:textId="7DF4C51C" w:rsidR="004044D5" w:rsidRPr="00195B67" w:rsidRDefault="00E01B8E" w:rsidP="00BC09F0">
      <w:pPr>
        <w:pStyle w:val="BodyText"/>
        <w:rPr>
          <w:b/>
          <w:bCs/>
        </w:rPr>
      </w:pPr>
      <w:r w:rsidRPr="00195B67">
        <w:rPr>
          <w:rFonts w:asciiTheme="minorHAnsi" w:hAnsiTheme="minorHAnsi"/>
        </w:rPr>
        <w:t>S</w:t>
      </w:r>
      <w:r w:rsidR="004044D5" w:rsidRPr="00195B67">
        <w:rPr>
          <w:rFonts w:asciiTheme="minorHAnsi" w:hAnsiTheme="minorHAnsi"/>
        </w:rPr>
        <w:t xml:space="preserve">ignificant process changes </w:t>
      </w:r>
      <w:r w:rsidRPr="00195B67">
        <w:rPr>
          <w:rFonts w:asciiTheme="minorHAnsi" w:hAnsiTheme="minorHAnsi"/>
        </w:rPr>
        <w:t xml:space="preserve">may be </w:t>
      </w:r>
      <w:r w:rsidR="004044D5" w:rsidRPr="00195B67">
        <w:rPr>
          <w:rFonts w:asciiTheme="minorHAnsi" w:hAnsiTheme="minorHAnsi"/>
        </w:rPr>
        <w:t>required</w:t>
      </w:r>
      <w:r w:rsidR="00207CB8" w:rsidRPr="00195B67">
        <w:rPr>
          <w:rFonts w:asciiTheme="minorHAnsi" w:hAnsiTheme="minorHAnsi"/>
        </w:rPr>
        <w:t xml:space="preserve"> if a phase</w:t>
      </w:r>
      <w:r w:rsidRPr="00195B67">
        <w:rPr>
          <w:rFonts w:asciiTheme="minorHAnsi" w:hAnsiTheme="minorHAnsi"/>
        </w:rPr>
        <w:t xml:space="preserve"> </w:t>
      </w:r>
      <w:r w:rsidR="00207CB8" w:rsidRPr="00195B67">
        <w:rPr>
          <w:rFonts w:asciiTheme="minorHAnsi" w:hAnsiTheme="minorHAnsi"/>
        </w:rPr>
        <w:t>out of produce labels was implemented</w:t>
      </w:r>
      <w:r w:rsidR="004044D5" w:rsidRPr="00195B67">
        <w:rPr>
          <w:rFonts w:asciiTheme="minorHAnsi" w:hAnsiTheme="minorHAnsi"/>
        </w:rPr>
        <w:t>. I</w:t>
      </w:r>
      <w:r w:rsidR="004044D5" w:rsidRPr="00195B67">
        <w:t>n New Zealand</w:t>
      </w:r>
      <w:r w:rsidRPr="00195B67">
        <w:t>,</w:t>
      </w:r>
      <w:r w:rsidR="004044D5" w:rsidRPr="00195B67">
        <w:t xml:space="preserve"> most major crops are labelled and packed at the time of harvest </w:t>
      </w:r>
      <w:r w:rsidR="007C52A5" w:rsidRPr="00195B67">
        <w:t>without always</w:t>
      </w:r>
      <w:r w:rsidR="004044D5" w:rsidRPr="00195B67">
        <w:t xml:space="preserve"> knowing the final </w:t>
      </w:r>
      <w:r w:rsidR="007C52A5" w:rsidRPr="00195B67">
        <w:t xml:space="preserve">product’s destination </w:t>
      </w:r>
      <w:r w:rsidR="004044D5" w:rsidRPr="00195B67">
        <w:t>(</w:t>
      </w:r>
      <w:r w:rsidR="00C0749D" w:rsidRPr="00195B67">
        <w:t>for example</w:t>
      </w:r>
      <w:r w:rsidR="00084B62" w:rsidRPr="00195B67">
        <w:t>,</w:t>
      </w:r>
      <w:r w:rsidR="004044D5" w:rsidRPr="00195B67">
        <w:t xml:space="preserve"> exported or sold</w:t>
      </w:r>
      <w:r w:rsidR="00C0749D" w:rsidRPr="00195B67">
        <w:t> </w:t>
      </w:r>
      <w:r w:rsidR="004044D5" w:rsidRPr="00195B67">
        <w:t>domestically).</w:t>
      </w:r>
    </w:p>
    <w:p w14:paraId="0B14C609" w14:textId="77777777" w:rsidR="004044D5" w:rsidRPr="00195B67" w:rsidRDefault="004044D5" w:rsidP="00BC09F0">
      <w:pPr>
        <w:pStyle w:val="Heading2"/>
      </w:pPr>
      <w:bookmarkStart w:id="31" w:name="_Toc72137504"/>
      <w:r w:rsidRPr="00195B67">
        <w:t xml:space="preserve">Drink stirrers can easily be phased </w:t>
      </w:r>
      <w:proofErr w:type="gramStart"/>
      <w:r w:rsidRPr="00195B67">
        <w:t>out</w:t>
      </w:r>
      <w:bookmarkEnd w:id="31"/>
      <w:proofErr w:type="gramEnd"/>
    </w:p>
    <w:p w14:paraId="36FE095B" w14:textId="1496BDEB" w:rsidR="004044D5" w:rsidRPr="00195B67" w:rsidRDefault="004044D5" w:rsidP="00BC09F0">
      <w:pPr>
        <w:pStyle w:val="BodyText"/>
      </w:pPr>
      <w:r w:rsidRPr="00195B67">
        <w:t xml:space="preserve">The consultation proposed a </w:t>
      </w:r>
      <w:r w:rsidR="00207CB8" w:rsidRPr="00195B67">
        <w:t>phase</w:t>
      </w:r>
      <w:r w:rsidR="00BF319E" w:rsidRPr="00195B67">
        <w:t xml:space="preserve"> </w:t>
      </w:r>
      <w:r w:rsidR="00207CB8" w:rsidRPr="00195B67">
        <w:t>out</w:t>
      </w:r>
      <w:r w:rsidRPr="00195B67">
        <w:t xml:space="preserve"> for plastic drink stirrers </w:t>
      </w:r>
      <w:r w:rsidR="00BF319E" w:rsidRPr="00195B67">
        <w:t xml:space="preserve">that </w:t>
      </w:r>
      <w:r w:rsidRPr="00195B67">
        <w:t xml:space="preserve">are made partly or wholly of plastic. </w:t>
      </w:r>
    </w:p>
    <w:p w14:paraId="4AB9C9D7" w14:textId="3DEB7E7D" w:rsidR="004044D5" w:rsidRPr="00195B67" w:rsidRDefault="004044D5" w:rsidP="00BC09F0">
      <w:pPr>
        <w:pStyle w:val="BodyText"/>
      </w:pPr>
      <w:r w:rsidRPr="00195B67">
        <w:t>None of the 384</w:t>
      </w:r>
      <w:r w:rsidR="00860F10" w:rsidRPr="00195B67">
        <w:t>8</w:t>
      </w:r>
      <w:r w:rsidRPr="00195B67">
        <w:t xml:space="preserve"> substantive submi</w:t>
      </w:r>
      <w:r w:rsidR="008D26B9" w:rsidRPr="00195B67">
        <w:t>tters</w:t>
      </w:r>
      <w:r w:rsidRPr="00195B67">
        <w:t xml:space="preserve"> specif</w:t>
      </w:r>
      <w:r w:rsidR="00C45354" w:rsidRPr="00195B67">
        <w:t>ied</w:t>
      </w:r>
      <w:r w:rsidRPr="00195B67">
        <w:t xml:space="preserve"> if they disagree</w:t>
      </w:r>
      <w:r w:rsidR="00886C85" w:rsidRPr="00195B67">
        <w:t>d</w:t>
      </w:r>
      <w:r w:rsidRPr="00195B67">
        <w:t xml:space="preserve"> with a phase</w:t>
      </w:r>
      <w:r w:rsidR="00BF319E" w:rsidRPr="00195B67">
        <w:t xml:space="preserve"> </w:t>
      </w:r>
      <w:r w:rsidRPr="00195B67">
        <w:t xml:space="preserve">out of plastic drink stirrers. </w:t>
      </w:r>
      <w:r w:rsidR="008C6CF0" w:rsidRPr="00195B67">
        <w:t>N</w:t>
      </w:r>
      <w:r w:rsidRPr="00195B67">
        <w:t xml:space="preserve">o supporting comments </w:t>
      </w:r>
      <w:r w:rsidR="008C6CF0" w:rsidRPr="00195B67">
        <w:t xml:space="preserve">were made </w:t>
      </w:r>
      <w:r w:rsidRPr="00195B67">
        <w:t xml:space="preserve">from </w:t>
      </w:r>
      <w:r w:rsidR="00C45354" w:rsidRPr="00195B67">
        <w:t>any</w:t>
      </w:r>
      <w:r w:rsidRPr="00195B67">
        <w:t xml:space="preserve"> </w:t>
      </w:r>
      <w:r w:rsidR="00816E7A" w:rsidRPr="00195B67">
        <w:t>short-form</w:t>
      </w:r>
      <w:r w:rsidRPr="00195B67">
        <w:t xml:space="preserve"> submitters who oppose</w:t>
      </w:r>
      <w:r w:rsidR="00C45354" w:rsidRPr="00195B67">
        <w:t>d</w:t>
      </w:r>
      <w:r w:rsidR="00930E2A" w:rsidRPr="00195B67">
        <w:t xml:space="preserve"> </w:t>
      </w:r>
      <w:r w:rsidRPr="00195B67">
        <w:t>the phase</w:t>
      </w:r>
      <w:r w:rsidR="008C6CF0" w:rsidRPr="00195B67">
        <w:t xml:space="preserve"> </w:t>
      </w:r>
      <w:r w:rsidRPr="00195B67">
        <w:t>out</w:t>
      </w:r>
      <w:r w:rsidR="00084B62" w:rsidRPr="00195B67">
        <w:t xml:space="preserve"> of plastic drink stirrers</w:t>
      </w:r>
      <w:r w:rsidRPr="00195B67">
        <w:t>.</w:t>
      </w:r>
    </w:p>
    <w:p w14:paraId="3798E568" w14:textId="77777777" w:rsidR="004044D5" w:rsidRPr="00195B67" w:rsidRDefault="004044D5" w:rsidP="00BC09F0">
      <w:pPr>
        <w:pStyle w:val="Heading2"/>
        <w:rPr>
          <w:rFonts w:eastAsia="Times New Roman"/>
        </w:rPr>
      </w:pPr>
      <w:bookmarkStart w:id="32" w:name="_Toc72137505"/>
      <w:r w:rsidRPr="00195B67">
        <w:rPr>
          <w:rFonts w:eastAsia="Times New Roman"/>
        </w:rPr>
        <w:t xml:space="preserve">Cotton buds can easily be phased </w:t>
      </w:r>
      <w:proofErr w:type="gramStart"/>
      <w:r w:rsidRPr="00195B67">
        <w:rPr>
          <w:rFonts w:eastAsia="Times New Roman"/>
        </w:rPr>
        <w:t>out</w:t>
      </w:r>
      <w:bookmarkEnd w:id="32"/>
      <w:proofErr w:type="gramEnd"/>
    </w:p>
    <w:p w14:paraId="7FA5A7CF" w14:textId="1FB6991D" w:rsidR="004044D5" w:rsidRPr="00195B67" w:rsidRDefault="004044D5" w:rsidP="00BC09F0">
      <w:pPr>
        <w:pStyle w:val="BodyText"/>
      </w:pPr>
      <w:r w:rsidRPr="00195B67">
        <w:t>The consultation proposed a phase</w:t>
      </w:r>
      <w:r w:rsidR="00E7584F" w:rsidRPr="00195B67">
        <w:t xml:space="preserve"> </w:t>
      </w:r>
      <w:r w:rsidRPr="00195B67">
        <w:t>out for plastic cotton buds made wholly or partly of plastic with cotton wrapped around one or both ends</w:t>
      </w:r>
      <w:r w:rsidR="00C200AC" w:rsidRPr="00195B67">
        <w:t>,</w:t>
      </w:r>
      <w:r w:rsidRPr="00195B67">
        <w:t xml:space="preserve"> not designed or intended for reuse. </w:t>
      </w:r>
    </w:p>
    <w:p w14:paraId="74198F5D" w14:textId="28183E6E" w:rsidR="00023AED" w:rsidRPr="00195B67" w:rsidRDefault="00BC21B8" w:rsidP="00BC09F0">
      <w:pPr>
        <w:pStyle w:val="BodyText"/>
      </w:pPr>
      <w:r w:rsidRPr="00195B67">
        <w:t>O</w:t>
      </w:r>
      <w:r w:rsidR="00930E2A" w:rsidRPr="00195B67">
        <w:t>ne retailer</w:t>
      </w:r>
      <w:r w:rsidR="004044D5" w:rsidRPr="00195B67">
        <w:rPr>
          <w:vertAlign w:val="superscript"/>
        </w:rPr>
        <w:footnoteReference w:id="22"/>
      </w:r>
      <w:r w:rsidR="004044D5" w:rsidRPr="00195B67">
        <w:t xml:space="preserve"> </w:t>
      </w:r>
      <w:r w:rsidR="00930E2A" w:rsidRPr="00195B67">
        <w:t>sa</w:t>
      </w:r>
      <w:r w:rsidRPr="00195B67">
        <w:t>id</w:t>
      </w:r>
      <w:r w:rsidR="00930E2A" w:rsidRPr="00195B67">
        <w:t xml:space="preserve"> they have</w:t>
      </w:r>
      <w:r w:rsidR="004044D5" w:rsidRPr="00195B67">
        <w:t xml:space="preserve"> already voluntarily banned plastic</w:t>
      </w:r>
      <w:r w:rsidR="00306D01" w:rsidRPr="00195B67">
        <w:t>-</w:t>
      </w:r>
      <w:r w:rsidR="004044D5" w:rsidRPr="00195B67">
        <w:t xml:space="preserve">stemmed cotton buds from being sold in their stores. </w:t>
      </w:r>
      <w:proofErr w:type="gramStart"/>
      <w:r w:rsidR="00023AED" w:rsidRPr="00195B67">
        <w:t>A general public</w:t>
      </w:r>
      <w:proofErr w:type="gramEnd"/>
      <w:r w:rsidR="00023AED" w:rsidRPr="00195B67">
        <w:t xml:space="preserve"> submitter</w:t>
      </w:r>
      <w:r w:rsidR="004044D5" w:rsidRPr="00195B67">
        <w:t xml:space="preserve"> d</w:t>
      </w:r>
      <w:r w:rsidRPr="00195B67">
        <w:t>id</w:t>
      </w:r>
      <w:r w:rsidR="00722219" w:rsidRPr="00195B67">
        <w:t xml:space="preserve"> not</w:t>
      </w:r>
      <w:r w:rsidR="004044D5" w:rsidRPr="00195B67">
        <w:t xml:space="preserve"> support the phase</w:t>
      </w:r>
      <w:r w:rsidR="0034501B" w:rsidRPr="00195B67">
        <w:t xml:space="preserve"> </w:t>
      </w:r>
      <w:r w:rsidR="004044D5" w:rsidRPr="00195B67">
        <w:t>out of plastic</w:t>
      </w:r>
      <w:r w:rsidR="0034501B" w:rsidRPr="00195B67">
        <w:t>-</w:t>
      </w:r>
      <w:r w:rsidR="004044D5" w:rsidRPr="00195B67">
        <w:t>stemmed cotton buds saying they are concerned about the poor quality of alternatives (</w:t>
      </w:r>
      <w:r w:rsidR="0034501B" w:rsidRPr="00195B67">
        <w:t>for example</w:t>
      </w:r>
      <w:r w:rsidR="00084B62" w:rsidRPr="00195B67">
        <w:t>,</w:t>
      </w:r>
      <w:r w:rsidR="004044D5" w:rsidRPr="00195B67">
        <w:t xml:space="preserve"> wooden cotton buds).</w:t>
      </w:r>
      <w:r w:rsidR="004044D5" w:rsidRPr="00195B67">
        <w:rPr>
          <w:vertAlign w:val="superscript"/>
        </w:rPr>
        <w:footnoteReference w:id="23"/>
      </w:r>
      <w:r w:rsidR="004044D5" w:rsidRPr="00195B67">
        <w:t xml:space="preserve"> </w:t>
      </w:r>
    </w:p>
    <w:p w14:paraId="26FD31E0" w14:textId="711DC634" w:rsidR="004044D5" w:rsidRPr="00195B67" w:rsidRDefault="004044D5" w:rsidP="00BC09F0">
      <w:pPr>
        <w:pStyle w:val="BodyText"/>
      </w:pPr>
      <w:r w:rsidRPr="00195B67">
        <w:t xml:space="preserve">Three </w:t>
      </w:r>
      <w:r w:rsidR="00816E7A" w:rsidRPr="00195B67">
        <w:t>short-form</w:t>
      </w:r>
      <w:r w:rsidRPr="00195B67">
        <w:t xml:space="preserve"> submitters who provided comment for why they d</w:t>
      </w:r>
      <w:r w:rsidR="00886C85" w:rsidRPr="00195B67">
        <w:t>id</w:t>
      </w:r>
      <w:r w:rsidRPr="00195B67">
        <w:t xml:space="preserve"> not support </w:t>
      </w:r>
      <w:r w:rsidR="00930E2A" w:rsidRPr="00195B67">
        <w:t>the</w:t>
      </w:r>
      <w:r w:rsidRPr="00195B67">
        <w:t xml:space="preserve"> phase</w:t>
      </w:r>
      <w:r w:rsidR="00345363" w:rsidRPr="00195B67">
        <w:t xml:space="preserve"> </w:t>
      </w:r>
      <w:r w:rsidRPr="00195B67">
        <w:t xml:space="preserve">out </w:t>
      </w:r>
      <w:r w:rsidR="00084B62" w:rsidRPr="00195B67">
        <w:t>of plastic</w:t>
      </w:r>
      <w:r w:rsidR="00345363" w:rsidRPr="00195B67">
        <w:t>-</w:t>
      </w:r>
      <w:r w:rsidR="00084B62" w:rsidRPr="00195B67">
        <w:t xml:space="preserve">stemmed cotton buds </w:t>
      </w:r>
      <w:r w:rsidRPr="00195B67">
        <w:t>said they may be required for medical purposes.</w:t>
      </w:r>
      <w:r w:rsidRPr="00195B67">
        <w:rPr>
          <w:vertAlign w:val="superscript"/>
        </w:rPr>
        <w:footnoteReference w:id="24"/>
      </w:r>
    </w:p>
    <w:p w14:paraId="6E4CE544" w14:textId="4348BF6E" w:rsidR="00CB3E9A" w:rsidRPr="00195B67" w:rsidRDefault="00CB3E9A" w:rsidP="00BC09F0">
      <w:pPr>
        <w:pStyle w:val="Heading2"/>
      </w:pPr>
      <w:bookmarkStart w:id="33" w:name="_Toc72137506"/>
      <w:r w:rsidRPr="00195B67">
        <w:lastRenderedPageBreak/>
        <w:t>Feedback on phasing</w:t>
      </w:r>
      <w:r w:rsidR="004E144C" w:rsidRPr="00195B67">
        <w:t xml:space="preserve"> </w:t>
      </w:r>
      <w:r w:rsidRPr="00195B67">
        <w:t>out</w:t>
      </w:r>
      <w:r w:rsidR="00886C85" w:rsidRPr="00195B67">
        <w:t xml:space="preserve"> drinking</w:t>
      </w:r>
      <w:r w:rsidRPr="00195B67">
        <w:t xml:space="preserve"> straws is </w:t>
      </w:r>
      <w:proofErr w:type="gramStart"/>
      <w:r w:rsidRPr="00195B67">
        <w:t>mixed</w:t>
      </w:r>
      <w:bookmarkEnd w:id="33"/>
      <w:proofErr w:type="gramEnd"/>
    </w:p>
    <w:p w14:paraId="17044429" w14:textId="5B7143CB" w:rsidR="00CB3E9A" w:rsidRPr="00195B67" w:rsidRDefault="00CB3E9A" w:rsidP="00BC09F0">
      <w:pPr>
        <w:pStyle w:val="BodyText"/>
      </w:pPr>
      <w:r w:rsidRPr="00195B67">
        <w:t>The consultation proposed a phase</w:t>
      </w:r>
      <w:r w:rsidR="0021213B" w:rsidRPr="00195B67">
        <w:t xml:space="preserve"> </w:t>
      </w:r>
      <w:r w:rsidRPr="00195B67">
        <w:t xml:space="preserve">out for </w:t>
      </w:r>
      <w:proofErr w:type="gramStart"/>
      <w:r w:rsidRPr="00195B67">
        <w:t>single-use</w:t>
      </w:r>
      <w:proofErr w:type="gramEnd"/>
      <w:r w:rsidRPr="00195B67">
        <w:t xml:space="preserve"> drinking straws made wholly or partly from plastic</w:t>
      </w:r>
      <w:r w:rsidR="0021213B" w:rsidRPr="00195B67">
        <w:t xml:space="preserve"> and</w:t>
      </w:r>
      <w:r w:rsidRPr="00195B67">
        <w:t xml:space="preserve"> not designed or intended for reuse. The consultation document noted an exemption will be considered to allow access to plastic straws for disabled </w:t>
      </w:r>
      <w:r w:rsidR="00886C85" w:rsidRPr="00195B67">
        <w:t xml:space="preserve">people </w:t>
      </w:r>
      <w:r w:rsidRPr="00195B67">
        <w:t xml:space="preserve">and for medical purposes. </w:t>
      </w:r>
    </w:p>
    <w:p w14:paraId="19B7A673" w14:textId="2342983E" w:rsidR="00CB3E9A" w:rsidRPr="00195B67" w:rsidRDefault="00CB3E9A" w:rsidP="00BC09F0">
      <w:pPr>
        <w:pStyle w:val="Heading3"/>
      </w:pPr>
      <w:r w:rsidRPr="00195B67">
        <w:t>Many New Zealanders raise</w:t>
      </w:r>
      <w:r w:rsidR="0034561D" w:rsidRPr="00195B67">
        <w:t>d</w:t>
      </w:r>
      <w:r w:rsidRPr="00195B67">
        <w:t xml:space="preserve"> concerns around a phase</w:t>
      </w:r>
      <w:r w:rsidR="009A0DE9" w:rsidRPr="00195B67">
        <w:t xml:space="preserve"> </w:t>
      </w:r>
      <w:r w:rsidRPr="00195B67">
        <w:t xml:space="preserve">out for </w:t>
      </w:r>
      <w:proofErr w:type="gramStart"/>
      <w:r w:rsidRPr="00195B67">
        <w:t>straws</w:t>
      </w:r>
      <w:proofErr w:type="gramEnd"/>
    </w:p>
    <w:p w14:paraId="35793D2E" w14:textId="2405B3E9" w:rsidR="00CB3E9A" w:rsidRPr="00195B67" w:rsidRDefault="00BB300F" w:rsidP="00BC09F0">
      <w:pPr>
        <w:pStyle w:val="BodyText"/>
      </w:pPr>
      <w:r w:rsidRPr="00195B67">
        <w:t xml:space="preserve">Of </w:t>
      </w:r>
      <w:r w:rsidR="001A562A" w:rsidRPr="00195B67">
        <w:t xml:space="preserve">the </w:t>
      </w:r>
      <w:r w:rsidR="00CB3E9A" w:rsidRPr="00195B67">
        <w:t>submitters</w:t>
      </w:r>
      <w:r w:rsidR="00962E7C" w:rsidRPr="00195B67">
        <w:t>,</w:t>
      </w:r>
      <w:r w:rsidR="00CB3E9A" w:rsidRPr="00195B67">
        <w:t xml:space="preserve"> </w:t>
      </w:r>
      <w:r w:rsidRPr="00195B67">
        <w:t>3330</w:t>
      </w:r>
      <w:r w:rsidR="00520044" w:rsidRPr="00195B67">
        <w:t>,</w:t>
      </w:r>
      <w:r w:rsidRPr="00195B67">
        <w:t xml:space="preserve"> </w:t>
      </w:r>
      <w:r w:rsidR="00962E7C" w:rsidRPr="00195B67">
        <w:t xml:space="preserve">including two disability advocacy groups </w:t>
      </w:r>
      <w:r w:rsidR="00CB3E9A" w:rsidRPr="00195B67">
        <w:t xml:space="preserve">(46 </w:t>
      </w:r>
      <w:r w:rsidR="00816E7A" w:rsidRPr="00195B67">
        <w:t>short-form</w:t>
      </w:r>
      <w:r w:rsidR="00CB3E9A" w:rsidRPr="00195B67">
        <w:t xml:space="preserve"> and </w:t>
      </w:r>
      <w:r w:rsidR="00930E2A" w:rsidRPr="00195B67">
        <w:t>3284</w:t>
      </w:r>
      <w:r w:rsidR="00CB3E9A" w:rsidRPr="00195B67">
        <w:t xml:space="preserve"> substantive)</w:t>
      </w:r>
      <w:r w:rsidR="00021235" w:rsidRPr="00195B67">
        <w:t>,</w:t>
      </w:r>
      <w:r w:rsidR="00CB3E9A" w:rsidRPr="00195B67">
        <w:t xml:space="preserve"> disagree</w:t>
      </w:r>
      <w:r w:rsidR="00962E7C" w:rsidRPr="00195B67">
        <w:t>d</w:t>
      </w:r>
      <w:r w:rsidR="00CB3E9A" w:rsidRPr="00195B67">
        <w:t xml:space="preserve"> </w:t>
      </w:r>
      <w:r w:rsidR="00962E7C" w:rsidRPr="00195B67">
        <w:t xml:space="preserve">with, </w:t>
      </w:r>
      <w:r w:rsidR="00CB3E9A" w:rsidRPr="00195B67">
        <w:t>or raised concerns a</w:t>
      </w:r>
      <w:r w:rsidR="00962E7C" w:rsidRPr="00195B67">
        <w:t>bout</w:t>
      </w:r>
      <w:r w:rsidR="00886C85" w:rsidRPr="00195B67">
        <w:t>,</w:t>
      </w:r>
      <w:r w:rsidR="00CB3E9A" w:rsidRPr="00195B67">
        <w:t xml:space="preserve"> a phase</w:t>
      </w:r>
      <w:r w:rsidR="00021235" w:rsidRPr="00195B67">
        <w:t xml:space="preserve"> </w:t>
      </w:r>
      <w:r w:rsidR="00CB3E9A" w:rsidRPr="00195B67">
        <w:t xml:space="preserve">out and/or exemption for plastic straws. </w:t>
      </w:r>
      <w:r w:rsidR="001F600A" w:rsidRPr="00195B67">
        <w:t xml:space="preserve">These submitters </w:t>
      </w:r>
      <w:r w:rsidR="009C197F" w:rsidRPr="00195B67">
        <w:t xml:space="preserve">were supportive of a move away from plastic </w:t>
      </w:r>
      <w:proofErr w:type="gramStart"/>
      <w:r w:rsidR="009C197F" w:rsidRPr="00195B67">
        <w:t>waste</w:t>
      </w:r>
      <w:r w:rsidR="00B92C6D" w:rsidRPr="00195B67">
        <w:t>, but</w:t>
      </w:r>
      <w:proofErr w:type="gramEnd"/>
      <w:r w:rsidR="00B92C6D" w:rsidRPr="00195B67">
        <w:t xml:space="preserve"> </w:t>
      </w:r>
      <w:r w:rsidR="005F664F" w:rsidRPr="00195B67">
        <w:t>were</w:t>
      </w:r>
      <w:r w:rsidR="00707BE2" w:rsidRPr="00195B67">
        <w:t> </w:t>
      </w:r>
      <w:r w:rsidR="00B92C6D" w:rsidRPr="00195B67">
        <w:t>concern</w:t>
      </w:r>
      <w:r w:rsidR="001F600A" w:rsidRPr="00195B67">
        <w:t>ed</w:t>
      </w:r>
      <w:r w:rsidR="00B92C6D" w:rsidRPr="00195B67">
        <w:t xml:space="preserve"> about the </w:t>
      </w:r>
      <w:r w:rsidR="00CB3E9A" w:rsidRPr="00195B67">
        <w:t xml:space="preserve">impact on disabled people who may </w:t>
      </w:r>
      <w:r w:rsidR="00962E7C" w:rsidRPr="00195B67">
        <w:t>need single-use plastic straws to drink</w:t>
      </w:r>
      <w:r w:rsidR="00CB3E9A" w:rsidRPr="00195B67">
        <w:t xml:space="preserve">. </w:t>
      </w:r>
      <w:r w:rsidR="00084B62" w:rsidRPr="00195B67">
        <w:t>Comments from these submitters included</w:t>
      </w:r>
      <w:r w:rsidR="00CB3E9A" w:rsidRPr="00195B67">
        <w:t>:</w:t>
      </w:r>
    </w:p>
    <w:p w14:paraId="072CD86B" w14:textId="18557DB8" w:rsidR="00CB3E9A" w:rsidRPr="00195B67" w:rsidRDefault="00CB3E9A" w:rsidP="00BC09F0">
      <w:pPr>
        <w:pStyle w:val="Quote"/>
      </w:pPr>
      <w:r w:rsidRPr="00195B67">
        <w:t xml:space="preserve">We </w:t>
      </w:r>
      <w:proofErr w:type="gramStart"/>
      <w:r w:rsidRPr="00195B67">
        <w:t>don’t</w:t>
      </w:r>
      <w:proofErr w:type="gramEnd"/>
      <w:r w:rsidRPr="00195B67">
        <w:t xml:space="preserve"> support banning plastic straws. A plastic straw ban would be discriminatory. Some people need a plastic straw to drink. Reusable alternatives work well for some people, but not for everyone.</w:t>
      </w:r>
      <w:r w:rsidRPr="00195B67">
        <w:rPr>
          <w:vertAlign w:val="superscript"/>
        </w:rPr>
        <w:footnoteReference w:id="25"/>
      </w:r>
    </w:p>
    <w:p w14:paraId="5E773804" w14:textId="71696D39" w:rsidR="00CB3E9A" w:rsidRPr="00195B67" w:rsidRDefault="00CB3E9A" w:rsidP="00BC09F0">
      <w:pPr>
        <w:pStyle w:val="Quote"/>
      </w:pPr>
      <w:r w:rsidRPr="00195B67">
        <w:t xml:space="preserve">There are currently no alternatives that provide the access features that single-use plastic straws provide. Paper straws </w:t>
      </w:r>
      <w:proofErr w:type="gramStart"/>
      <w:r w:rsidRPr="00195B67">
        <w:t>in particular are</w:t>
      </w:r>
      <w:proofErr w:type="gramEnd"/>
      <w:r w:rsidRPr="00195B67">
        <w:t xml:space="preserve"> a very poor substitute and are unsuitable for the large majority of disabled people who use straws. Re-useable steel and silicone straws are also not suitable for some disabled people.</w:t>
      </w:r>
      <w:r w:rsidRPr="00195B67">
        <w:rPr>
          <w:vertAlign w:val="superscript"/>
        </w:rPr>
        <w:footnoteReference w:id="26"/>
      </w:r>
      <w:r w:rsidRPr="00195B67">
        <w:t xml:space="preserve"> </w:t>
      </w:r>
    </w:p>
    <w:p w14:paraId="0A1F1371" w14:textId="0BA7BC66" w:rsidR="00CB3E9A" w:rsidRPr="00195B67" w:rsidRDefault="00B822A5" w:rsidP="00637B99">
      <w:pPr>
        <w:pStyle w:val="BodyText"/>
      </w:pPr>
      <w:r>
        <w:t xml:space="preserve">Some </w:t>
      </w:r>
      <w:r w:rsidR="00CB3E9A" w:rsidRPr="00195B67">
        <w:t>submitters</w:t>
      </w:r>
      <w:r w:rsidR="00BD6ACF" w:rsidRPr="00195B67">
        <w:t xml:space="preserve"> were also concerned about the lack of detail around a possible </w:t>
      </w:r>
      <w:r w:rsidR="00CB3E9A" w:rsidRPr="00195B67">
        <w:t>exemption in</w:t>
      </w:r>
      <w:r w:rsidR="00637B99" w:rsidRPr="00195B67">
        <w:t> </w:t>
      </w:r>
      <w:r w:rsidR="00CB3E9A" w:rsidRPr="00195B67">
        <w:t>the consultation</w:t>
      </w:r>
      <w:r w:rsidR="00906F9C" w:rsidRPr="00195B67">
        <w:t xml:space="preserve"> document</w:t>
      </w:r>
      <w:r w:rsidR="00CB3E9A" w:rsidRPr="00195B67">
        <w:t>. They suggest</w:t>
      </w:r>
      <w:r w:rsidR="005F664F" w:rsidRPr="00195B67">
        <w:t>ed</w:t>
      </w:r>
      <w:r w:rsidR="00CB3E9A" w:rsidRPr="00195B67">
        <w:t xml:space="preserve"> further consultation </w:t>
      </w:r>
      <w:r w:rsidR="006358BF" w:rsidRPr="00195B67">
        <w:t xml:space="preserve">should </w:t>
      </w:r>
      <w:r w:rsidR="000C36AD" w:rsidRPr="00195B67">
        <w:t xml:space="preserve">be held </w:t>
      </w:r>
      <w:r w:rsidR="00CB3E9A" w:rsidRPr="00195B67">
        <w:t xml:space="preserve">with the </w:t>
      </w:r>
      <w:r w:rsidR="005F664F" w:rsidRPr="00195B67">
        <w:t xml:space="preserve">disability </w:t>
      </w:r>
      <w:r w:rsidR="00CB3E9A" w:rsidRPr="00195B67">
        <w:t>community</w:t>
      </w:r>
      <w:r>
        <w:t>.</w:t>
      </w:r>
      <w:r w:rsidR="00CB3E9A" w:rsidRPr="00195B67">
        <w:rPr>
          <w:vertAlign w:val="superscript"/>
        </w:rPr>
        <w:footnoteReference w:id="27"/>
      </w:r>
    </w:p>
    <w:p w14:paraId="653995D0" w14:textId="77777777" w:rsidR="00CB3E9A" w:rsidRPr="00195B67" w:rsidRDefault="00CB3E9A" w:rsidP="00637B99">
      <w:pPr>
        <w:pStyle w:val="Heading3"/>
      </w:pPr>
      <w:r w:rsidRPr="00195B67">
        <w:t xml:space="preserve">Some businesses support an exemption for drink carton </w:t>
      </w:r>
      <w:proofErr w:type="gramStart"/>
      <w:r w:rsidRPr="00195B67">
        <w:t>straws</w:t>
      </w:r>
      <w:proofErr w:type="gramEnd"/>
    </w:p>
    <w:p w14:paraId="6D353C81" w14:textId="0287E41B" w:rsidR="00CB3E9A" w:rsidRPr="00195B67" w:rsidRDefault="00CB3E9A" w:rsidP="00637B99">
      <w:pPr>
        <w:pStyle w:val="BodyText"/>
      </w:pPr>
      <w:r w:rsidRPr="00195B67">
        <w:t>Two business submitters suggest</w:t>
      </w:r>
      <w:r w:rsidR="005F664F" w:rsidRPr="00195B67">
        <w:t>ed</w:t>
      </w:r>
      <w:r w:rsidRPr="00195B67">
        <w:t xml:space="preserve"> that on-the-go drink carton straws be exempt until a practical alternative is found.</w:t>
      </w:r>
      <w:r w:rsidR="00AA0263" w:rsidRPr="00195B67">
        <w:t xml:space="preserve"> </w:t>
      </w:r>
    </w:p>
    <w:p w14:paraId="2E5F08F1" w14:textId="2DDC4638" w:rsidR="00CB3E9A" w:rsidRPr="00195B67" w:rsidRDefault="00CB3E9A" w:rsidP="00637B99">
      <w:pPr>
        <w:pStyle w:val="Heading2"/>
      </w:pPr>
      <w:bookmarkStart w:id="34" w:name="_Toc72137507"/>
      <w:r w:rsidRPr="00195B67">
        <w:t>Widespread support for phasing</w:t>
      </w:r>
      <w:r w:rsidR="0014291E" w:rsidRPr="00195B67">
        <w:t xml:space="preserve"> </w:t>
      </w:r>
      <w:r w:rsidRPr="00195B67">
        <w:t xml:space="preserve">out cups and their </w:t>
      </w:r>
      <w:proofErr w:type="gramStart"/>
      <w:r w:rsidRPr="00195B67">
        <w:t>lids</w:t>
      </w:r>
      <w:bookmarkEnd w:id="34"/>
      <w:proofErr w:type="gramEnd"/>
    </w:p>
    <w:p w14:paraId="0EE6C492" w14:textId="742A7E0C" w:rsidR="00CB3E9A" w:rsidRPr="00195B67" w:rsidRDefault="00CB3E9A" w:rsidP="00637B99">
      <w:pPr>
        <w:pStyle w:val="BodyText"/>
      </w:pPr>
      <w:r w:rsidRPr="00195B67">
        <w:t xml:space="preserve">The consultation proposed a </w:t>
      </w:r>
      <w:r w:rsidR="00207CB8" w:rsidRPr="00195B67">
        <w:t>phase</w:t>
      </w:r>
      <w:r w:rsidR="0014291E" w:rsidRPr="00195B67">
        <w:t xml:space="preserve"> </w:t>
      </w:r>
      <w:r w:rsidR="00207CB8" w:rsidRPr="00195B67">
        <w:t>out</w:t>
      </w:r>
      <w:r w:rsidRPr="00195B67">
        <w:t xml:space="preserve"> for single-use plastic cups and their lids made from hard-to-recycle plastics (plastics 3, 4, 6 and 7). The proposal included paper cups lined with plastic or bio-based plastics. </w:t>
      </w:r>
      <w:r w:rsidR="002961A7" w:rsidRPr="00195B67">
        <w:t xml:space="preserve">The proposal </w:t>
      </w:r>
      <w:r w:rsidRPr="00195B67">
        <w:t xml:space="preserve">excluded disposable coffee cups and proposed an exemption for cups made from recyclable plastics such as PET (1), </w:t>
      </w:r>
      <w:r w:rsidR="00BB2FD8" w:rsidRPr="00195B67">
        <w:t>high-density polyethylene (</w:t>
      </w:r>
      <w:r w:rsidRPr="00195B67">
        <w:t>HDPE</w:t>
      </w:r>
      <w:r w:rsidR="00BB2FD8" w:rsidRPr="00195B67">
        <w:t>_</w:t>
      </w:r>
      <w:r w:rsidRPr="00195B67">
        <w:t xml:space="preserve"> (2) and </w:t>
      </w:r>
      <w:r w:rsidR="00AF6499" w:rsidRPr="00195B67">
        <w:t>polypropylene (</w:t>
      </w:r>
      <w:r w:rsidRPr="00195B67">
        <w:t>PP</w:t>
      </w:r>
      <w:r w:rsidR="00AF6499" w:rsidRPr="00195B67">
        <w:t>)</w:t>
      </w:r>
      <w:r w:rsidRPr="00195B67">
        <w:t xml:space="preserve"> (5). </w:t>
      </w:r>
    </w:p>
    <w:p w14:paraId="460FBF4C" w14:textId="1D327B56" w:rsidR="00CB3E9A" w:rsidRPr="00195B67" w:rsidRDefault="000052C3" w:rsidP="00637B99">
      <w:pPr>
        <w:pStyle w:val="Heading3"/>
      </w:pPr>
      <w:r w:rsidRPr="00195B67">
        <w:t>M</w:t>
      </w:r>
      <w:r w:rsidR="00CB3E9A" w:rsidRPr="00195B67">
        <w:t xml:space="preserve">any submitters </w:t>
      </w:r>
      <w:r w:rsidRPr="00195B67">
        <w:t xml:space="preserve">disagreed </w:t>
      </w:r>
      <w:r w:rsidR="000367A9" w:rsidRPr="00195B67">
        <w:t xml:space="preserve">with </w:t>
      </w:r>
      <w:r w:rsidR="00962E7C" w:rsidRPr="00195B67">
        <w:t xml:space="preserve">the scope and wanted it to include more cups and </w:t>
      </w:r>
      <w:proofErr w:type="gramStart"/>
      <w:r w:rsidR="00962E7C" w:rsidRPr="00195B67">
        <w:t>lids</w:t>
      </w:r>
      <w:proofErr w:type="gramEnd"/>
    </w:p>
    <w:p w14:paraId="1F10DEE3" w14:textId="2523D896" w:rsidR="003F29DB" w:rsidRPr="00195B67" w:rsidRDefault="00974385" w:rsidP="00637B99">
      <w:pPr>
        <w:pStyle w:val="BodyText"/>
        <w:rPr>
          <w:rFonts w:eastAsiaTheme="majorEastAsia"/>
          <w:b/>
          <w:bCs/>
          <w:color w:val="1C556C"/>
          <w:sz w:val="20"/>
          <w:szCs w:val="20"/>
        </w:rPr>
      </w:pPr>
      <w:r w:rsidRPr="00195B67">
        <w:t>O</w:t>
      </w:r>
      <w:r w:rsidR="00B37A0F" w:rsidRPr="00195B67">
        <w:t xml:space="preserve">f </w:t>
      </w:r>
      <w:r w:rsidRPr="00195B67">
        <w:t xml:space="preserve">the </w:t>
      </w:r>
      <w:r w:rsidR="00B37A0F" w:rsidRPr="00195B67">
        <w:t>384</w:t>
      </w:r>
      <w:r w:rsidR="009C197F" w:rsidRPr="00195B67">
        <w:t>8</w:t>
      </w:r>
      <w:r w:rsidR="00B37A0F" w:rsidRPr="00195B67">
        <w:t xml:space="preserve"> substantive submitters</w:t>
      </w:r>
      <w:r w:rsidRPr="00195B67">
        <w:t>, 14.62 per cent (510)</w:t>
      </w:r>
      <w:r w:rsidR="000052C3" w:rsidRPr="00195B67">
        <w:t xml:space="preserve"> </w:t>
      </w:r>
      <w:r w:rsidR="00CB3E9A" w:rsidRPr="00195B67">
        <w:t>oppose</w:t>
      </w:r>
      <w:r w:rsidR="00EC621F" w:rsidRPr="00195B67">
        <w:t>d</w:t>
      </w:r>
      <w:r w:rsidR="00CB3E9A" w:rsidRPr="00195B67">
        <w:t xml:space="preserve"> exempting cups</w:t>
      </w:r>
      <w:r w:rsidR="00962E7C" w:rsidRPr="00195B67">
        <w:t xml:space="preserve"> made</w:t>
      </w:r>
      <w:r w:rsidR="00CB3E9A" w:rsidRPr="00195B67">
        <w:t xml:space="preserve"> from recyclable plastics</w:t>
      </w:r>
      <w:r w:rsidR="00E33A21" w:rsidRPr="00195B67">
        <w:t>,</w:t>
      </w:r>
      <w:r w:rsidR="00CB3E9A" w:rsidRPr="00195B67">
        <w:t xml:space="preserve"> such as PET (1), HDPE (2) and PP (5)</w:t>
      </w:r>
      <w:r w:rsidR="00E33A21" w:rsidRPr="00195B67">
        <w:t>,</w:t>
      </w:r>
      <w:r w:rsidR="00CB3E9A" w:rsidRPr="00195B67">
        <w:t xml:space="preserve"> from </w:t>
      </w:r>
      <w:r w:rsidR="00FC4A36" w:rsidRPr="00195B67">
        <w:t xml:space="preserve">a </w:t>
      </w:r>
      <w:r w:rsidR="00962E7C" w:rsidRPr="00195B67">
        <w:t>phase</w:t>
      </w:r>
      <w:r w:rsidR="00D834F0" w:rsidRPr="00195B67">
        <w:t xml:space="preserve"> </w:t>
      </w:r>
      <w:r w:rsidR="00962E7C" w:rsidRPr="00195B67">
        <w:t>out</w:t>
      </w:r>
      <w:r w:rsidR="00CB3E9A" w:rsidRPr="00195B67">
        <w:t xml:space="preserve">. </w:t>
      </w:r>
      <w:r w:rsidR="003F29DB" w:rsidRPr="00195B67">
        <w:t xml:space="preserve">These submitters </w:t>
      </w:r>
      <w:r w:rsidR="003F29DB" w:rsidRPr="00195B67">
        <w:lastRenderedPageBreak/>
        <w:t xml:space="preserve">reiterated the problems </w:t>
      </w:r>
      <w:r w:rsidR="002876AE" w:rsidRPr="00195B67">
        <w:t xml:space="preserve">such </w:t>
      </w:r>
      <w:r w:rsidR="003F29DB" w:rsidRPr="00195B67">
        <w:t>items can cause in the litter stream and that they may contaminate recycling.</w:t>
      </w:r>
      <w:r w:rsidR="003F29DB" w:rsidRPr="00195B67">
        <w:rPr>
          <w:sz w:val="20"/>
          <w:szCs w:val="20"/>
          <w:vertAlign w:val="superscript"/>
        </w:rPr>
        <w:footnoteReference w:id="28"/>
      </w:r>
    </w:p>
    <w:p w14:paraId="301CA414" w14:textId="3AE9B311" w:rsidR="00CB3E9A" w:rsidRPr="00195B67" w:rsidRDefault="00CB3E9A" w:rsidP="00637B99">
      <w:pPr>
        <w:pStyle w:val="BodyText"/>
      </w:pPr>
      <w:r w:rsidRPr="00195B67">
        <w:t xml:space="preserve">Some local government submitters </w:t>
      </w:r>
      <w:r w:rsidR="001940F9" w:rsidRPr="00195B67">
        <w:t xml:space="preserve">said </w:t>
      </w:r>
      <w:r w:rsidRPr="00195B67">
        <w:t xml:space="preserve">the </w:t>
      </w:r>
      <w:r w:rsidR="00207CB8" w:rsidRPr="00195B67">
        <w:t>phase</w:t>
      </w:r>
      <w:r w:rsidR="00C01233" w:rsidRPr="00195B67">
        <w:t xml:space="preserve"> </w:t>
      </w:r>
      <w:r w:rsidR="00207CB8" w:rsidRPr="00195B67">
        <w:t>out</w:t>
      </w:r>
      <w:r w:rsidRPr="00195B67">
        <w:t xml:space="preserve"> of these cups </w:t>
      </w:r>
      <w:r w:rsidR="00A75232" w:rsidRPr="00195B67">
        <w:t xml:space="preserve">would </w:t>
      </w:r>
      <w:r w:rsidRPr="00195B67">
        <w:t>result in cost savings. For example</w:t>
      </w:r>
      <w:r w:rsidR="00930E2A" w:rsidRPr="00195B67">
        <w:t>, a territorial authorities forum group submitter</w:t>
      </w:r>
      <w:r w:rsidRPr="00195B67">
        <w:rPr>
          <w:vertAlign w:val="superscript"/>
        </w:rPr>
        <w:footnoteReference w:id="29"/>
      </w:r>
      <w:r w:rsidR="00930E2A" w:rsidRPr="00195B67">
        <w:t xml:space="preserve"> </w:t>
      </w:r>
      <w:r w:rsidRPr="00195B67">
        <w:t>comment</w:t>
      </w:r>
      <w:r w:rsidR="005F664F" w:rsidRPr="00195B67">
        <w:t>ed</w:t>
      </w:r>
      <w:r w:rsidR="001E7836" w:rsidRPr="00195B67">
        <w:t>:</w:t>
      </w:r>
      <w:r w:rsidRPr="00195B67">
        <w:t xml:space="preserve"> “if more people use reusable cups, there will be savings for businesses and less waste and therefore less burden on territorial authorities who bear the cost of a linear system”.</w:t>
      </w:r>
    </w:p>
    <w:p w14:paraId="55CF61B7" w14:textId="32877688" w:rsidR="00CB3E9A" w:rsidRPr="00195B67" w:rsidRDefault="00CB3E9A" w:rsidP="00637B99">
      <w:pPr>
        <w:pStyle w:val="Heading3"/>
      </w:pPr>
      <w:r w:rsidRPr="00195B67">
        <w:t>Businesses and retailers support the phase</w:t>
      </w:r>
      <w:r w:rsidR="001E7836" w:rsidRPr="00195B67">
        <w:t xml:space="preserve"> </w:t>
      </w:r>
      <w:proofErr w:type="gramStart"/>
      <w:r w:rsidRPr="00195B67">
        <w:t>out</w:t>
      </w:r>
      <w:proofErr w:type="gramEnd"/>
    </w:p>
    <w:p w14:paraId="054B5CB2" w14:textId="4D25466E" w:rsidR="00CB3E9A" w:rsidRPr="00195B67" w:rsidRDefault="00CB3E9A" w:rsidP="00637B99">
      <w:pPr>
        <w:pStyle w:val="BodyText"/>
      </w:pPr>
      <w:r w:rsidRPr="00195B67">
        <w:t xml:space="preserve">Business and retail submitters </w:t>
      </w:r>
      <w:r w:rsidR="001940F9" w:rsidRPr="00195B67">
        <w:t>were</w:t>
      </w:r>
      <w:r w:rsidRPr="00195B67">
        <w:t xml:space="preserve"> generally supportive of moving away from plastic cups that are hard</w:t>
      </w:r>
      <w:r w:rsidR="00D821CC" w:rsidRPr="00195B67">
        <w:t xml:space="preserve"> </w:t>
      </w:r>
      <w:r w:rsidRPr="00195B67">
        <w:t>to</w:t>
      </w:r>
      <w:r w:rsidR="00D821CC" w:rsidRPr="00195B67">
        <w:t xml:space="preserve"> </w:t>
      </w:r>
      <w:r w:rsidRPr="00195B67">
        <w:t>recycle. They also support</w:t>
      </w:r>
      <w:r w:rsidR="005F664F" w:rsidRPr="00195B67">
        <w:t>ed</w:t>
      </w:r>
      <w:r w:rsidRPr="00195B67">
        <w:t xml:space="preserve"> the exemption for plastic cups made from plastic</w:t>
      </w:r>
      <w:r w:rsidR="002B300E" w:rsidRPr="00195B67">
        <w:t> </w:t>
      </w:r>
      <w:proofErr w:type="gramStart"/>
      <w:r w:rsidRPr="00195B67">
        <w:t>types</w:t>
      </w:r>
      <w:proofErr w:type="gramEnd"/>
      <w:r w:rsidRPr="00195B67">
        <w:t xml:space="preserve"> PET (1), HDPE (2) and PP (5) </w:t>
      </w:r>
      <w:r w:rsidR="005F664F" w:rsidRPr="00195B67">
        <w:t xml:space="preserve">and stated </w:t>
      </w:r>
      <w:r w:rsidRPr="00195B67">
        <w:t>that</w:t>
      </w:r>
      <w:r w:rsidR="00085D9D" w:rsidRPr="00195B67">
        <w:t>,</w:t>
      </w:r>
      <w:r w:rsidRPr="00195B67">
        <w:t xml:space="preserve"> because these items are higher value</w:t>
      </w:r>
      <w:r w:rsidR="002B300E" w:rsidRPr="00195B67">
        <w:t> </w:t>
      </w:r>
      <w:r w:rsidRPr="00195B67">
        <w:t>materials</w:t>
      </w:r>
      <w:r w:rsidR="008E5146" w:rsidRPr="00195B67">
        <w:t>,</w:t>
      </w:r>
      <w:r w:rsidRPr="00195B67">
        <w:t xml:space="preserve"> market demand </w:t>
      </w:r>
      <w:r w:rsidR="001835FB" w:rsidRPr="00195B67">
        <w:t xml:space="preserve">would </w:t>
      </w:r>
      <w:r w:rsidR="008E5146" w:rsidRPr="00195B67">
        <w:t xml:space="preserve">exist </w:t>
      </w:r>
      <w:r w:rsidRPr="00195B67">
        <w:t>for their collection and recycling.</w:t>
      </w:r>
      <w:r w:rsidRPr="00195B67">
        <w:rPr>
          <w:vertAlign w:val="superscript"/>
        </w:rPr>
        <w:footnoteReference w:id="30"/>
      </w:r>
      <w:r w:rsidR="00AA0263" w:rsidRPr="00195B67">
        <w:t xml:space="preserve"> </w:t>
      </w:r>
    </w:p>
    <w:p w14:paraId="4ECC66BD" w14:textId="22597336" w:rsidR="00CB3E9A" w:rsidRPr="00195B67" w:rsidRDefault="00CB3E9A" w:rsidP="00637B99">
      <w:pPr>
        <w:pStyle w:val="Heading2"/>
        <w:rPr>
          <w:rFonts w:asciiTheme="minorHAnsi" w:hAnsiTheme="minorHAnsi" w:cstheme="minorHAnsi"/>
          <w:sz w:val="20"/>
          <w:szCs w:val="20"/>
        </w:rPr>
      </w:pPr>
      <w:bookmarkStart w:id="35" w:name="_Toc72137508"/>
      <w:proofErr w:type="gramStart"/>
      <w:r w:rsidRPr="00195B67">
        <w:rPr>
          <w:rFonts w:eastAsia="Times New Roman"/>
        </w:rPr>
        <w:t>Taking action</w:t>
      </w:r>
      <w:proofErr w:type="gramEnd"/>
      <w:r w:rsidRPr="00195B67">
        <w:rPr>
          <w:rFonts w:eastAsia="Times New Roman"/>
        </w:rPr>
        <w:t xml:space="preserve"> on </w:t>
      </w:r>
      <w:r w:rsidR="000052C3" w:rsidRPr="00195B67">
        <w:rPr>
          <w:rFonts w:eastAsia="Times New Roman"/>
        </w:rPr>
        <w:t>other single-use items</w:t>
      </w:r>
      <w:bookmarkEnd w:id="35"/>
    </w:p>
    <w:p w14:paraId="128E461E" w14:textId="2A0BC2D4" w:rsidR="00CB3E9A" w:rsidRPr="00195B67" w:rsidRDefault="00CB3E9A" w:rsidP="00637B99">
      <w:pPr>
        <w:pStyle w:val="BodyText"/>
      </w:pPr>
      <w:r w:rsidRPr="00195B67">
        <w:t xml:space="preserve">The consultation did not propose a mandatory </w:t>
      </w:r>
      <w:r w:rsidR="00207CB8" w:rsidRPr="00195B67">
        <w:t>phase</w:t>
      </w:r>
      <w:r w:rsidR="000A51A0" w:rsidRPr="00195B67">
        <w:t xml:space="preserve"> </w:t>
      </w:r>
      <w:r w:rsidR="00207CB8" w:rsidRPr="00195B67">
        <w:t>out</w:t>
      </w:r>
      <w:r w:rsidRPr="00195B67">
        <w:t xml:space="preserve"> for disposable coffee cups and wet wipes. However, substantive submitters were asked what options could be considered for reducing the use of single-use coffee cups (with any type of plastic lining) and wet wipes that contain plastic. </w:t>
      </w:r>
    </w:p>
    <w:p w14:paraId="77249E20" w14:textId="203E02D4" w:rsidR="00CB3E9A" w:rsidRPr="00195B67" w:rsidRDefault="00F21982" w:rsidP="00637B99">
      <w:pPr>
        <w:pStyle w:val="Heading3"/>
        <w:rPr>
          <w:rFonts w:asciiTheme="minorHAnsi" w:hAnsiTheme="minorHAnsi" w:cstheme="minorHAnsi"/>
        </w:rPr>
      </w:pPr>
      <w:r w:rsidRPr="00195B67">
        <w:t xml:space="preserve">Many </w:t>
      </w:r>
      <w:r w:rsidR="00CB3E9A" w:rsidRPr="00195B67">
        <w:t xml:space="preserve">New Zealanders want </w:t>
      </w:r>
      <w:r w:rsidR="00593EDD" w:rsidRPr="00195B67">
        <w:t>coffee cups and wet wipes</w:t>
      </w:r>
      <w:r w:rsidR="00CB3E9A" w:rsidRPr="00195B67">
        <w:t xml:space="preserve"> phased</w:t>
      </w:r>
      <w:r w:rsidR="00874657" w:rsidRPr="00195B67">
        <w:t xml:space="preserve"> </w:t>
      </w:r>
      <w:proofErr w:type="gramStart"/>
      <w:r w:rsidR="00CB3E9A" w:rsidRPr="00195B67">
        <w:t>out</w:t>
      </w:r>
      <w:proofErr w:type="gramEnd"/>
    </w:p>
    <w:p w14:paraId="52D3186D" w14:textId="63799EDE" w:rsidR="00CB3E9A" w:rsidRPr="00195B67" w:rsidRDefault="00163AF7" w:rsidP="00637B99">
      <w:pPr>
        <w:pStyle w:val="BodyText"/>
      </w:pPr>
      <w:r w:rsidRPr="00195B67">
        <w:t xml:space="preserve">Of the </w:t>
      </w:r>
      <w:r w:rsidR="00CB3E9A" w:rsidRPr="00195B67">
        <w:t>submitters</w:t>
      </w:r>
      <w:r w:rsidRPr="00195B67">
        <w:t>, 3905</w:t>
      </w:r>
      <w:r w:rsidR="00CB3E9A" w:rsidRPr="00195B67">
        <w:t xml:space="preserve"> would like disposable coffee cups phased</w:t>
      </w:r>
      <w:r w:rsidRPr="00195B67">
        <w:t xml:space="preserve"> </w:t>
      </w:r>
      <w:r w:rsidR="00CB3E9A" w:rsidRPr="00195B67">
        <w:t>out</w:t>
      </w:r>
      <w:r w:rsidRPr="00195B67">
        <w:t xml:space="preserve"> and</w:t>
      </w:r>
      <w:r w:rsidR="00CB3E9A" w:rsidRPr="00195B67">
        <w:t xml:space="preserve"> 662 would like wet wipes and/or wet wipes that contain plastic </w:t>
      </w:r>
      <w:r w:rsidR="00022958" w:rsidRPr="00195B67">
        <w:t xml:space="preserve">to be </w:t>
      </w:r>
      <w:r w:rsidR="00CB3E9A" w:rsidRPr="00195B67">
        <w:t>phased</w:t>
      </w:r>
      <w:r w:rsidR="0099229D" w:rsidRPr="00195B67">
        <w:t xml:space="preserve"> </w:t>
      </w:r>
      <w:r w:rsidR="00CB3E9A" w:rsidRPr="00195B67">
        <w:t>out. Some submitters ma</w:t>
      </w:r>
      <w:r w:rsidR="00022958" w:rsidRPr="00195B67">
        <w:t>de</w:t>
      </w:r>
      <w:r w:rsidR="00CB3E9A" w:rsidRPr="00195B67">
        <w:t xml:space="preserve"> other suggestions for reducing the impacts of these items</w:t>
      </w:r>
      <w:r w:rsidR="0099229D" w:rsidRPr="00195B67">
        <w:t>,</w:t>
      </w:r>
      <w:r w:rsidR="00CB3E9A" w:rsidRPr="00195B67">
        <w:t xml:space="preserve"> such as reuse schemes for coffee cups, investing in infrastructure for compostable coffee cups, and mandatory ‘do not flush’ labelling on wet wipes.</w:t>
      </w:r>
    </w:p>
    <w:p w14:paraId="075CEF88" w14:textId="6BEDDC7E" w:rsidR="00CB3E9A" w:rsidRPr="00195B67" w:rsidRDefault="00CB3E9A" w:rsidP="00637B99">
      <w:pPr>
        <w:pStyle w:val="BodyText"/>
      </w:pPr>
      <w:r w:rsidRPr="00195B67">
        <w:t xml:space="preserve">A common theme among submissions </w:t>
      </w:r>
      <w:r w:rsidR="00022958" w:rsidRPr="00195B67">
        <w:t>was</w:t>
      </w:r>
      <w:r w:rsidRPr="00195B67">
        <w:t xml:space="preserve"> the problems these items can cause in recycling streams and wastewater treatment systems. For example, NGO and local government</w:t>
      </w:r>
      <w:r w:rsidR="001940F9" w:rsidRPr="00195B67">
        <w:t xml:space="preserve"> submitters</w:t>
      </w:r>
      <w:r w:rsidRPr="00195B67">
        <w:t xml:space="preserve"> comment</w:t>
      </w:r>
      <w:r w:rsidR="002D478D" w:rsidRPr="00195B67">
        <w:t>ed</w:t>
      </w:r>
      <w:r w:rsidRPr="00195B67">
        <w:t>:</w:t>
      </w:r>
    </w:p>
    <w:p w14:paraId="135DF765" w14:textId="1C0F8336" w:rsidR="00CB3E9A" w:rsidRPr="00195B67" w:rsidRDefault="00CB3E9A" w:rsidP="00637B99">
      <w:pPr>
        <w:pStyle w:val="Quote"/>
      </w:pPr>
      <w:r w:rsidRPr="00195B67">
        <w:t>The waste caused by New Zealand’s coffee drinking culture and the associated costs are significant. The Rethinking Rubbish and Recycling research found that 1288 tonnes of single-use coffee cups are disposed of via councils’ household kerbside rubbish collections with a further 851 tonnes contaminating household recycling bins. In addition, there would be a significant number that are disposed of via public place and commercial collection systems.</w:t>
      </w:r>
      <w:r w:rsidRPr="00195B67">
        <w:rPr>
          <w:vertAlign w:val="superscript"/>
        </w:rPr>
        <w:footnoteReference w:id="31"/>
      </w:r>
    </w:p>
    <w:p w14:paraId="16E8A001" w14:textId="41A4D8E1" w:rsidR="00CB3E9A" w:rsidRPr="00195B67" w:rsidRDefault="00CB3E9A" w:rsidP="00637B99">
      <w:pPr>
        <w:pStyle w:val="Quote"/>
      </w:pPr>
      <w:r w:rsidRPr="00195B67">
        <w:rPr>
          <w:color w:val="212529"/>
        </w:rPr>
        <w:t>We are extremely disappointed that coffee cups &amp; lids have been expressly excluded from the ban list</w:t>
      </w:r>
      <w:r w:rsidRPr="00195B67">
        <w:rPr>
          <w:color w:val="212529"/>
          <w:shd w:val="clear" w:color="auto" w:fill="FFFFFF"/>
        </w:rPr>
        <w:t xml:space="preserve">. The Packaging Forum estimates that New Zealanders use 295 million coffee cups a year. The overwhelming majority </w:t>
      </w:r>
      <w:proofErr w:type="gramStart"/>
      <w:r w:rsidRPr="00195B67">
        <w:rPr>
          <w:color w:val="212529"/>
          <w:shd w:val="clear" w:color="auto" w:fill="FFFFFF"/>
        </w:rPr>
        <w:t>get</w:t>
      </w:r>
      <w:proofErr w:type="gramEnd"/>
      <w:r w:rsidRPr="00195B67">
        <w:rPr>
          <w:color w:val="212529"/>
          <w:shd w:val="clear" w:color="auto" w:fill="FFFFFF"/>
        </w:rPr>
        <w:t xml:space="preserve"> landfilled. Huge confusion surrounds their </w:t>
      </w:r>
      <w:r w:rsidRPr="00195B67">
        <w:rPr>
          <w:color w:val="212529"/>
          <w:shd w:val="clear" w:color="auto" w:fill="FFFFFF"/>
        </w:rPr>
        <w:lastRenderedPageBreak/>
        <w:t xml:space="preserve">recyclability and/or </w:t>
      </w:r>
      <w:proofErr w:type="spellStart"/>
      <w:r w:rsidRPr="00195B67">
        <w:rPr>
          <w:color w:val="212529"/>
          <w:shd w:val="clear" w:color="auto" w:fill="FFFFFF"/>
        </w:rPr>
        <w:t>compost</w:t>
      </w:r>
      <w:r w:rsidR="00A850F6" w:rsidRPr="00195B67">
        <w:rPr>
          <w:color w:val="212529"/>
          <w:shd w:val="clear" w:color="auto" w:fill="FFFFFF"/>
        </w:rPr>
        <w:t>a</w:t>
      </w:r>
      <w:r w:rsidRPr="00195B67">
        <w:rPr>
          <w:color w:val="212529"/>
          <w:shd w:val="clear" w:color="auto" w:fill="FFFFFF"/>
        </w:rPr>
        <w:t>bility</w:t>
      </w:r>
      <w:proofErr w:type="spellEnd"/>
      <w:r w:rsidRPr="00195B67">
        <w:rPr>
          <w:color w:val="212529"/>
          <w:shd w:val="clear" w:color="auto" w:fill="FFFFFF"/>
        </w:rPr>
        <w:t>. They are also light and prone to escaping into the environment, and their lids are fully detachable, increasing the potential for litter.</w:t>
      </w:r>
      <w:r w:rsidRPr="00195B67">
        <w:rPr>
          <w:color w:val="212529"/>
          <w:shd w:val="clear" w:color="auto" w:fill="FFFFFF"/>
          <w:vertAlign w:val="superscript"/>
        </w:rPr>
        <w:footnoteReference w:id="32"/>
      </w:r>
    </w:p>
    <w:p w14:paraId="754F16AF" w14:textId="4CEEC81D" w:rsidR="00CB3E9A" w:rsidRPr="00195B67" w:rsidRDefault="00CB3E9A" w:rsidP="00637B99">
      <w:pPr>
        <w:pStyle w:val="Quote"/>
      </w:pPr>
      <w:r w:rsidRPr="00195B67">
        <w:t>Wet wipes are a significant issue for TAs</w:t>
      </w:r>
      <w:r w:rsidR="00E65106" w:rsidRPr="00195B67">
        <w:t xml:space="preserve"> [territorial authori</w:t>
      </w:r>
      <w:r w:rsidR="00E365CE" w:rsidRPr="00195B67">
        <w:t>ties]</w:t>
      </w:r>
      <w:r w:rsidRPr="00195B67">
        <w:t xml:space="preserve">, who spend thousands of dollars undoing blockages in wastewater systems. For example, Gisborne District Council </w:t>
      </w:r>
      <w:r w:rsidR="00E365CE" w:rsidRPr="00195B67">
        <w:t xml:space="preserve">[GDC] </w:t>
      </w:r>
      <w:r w:rsidRPr="00195B67">
        <w:t>estimate wet wipes are costing roughly $100,000 per year due to complications they cause for the wastewater network’s operation and maintenance costs. In addition to that, GDC estimate</w:t>
      </w:r>
      <w:r w:rsidR="002B300E" w:rsidRPr="00195B67">
        <w:t> </w:t>
      </w:r>
      <w:r w:rsidRPr="00195B67">
        <w:t>a spend of about $43,500 p.a. for disposal costs at their wastewater treatment plant due to wet wipes, which would be rise under the new waste levy increases. South Taranaki District Council spends approximately $20,000 annually unblocking pipes due to</w:t>
      </w:r>
      <w:r w:rsidR="002B300E" w:rsidRPr="00195B67">
        <w:t> </w:t>
      </w:r>
      <w:r w:rsidRPr="00195B67">
        <w:t>wet wipes.</w:t>
      </w:r>
      <w:r w:rsidRPr="00195B67">
        <w:rPr>
          <w:vertAlign w:val="superscript"/>
        </w:rPr>
        <w:footnoteReference w:id="33"/>
      </w:r>
    </w:p>
    <w:p w14:paraId="76262CFC" w14:textId="6769D39C" w:rsidR="00CB3E9A" w:rsidRPr="00195B67" w:rsidRDefault="00CB3E9A" w:rsidP="00637B99">
      <w:pPr>
        <w:pStyle w:val="BodyText"/>
      </w:pPr>
      <w:r w:rsidRPr="00195B67">
        <w:t>These submitters cite</w:t>
      </w:r>
      <w:r w:rsidR="002D478D" w:rsidRPr="00195B67">
        <w:t>d</w:t>
      </w:r>
      <w:r w:rsidRPr="00195B67">
        <w:t xml:space="preserve"> </w:t>
      </w:r>
      <w:r w:rsidR="0086427C" w:rsidRPr="00195B67">
        <w:t>various</w:t>
      </w:r>
      <w:r w:rsidRPr="00195B67">
        <w:t xml:space="preserve"> readily available </w:t>
      </w:r>
      <w:r w:rsidR="00DC69CA" w:rsidRPr="00195B67">
        <w:t xml:space="preserve">alternatives </w:t>
      </w:r>
      <w:r w:rsidRPr="00195B67">
        <w:t xml:space="preserve">for these items, particularly for coffee cups. </w:t>
      </w:r>
      <w:r w:rsidR="00A027BD" w:rsidRPr="00195B67">
        <w:t xml:space="preserve">Of the </w:t>
      </w:r>
      <w:r w:rsidRPr="00195B67">
        <w:t>submitters</w:t>
      </w:r>
      <w:r w:rsidR="00A027BD" w:rsidRPr="00195B67">
        <w:t>, 3497</w:t>
      </w:r>
      <w:r w:rsidRPr="00195B67">
        <w:t xml:space="preserve"> commented on the positive </w:t>
      </w:r>
      <w:r w:rsidR="0000590D" w:rsidRPr="00195B67">
        <w:t xml:space="preserve">effects </w:t>
      </w:r>
      <w:r w:rsidRPr="00195B67">
        <w:t>reuse systems for coffee cups can have. For example, comments include</w:t>
      </w:r>
      <w:r w:rsidR="00A027BD" w:rsidRPr="00195B67">
        <w:t>d</w:t>
      </w:r>
      <w:r w:rsidRPr="00195B67">
        <w:t>:</w:t>
      </w:r>
    </w:p>
    <w:p w14:paraId="3198B1AA" w14:textId="1C637AFB" w:rsidR="00CB3E9A" w:rsidRPr="00195B67" w:rsidRDefault="00CB3E9A" w:rsidP="00637B99">
      <w:pPr>
        <w:pStyle w:val="Quote"/>
      </w:pPr>
      <w:r w:rsidRPr="00195B67">
        <w:t>We support the Government investing in scaling up reuse systems, such as regional/localised washing/sterilisation facilities, implementing regulatory and policy interventions that remove some of the barriers to reuse schemes growing, including a levy or fee on disposable coffee cups, deposit return schemes for takeaway cups, and mandatory ‘reusables only’ for dine-in contexts and public buildings, providing funding to NGOs and community with track-records of engaging their communities on zero waste as the most efficient way to invest in behaviour change.</w:t>
      </w:r>
      <w:r w:rsidRPr="00195B67">
        <w:rPr>
          <w:vertAlign w:val="superscript"/>
        </w:rPr>
        <w:footnoteReference w:id="34"/>
      </w:r>
    </w:p>
    <w:p w14:paraId="49E492CF" w14:textId="39AD0EB3" w:rsidR="00CB3E9A" w:rsidRPr="00195B67" w:rsidRDefault="00CB3E9A" w:rsidP="00637B99">
      <w:pPr>
        <w:pStyle w:val="Quote"/>
        <w:rPr>
          <w:szCs w:val="20"/>
        </w:rPr>
      </w:pPr>
      <w:r w:rsidRPr="00195B67">
        <w:t>The single-use coffee cup is the item that if phased out would lead to the biggest shift in consumer culture and behaviour toward a more waste-conscious approach. It would also create the necessary infrastructure in the hospitality industry to facilitate a wider shift away from all disposable service ware.</w:t>
      </w:r>
      <w:r w:rsidRPr="00195B67">
        <w:rPr>
          <w:vertAlign w:val="superscript"/>
        </w:rPr>
        <w:footnoteReference w:id="35"/>
      </w:r>
    </w:p>
    <w:p w14:paraId="1EE6B16B" w14:textId="3F19BBAC" w:rsidR="00593EDD" w:rsidRPr="00195B67" w:rsidRDefault="00593EDD" w:rsidP="00637B99">
      <w:pPr>
        <w:pStyle w:val="Heading3"/>
      </w:pPr>
      <w:r w:rsidRPr="00195B67">
        <w:t>New Zealanders want more single-use plastics phased</w:t>
      </w:r>
      <w:r w:rsidR="00D764FA" w:rsidRPr="00195B67">
        <w:t xml:space="preserve"> </w:t>
      </w:r>
      <w:proofErr w:type="gramStart"/>
      <w:r w:rsidRPr="00195B67">
        <w:t>out</w:t>
      </w:r>
      <w:proofErr w:type="gramEnd"/>
    </w:p>
    <w:p w14:paraId="1331267F" w14:textId="59419CBC" w:rsidR="00593EDD" w:rsidRPr="00195B67" w:rsidRDefault="00816E7A" w:rsidP="00637B99">
      <w:pPr>
        <w:pStyle w:val="BodyText"/>
        <w:rPr>
          <w:rFonts w:asciiTheme="minorHAnsi" w:hAnsiTheme="minorHAnsi" w:cstheme="minorHAnsi"/>
          <w:b/>
          <w:bCs/>
          <w:sz w:val="20"/>
          <w:szCs w:val="20"/>
        </w:rPr>
      </w:pPr>
      <w:r w:rsidRPr="00195B67">
        <w:t>Many submitters mentioned items</w:t>
      </w:r>
      <w:r w:rsidR="00022958" w:rsidRPr="00195B67">
        <w:t xml:space="preserve"> not included in proposal two that</w:t>
      </w:r>
      <w:r w:rsidRPr="00195B67">
        <w:t xml:space="preserve"> they would like </w:t>
      </w:r>
      <w:r w:rsidR="00022958" w:rsidRPr="00195B67">
        <w:t xml:space="preserve">to see </w:t>
      </w:r>
      <w:r w:rsidRPr="00195B67">
        <w:t>phased</w:t>
      </w:r>
      <w:r w:rsidR="002916DE" w:rsidRPr="00195B67">
        <w:t xml:space="preserve"> </w:t>
      </w:r>
      <w:r w:rsidRPr="00195B67">
        <w:t>out</w:t>
      </w:r>
      <w:r w:rsidR="009C197F" w:rsidRPr="00195B67">
        <w:t xml:space="preserve"> (figure 9)</w:t>
      </w:r>
      <w:r w:rsidR="00022958" w:rsidRPr="00195B67">
        <w:t xml:space="preserve">. </w:t>
      </w:r>
    </w:p>
    <w:p w14:paraId="5F9E9AB2" w14:textId="7A476678" w:rsidR="00593EDD" w:rsidRPr="00195B67" w:rsidRDefault="00593EDD" w:rsidP="00FD3960">
      <w:pPr>
        <w:pStyle w:val="Figureheading"/>
      </w:pPr>
      <w:bookmarkStart w:id="36" w:name="_Toc72137535"/>
      <w:r w:rsidRPr="00195B67">
        <w:lastRenderedPageBreak/>
        <w:t xml:space="preserve">Figure </w:t>
      </w:r>
      <w:r w:rsidR="00430285" w:rsidRPr="00195B67">
        <w:t>9</w:t>
      </w:r>
      <w:r w:rsidRPr="00195B67">
        <w:t xml:space="preserve">: </w:t>
      </w:r>
      <w:r w:rsidRPr="00195B67">
        <w:tab/>
        <w:t>Additional single-use items suggested for phase</w:t>
      </w:r>
      <w:r w:rsidR="002916DE" w:rsidRPr="00195B67">
        <w:t xml:space="preserve"> </w:t>
      </w:r>
      <w:proofErr w:type="gramStart"/>
      <w:r w:rsidRPr="00195B67">
        <w:t>out</w:t>
      </w:r>
      <w:bookmarkEnd w:id="36"/>
      <w:proofErr w:type="gramEnd"/>
    </w:p>
    <w:p w14:paraId="62A18038" w14:textId="5AE49126" w:rsidR="00593EDD" w:rsidRPr="00195B67" w:rsidRDefault="00593EDD" w:rsidP="002F2BD2">
      <w:pPr>
        <w:pStyle w:val="BodyText"/>
        <w:spacing w:after="0"/>
      </w:pPr>
      <w:r w:rsidRPr="00195B67">
        <w:rPr>
          <w:noProof/>
        </w:rPr>
        <w:drawing>
          <wp:inline distT="0" distB="0" distL="0" distR="0" wp14:anchorId="482701E6" wp14:editId="3F1E2F8D">
            <wp:extent cx="5400000" cy="3502800"/>
            <wp:effectExtent l="0" t="0" r="0" b="2540"/>
            <wp:docPr id="24" name="Chart 24">
              <a:extLst xmlns:a="http://schemas.openxmlformats.org/drawingml/2006/main">
                <a:ext uri="{FF2B5EF4-FFF2-40B4-BE49-F238E27FC236}">
                  <a16:creationId xmlns:a16="http://schemas.microsoft.com/office/drawing/2014/main" id="{B39E5E9B-FC13-4602-A09A-7BEAD18DED5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A15592" w14:textId="1B99AA9B" w:rsidR="002916DE" w:rsidRPr="00195B67" w:rsidRDefault="002916DE" w:rsidP="002F2BD2">
      <w:pPr>
        <w:pStyle w:val="Note"/>
        <w:spacing w:before="60"/>
      </w:pPr>
      <w:r w:rsidRPr="00195B67">
        <w:t>Note: The figure includes suggestions from both short-form and substantive submitters.</w:t>
      </w:r>
    </w:p>
    <w:p w14:paraId="60E0F70C" w14:textId="2DEDED05" w:rsidR="00CB3E9A" w:rsidRPr="00195B67" w:rsidRDefault="00CB3E9A" w:rsidP="00FD3960">
      <w:pPr>
        <w:pStyle w:val="Heading2"/>
      </w:pPr>
      <w:bookmarkStart w:id="37" w:name="_Toc72137509"/>
      <w:r w:rsidRPr="00195B67">
        <w:t>Phase-out period</w:t>
      </w:r>
      <w:bookmarkEnd w:id="37"/>
    </w:p>
    <w:p w14:paraId="31727E1F" w14:textId="51A474CE" w:rsidR="00CB3E9A" w:rsidRPr="00195B67" w:rsidRDefault="00203493" w:rsidP="00FD3960">
      <w:pPr>
        <w:pStyle w:val="BodyText"/>
        <w:rPr>
          <w:rFonts w:eastAsia="Times New Roman"/>
        </w:rPr>
      </w:pPr>
      <w:r w:rsidRPr="00195B67">
        <w:rPr>
          <w:rFonts w:eastAsia="Times New Roman"/>
        </w:rPr>
        <w:t>O</w:t>
      </w:r>
      <w:r w:rsidR="00275D55" w:rsidRPr="00195B67">
        <w:rPr>
          <w:rFonts w:eastAsia="Times New Roman"/>
        </w:rPr>
        <w:t>f</w:t>
      </w:r>
      <w:r w:rsidR="00CB3E9A" w:rsidRPr="00195B67">
        <w:rPr>
          <w:rFonts w:eastAsia="Times New Roman"/>
        </w:rPr>
        <w:t xml:space="preserve"> </w:t>
      </w:r>
      <w:r w:rsidRPr="00195B67">
        <w:rPr>
          <w:rFonts w:eastAsia="Times New Roman"/>
        </w:rPr>
        <w:t xml:space="preserve">the </w:t>
      </w:r>
      <w:r w:rsidR="00B37A0F" w:rsidRPr="00195B67">
        <w:rPr>
          <w:rFonts w:eastAsia="Times New Roman"/>
        </w:rPr>
        <w:t>384</w:t>
      </w:r>
      <w:r w:rsidR="009C197F" w:rsidRPr="00195B67">
        <w:rPr>
          <w:rFonts w:eastAsia="Times New Roman"/>
        </w:rPr>
        <w:t>8</w:t>
      </w:r>
      <w:r w:rsidR="00B37A0F" w:rsidRPr="00195B67">
        <w:rPr>
          <w:rFonts w:eastAsia="Times New Roman"/>
        </w:rPr>
        <w:t xml:space="preserve"> </w:t>
      </w:r>
      <w:r w:rsidR="00CB3E9A" w:rsidRPr="00195B67">
        <w:rPr>
          <w:rFonts w:eastAsia="Times New Roman"/>
        </w:rPr>
        <w:t>substantive submitters</w:t>
      </w:r>
      <w:r w:rsidRPr="00195B67">
        <w:rPr>
          <w:rFonts w:eastAsia="Times New Roman"/>
        </w:rPr>
        <w:t>, 21.33 per cent (820)</w:t>
      </w:r>
      <w:r w:rsidR="00CB3E9A" w:rsidRPr="00195B67">
        <w:rPr>
          <w:rFonts w:eastAsia="Times New Roman"/>
        </w:rPr>
        <w:t xml:space="preserve"> </w:t>
      </w:r>
      <w:r w:rsidR="00022958" w:rsidRPr="00195B67">
        <w:rPr>
          <w:rFonts w:eastAsia="Times New Roman"/>
        </w:rPr>
        <w:t>mentioned</w:t>
      </w:r>
      <w:r w:rsidR="00CB3E9A" w:rsidRPr="00195B67">
        <w:rPr>
          <w:rFonts w:eastAsia="Times New Roman"/>
        </w:rPr>
        <w:t xml:space="preserve"> proposal two timeframes in their submissions</w:t>
      </w:r>
      <w:r w:rsidR="00905979" w:rsidRPr="00195B67">
        <w:rPr>
          <w:rFonts w:eastAsia="Times New Roman"/>
        </w:rPr>
        <w:t xml:space="preserve"> (figure </w:t>
      </w:r>
      <w:r w:rsidR="00022958" w:rsidRPr="00195B67">
        <w:rPr>
          <w:rFonts w:eastAsia="Times New Roman"/>
        </w:rPr>
        <w:t>10</w:t>
      </w:r>
      <w:r w:rsidR="00905979" w:rsidRPr="00195B67">
        <w:rPr>
          <w:rFonts w:eastAsia="Times New Roman"/>
        </w:rPr>
        <w:t>).</w:t>
      </w:r>
    </w:p>
    <w:p w14:paraId="4081AF6E" w14:textId="2D21D436" w:rsidR="009C197F" w:rsidRPr="00195B67" w:rsidRDefault="009C197F" w:rsidP="00203493">
      <w:pPr>
        <w:pStyle w:val="Figureheading"/>
        <w:spacing w:after="0"/>
        <w:rPr>
          <w:rFonts w:eastAsia="Times New Roman"/>
        </w:rPr>
      </w:pPr>
      <w:bookmarkStart w:id="38" w:name="_Toc72137536"/>
      <w:r w:rsidRPr="00195B67">
        <w:rPr>
          <w:rFonts w:eastAsia="Times New Roman"/>
        </w:rPr>
        <w:t>Figure 10:</w:t>
      </w:r>
      <w:r w:rsidR="008C3818" w:rsidRPr="00195B67">
        <w:rPr>
          <w:rFonts w:eastAsia="Times New Roman"/>
        </w:rPr>
        <w:t xml:space="preserve"> </w:t>
      </w:r>
      <w:r w:rsidR="00FD3960" w:rsidRPr="00195B67">
        <w:rPr>
          <w:rFonts w:eastAsia="Times New Roman"/>
        </w:rPr>
        <w:tab/>
      </w:r>
      <w:r w:rsidR="008C3818" w:rsidRPr="00195B67">
        <w:rPr>
          <w:rFonts w:eastAsia="Times New Roman"/>
        </w:rPr>
        <w:t>Overall responses on an appropriate phase-out period for proposal two</w:t>
      </w:r>
      <w:bookmarkEnd w:id="38"/>
    </w:p>
    <w:p w14:paraId="07BAF067" w14:textId="25FAB094" w:rsidR="008C3818" w:rsidRPr="00195B67" w:rsidRDefault="009C197F" w:rsidP="00203493">
      <w:pPr>
        <w:pStyle w:val="BodyText"/>
        <w:spacing w:after="0"/>
        <w:rPr>
          <w:rFonts w:asciiTheme="minorHAnsi" w:eastAsia="Times New Roman" w:hAnsiTheme="minorHAnsi" w:cstheme="minorHAnsi"/>
        </w:rPr>
      </w:pPr>
      <w:r w:rsidRPr="00195B67">
        <w:rPr>
          <w:noProof/>
        </w:rPr>
        <w:drawing>
          <wp:inline distT="0" distB="0" distL="0" distR="0" wp14:anchorId="7FA4FEB6" wp14:editId="2A7BF1C0">
            <wp:extent cx="4572000" cy="2743200"/>
            <wp:effectExtent l="0" t="0" r="0" b="0"/>
            <wp:docPr id="26" name="Chart 26">
              <a:extLst xmlns:a="http://schemas.openxmlformats.org/drawingml/2006/main">
                <a:ext uri="{FF2B5EF4-FFF2-40B4-BE49-F238E27FC236}">
                  <a16:creationId xmlns:a16="http://schemas.microsoft.com/office/drawing/2014/main" id="{C639E0D6-BB3E-431C-90BF-42BCD3A79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D54E4BA" w14:textId="26AD6244" w:rsidR="00203493" w:rsidRPr="00195B67" w:rsidRDefault="00203493" w:rsidP="00D4057E">
      <w:pPr>
        <w:pStyle w:val="Note"/>
        <w:rPr>
          <w:rFonts w:asciiTheme="minorHAnsi" w:eastAsia="Times New Roman" w:hAnsiTheme="minorHAnsi" w:cstheme="minorHAnsi"/>
        </w:rPr>
      </w:pPr>
      <w:r w:rsidRPr="00195B67">
        <w:rPr>
          <w:rFonts w:asciiTheme="minorHAnsi" w:eastAsia="Times New Roman" w:hAnsiTheme="minorHAnsi" w:cstheme="minorHAnsi"/>
        </w:rPr>
        <w:t xml:space="preserve">Note: </w:t>
      </w:r>
      <w:r w:rsidRPr="00195B67">
        <w:t>Responses in the figure are from 820 substantive submissions that mentioned</w:t>
      </w:r>
      <w:r w:rsidR="000E6892" w:rsidRPr="00195B67">
        <w:t xml:space="preserve"> the</w:t>
      </w:r>
      <w:r w:rsidRPr="00195B67">
        <w:t xml:space="preserve"> proposal two timeframe</w:t>
      </w:r>
      <w:r w:rsidR="00DD5F10" w:rsidRPr="00195B67">
        <w:t>s</w:t>
      </w:r>
      <w:r w:rsidRPr="00195B67">
        <w:t xml:space="preserve"> (excluding responses from the short-form survey, which did not cover this question).</w:t>
      </w:r>
    </w:p>
    <w:p w14:paraId="145B01B0" w14:textId="4CAC1612" w:rsidR="008C3818" w:rsidRPr="00195B67" w:rsidRDefault="004129ED" w:rsidP="00FD3960">
      <w:pPr>
        <w:pStyle w:val="BodyText"/>
      </w:pPr>
      <w:r w:rsidRPr="00195B67">
        <w:lastRenderedPageBreak/>
        <w:t xml:space="preserve">Of </w:t>
      </w:r>
      <w:r w:rsidR="00DD5F10" w:rsidRPr="00195B67">
        <w:t xml:space="preserve">the </w:t>
      </w:r>
      <w:r w:rsidRPr="00195B67">
        <w:t xml:space="preserve">substantive submitters </w:t>
      </w:r>
      <w:r w:rsidR="00621220" w:rsidRPr="00195B67">
        <w:t xml:space="preserve">who mentioned proposal two timeframes, </w:t>
      </w:r>
      <w:r w:rsidR="002D478D" w:rsidRPr="00195B67">
        <w:t>58 per cent</w:t>
      </w:r>
      <w:r w:rsidR="002D478D" w:rsidRPr="00195B67">
        <w:rPr>
          <w:vertAlign w:val="superscript"/>
        </w:rPr>
        <w:footnoteReference w:id="36"/>
      </w:r>
      <w:r w:rsidR="002D478D" w:rsidRPr="00195B67">
        <w:t xml:space="preserve"> (</w:t>
      </w:r>
      <w:r w:rsidR="008C3818" w:rsidRPr="00195B67">
        <w:t>47</w:t>
      </w:r>
      <w:r w:rsidR="00F21982" w:rsidRPr="00195B67">
        <w:t>9</w:t>
      </w:r>
      <w:r w:rsidR="002D478D" w:rsidRPr="00195B67">
        <w:t xml:space="preserve">) </w:t>
      </w:r>
      <w:r w:rsidR="008C3818" w:rsidRPr="00195B67">
        <w:t>suggest</w:t>
      </w:r>
      <w:r w:rsidR="00C479D8" w:rsidRPr="00195B67">
        <w:t>ed</w:t>
      </w:r>
      <w:r w:rsidR="008C3818" w:rsidRPr="00195B67">
        <w:t xml:space="preserve"> </w:t>
      </w:r>
      <w:r w:rsidR="001940F9" w:rsidRPr="00195B67">
        <w:t xml:space="preserve">they </w:t>
      </w:r>
      <w:r w:rsidR="008C3818" w:rsidRPr="00195B67">
        <w:t>should depend on each item</w:t>
      </w:r>
      <w:r w:rsidR="007466E9" w:rsidRPr="00195B67">
        <w:t xml:space="preserve"> (figure 11)</w:t>
      </w:r>
      <w:r w:rsidR="008C3818" w:rsidRPr="00195B67">
        <w:t xml:space="preserve">. A common theme among submissions </w:t>
      </w:r>
      <w:r w:rsidR="00580E6F" w:rsidRPr="00195B67">
        <w:t xml:space="preserve">was </w:t>
      </w:r>
      <w:r w:rsidR="008C3818" w:rsidRPr="00195B67">
        <w:t xml:space="preserve">that timeframes need to consider availability of alternatives and time needed for businesses and manufacturers to adapt. </w:t>
      </w:r>
    </w:p>
    <w:p w14:paraId="025C6CF8" w14:textId="00D78B6E" w:rsidR="008C3818" w:rsidRPr="00195B67" w:rsidRDefault="008C3818" w:rsidP="00FD3960">
      <w:pPr>
        <w:pStyle w:val="BodyText"/>
        <w:rPr>
          <w:rFonts w:eastAsia="Times New Roman"/>
        </w:rPr>
      </w:pPr>
      <w:r w:rsidRPr="00195B67">
        <w:rPr>
          <w:rFonts w:eastAsia="Times New Roman"/>
        </w:rPr>
        <w:t xml:space="preserve">Business and industry submitters generally proposed a longer </w:t>
      </w:r>
      <w:r w:rsidR="00207CB8" w:rsidRPr="00195B67">
        <w:rPr>
          <w:rFonts w:eastAsia="Times New Roman"/>
        </w:rPr>
        <w:t>phase-out</w:t>
      </w:r>
      <w:r w:rsidRPr="00195B67">
        <w:rPr>
          <w:rFonts w:eastAsia="Times New Roman"/>
        </w:rPr>
        <w:t xml:space="preserve"> period for some items, allowing time to reconfigure their business, use up existing stock and find alternatives. </w:t>
      </w:r>
    </w:p>
    <w:p w14:paraId="2ECD2A21" w14:textId="3A15BC5C" w:rsidR="008C3818" w:rsidRPr="00195B67" w:rsidRDefault="008C3818" w:rsidP="00FD3960">
      <w:pPr>
        <w:pStyle w:val="BodyText"/>
        <w:rPr>
          <w:rFonts w:eastAsia="Times New Roman"/>
        </w:rPr>
      </w:pPr>
      <w:r w:rsidRPr="00195B67">
        <w:rPr>
          <w:rFonts w:eastAsia="Times New Roman"/>
        </w:rPr>
        <w:t xml:space="preserve">Retail submitters suggested changing the </w:t>
      </w:r>
      <w:r w:rsidR="00207CB8" w:rsidRPr="00195B67">
        <w:rPr>
          <w:rFonts w:eastAsia="Times New Roman"/>
        </w:rPr>
        <w:t>phase-out</w:t>
      </w:r>
      <w:r w:rsidRPr="00195B67">
        <w:rPr>
          <w:rFonts w:eastAsia="Times New Roman"/>
        </w:rPr>
        <w:t xml:space="preserve"> implementation date from January, which is peak trading season for the food and beverage sector.</w:t>
      </w:r>
      <w:r w:rsidRPr="00195B67">
        <w:rPr>
          <w:rFonts w:eastAsia="Times New Roman"/>
          <w:vertAlign w:val="superscript"/>
        </w:rPr>
        <w:footnoteReference w:id="37"/>
      </w:r>
    </w:p>
    <w:p w14:paraId="105D4148" w14:textId="680CBB19" w:rsidR="00CB3E9A" w:rsidRPr="00195B67" w:rsidRDefault="00CB3E9A" w:rsidP="00FD3960">
      <w:pPr>
        <w:pStyle w:val="Figureheading"/>
        <w:rPr>
          <w:rFonts w:eastAsia="Times New Roman"/>
        </w:rPr>
      </w:pPr>
      <w:bookmarkStart w:id="39" w:name="_Toc72137537"/>
      <w:r w:rsidRPr="00195B67">
        <w:rPr>
          <w:rFonts w:eastAsia="Times New Roman"/>
        </w:rPr>
        <w:t xml:space="preserve">Figure </w:t>
      </w:r>
      <w:r w:rsidR="00430285" w:rsidRPr="00195B67">
        <w:rPr>
          <w:rFonts w:eastAsia="Times New Roman"/>
        </w:rPr>
        <w:t>1</w:t>
      </w:r>
      <w:r w:rsidR="00580E6F" w:rsidRPr="00195B67">
        <w:rPr>
          <w:rFonts w:eastAsia="Times New Roman"/>
        </w:rPr>
        <w:t>1</w:t>
      </w:r>
      <w:r w:rsidRPr="00195B67">
        <w:rPr>
          <w:rFonts w:eastAsia="Times New Roman"/>
        </w:rPr>
        <w:t xml:space="preserve">: </w:t>
      </w:r>
      <w:r w:rsidR="00FD3960" w:rsidRPr="00195B67">
        <w:rPr>
          <w:rFonts w:eastAsia="Times New Roman"/>
        </w:rPr>
        <w:tab/>
      </w:r>
      <w:r w:rsidRPr="00195B67">
        <w:rPr>
          <w:rFonts w:eastAsia="Times New Roman"/>
        </w:rPr>
        <w:t>Responses on appropriate phase-out period for proposal two</w:t>
      </w:r>
      <w:r w:rsidR="008C3818" w:rsidRPr="00195B67">
        <w:rPr>
          <w:rFonts w:eastAsia="Times New Roman"/>
        </w:rPr>
        <w:t xml:space="preserve"> by submitter</w:t>
      </w:r>
      <w:r w:rsidR="00342D0C" w:rsidRPr="00195B67">
        <w:rPr>
          <w:rFonts w:eastAsia="Times New Roman"/>
        </w:rPr>
        <w:t> </w:t>
      </w:r>
      <w:r w:rsidR="008C3818" w:rsidRPr="00195B67">
        <w:rPr>
          <w:rFonts w:eastAsia="Times New Roman"/>
        </w:rPr>
        <w:t>type</w:t>
      </w:r>
      <w:bookmarkEnd w:id="39"/>
    </w:p>
    <w:p w14:paraId="649E2EB6" w14:textId="0DCA56C0" w:rsidR="00CB3E9A" w:rsidRPr="00195B67" w:rsidRDefault="00CB3E9A" w:rsidP="00FD3960">
      <w:pPr>
        <w:pStyle w:val="BodyText"/>
        <w:rPr>
          <w:rFonts w:asciiTheme="minorHAnsi" w:eastAsia="Times New Roman" w:hAnsiTheme="minorHAnsi" w:cstheme="minorHAnsi"/>
        </w:rPr>
      </w:pPr>
      <w:r w:rsidRPr="00195B67">
        <w:rPr>
          <w:noProof/>
        </w:rPr>
        <w:drawing>
          <wp:inline distT="0" distB="0" distL="0" distR="0" wp14:anchorId="7578DFE6" wp14:editId="35E7B29A">
            <wp:extent cx="5449824" cy="4498848"/>
            <wp:effectExtent l="0" t="0" r="0" b="0"/>
            <wp:docPr id="63" name="Chart 63">
              <a:extLst xmlns:a="http://schemas.openxmlformats.org/drawingml/2006/main">
                <a:ext uri="{FF2B5EF4-FFF2-40B4-BE49-F238E27FC236}">
                  <a16:creationId xmlns:a16="http://schemas.microsoft.com/office/drawing/2014/main" id="{2D2EBD54-7E7E-45B2-BCC9-8453A2495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66EAEFC" w14:textId="201FEBB9" w:rsidR="006B40EA" w:rsidRPr="00195B67" w:rsidRDefault="00AB4A6D" w:rsidP="00D4057E">
      <w:pPr>
        <w:pStyle w:val="Note"/>
        <w:rPr>
          <w:rFonts w:asciiTheme="minorHAnsi" w:eastAsia="Times New Roman" w:hAnsiTheme="minorHAnsi" w:cstheme="minorHAnsi"/>
        </w:rPr>
      </w:pPr>
      <w:r w:rsidRPr="00195B67">
        <w:rPr>
          <w:rFonts w:asciiTheme="minorHAnsi" w:eastAsia="Times New Roman" w:hAnsiTheme="minorHAnsi" w:cstheme="minorHAnsi"/>
        </w:rPr>
        <w:t xml:space="preserve">Note: </w:t>
      </w:r>
      <w:r w:rsidRPr="00195B67">
        <w:t>Responses in the figure are from 820 substantive submissions that mentioned proposal two timeframe (excluding responses from the short-form survey, which did not cover this question).</w:t>
      </w:r>
    </w:p>
    <w:p w14:paraId="095F619F" w14:textId="77777777" w:rsidR="00FD3960" w:rsidRPr="00195B67" w:rsidRDefault="00FD3960" w:rsidP="00FD3960">
      <w:pPr>
        <w:pStyle w:val="BodyText"/>
        <w:rPr>
          <w:rStyle w:val="Heading1Char"/>
          <w:rFonts w:eastAsiaTheme="minorEastAsia" w:cstheme="minorBidi"/>
          <w:b w:val="0"/>
          <w:bCs w:val="0"/>
          <w:color w:val="auto"/>
          <w:sz w:val="22"/>
          <w:szCs w:val="22"/>
        </w:rPr>
      </w:pPr>
      <w:r w:rsidRPr="00195B67">
        <w:rPr>
          <w:rStyle w:val="Heading1Char"/>
          <w:rFonts w:eastAsiaTheme="minorEastAsia" w:cstheme="minorBidi"/>
          <w:b w:val="0"/>
          <w:bCs w:val="0"/>
          <w:color w:val="auto"/>
          <w:sz w:val="22"/>
          <w:szCs w:val="22"/>
        </w:rPr>
        <w:br w:type="page"/>
      </w:r>
    </w:p>
    <w:p w14:paraId="1C21B292" w14:textId="2116F91C" w:rsidR="00C1040F" w:rsidRPr="00195B67" w:rsidRDefault="00C1040F" w:rsidP="00C1040F">
      <w:pPr>
        <w:pStyle w:val="Heading1"/>
        <w:rPr>
          <w:bCs w:val="0"/>
        </w:rPr>
      </w:pPr>
      <w:bookmarkStart w:id="40" w:name="_Toc72137510"/>
      <w:r w:rsidRPr="00195B67">
        <w:rPr>
          <w:rStyle w:val="Heading1Char"/>
          <w:b/>
        </w:rPr>
        <w:lastRenderedPageBreak/>
        <w:t>Where to from here?</w:t>
      </w:r>
      <w:bookmarkEnd w:id="40"/>
      <w:r w:rsidRPr="00195B67">
        <w:rPr>
          <w:rStyle w:val="Heading1Char"/>
          <w:b/>
        </w:rPr>
        <w:t xml:space="preserve"> </w:t>
      </w:r>
    </w:p>
    <w:p w14:paraId="1B1AA991" w14:textId="649DAFD7" w:rsidR="001233AD" w:rsidRPr="00195B67" w:rsidRDefault="004D0D65" w:rsidP="00AF713E">
      <w:pPr>
        <w:pStyle w:val="Heading2"/>
        <w:spacing w:before="240"/>
      </w:pPr>
      <w:bookmarkStart w:id="41" w:name="_Toc72137511"/>
      <w:r w:rsidRPr="00195B67">
        <w:rPr>
          <w:rFonts w:eastAsia="Times New Roman"/>
        </w:rPr>
        <w:t xml:space="preserve">Moving away from single-use </w:t>
      </w:r>
      <w:r w:rsidR="00062C71" w:rsidRPr="00195B67">
        <w:rPr>
          <w:rFonts w:eastAsia="Times New Roman"/>
        </w:rPr>
        <w:t>items</w:t>
      </w:r>
      <w:r w:rsidR="00F4741A" w:rsidRPr="00195B67">
        <w:rPr>
          <w:rFonts w:eastAsia="Times New Roman"/>
        </w:rPr>
        <w:t xml:space="preserve"> </w:t>
      </w:r>
      <w:r w:rsidRPr="00195B67">
        <w:rPr>
          <w:rFonts w:eastAsia="Times New Roman"/>
        </w:rPr>
        <w:t>and towards sustainable, reusable alternatives</w:t>
      </w:r>
      <w:bookmarkEnd w:id="41"/>
    </w:p>
    <w:p w14:paraId="39358022" w14:textId="39D182B0" w:rsidR="003A1E01" w:rsidRPr="00195B67" w:rsidRDefault="00C13F1D" w:rsidP="00FD3960">
      <w:pPr>
        <w:pStyle w:val="BodyText"/>
      </w:pPr>
      <w:r w:rsidRPr="00195B67">
        <w:t>S</w:t>
      </w:r>
      <w:r w:rsidR="00062C71" w:rsidRPr="00195B67">
        <w:t xml:space="preserve">ubmissions argued that, </w:t>
      </w:r>
      <w:r w:rsidRPr="00195B67">
        <w:t>a</w:t>
      </w:r>
      <w:r w:rsidR="001E7990" w:rsidRPr="00195B67">
        <w:t xml:space="preserve">s New Zealand shifts its economy towards </w:t>
      </w:r>
      <w:r w:rsidR="00416830" w:rsidRPr="00195B67">
        <w:t xml:space="preserve">being </w:t>
      </w:r>
      <w:r w:rsidR="001E7990" w:rsidRPr="00195B67">
        <w:t xml:space="preserve">more sustainable, </w:t>
      </w:r>
      <w:proofErr w:type="gramStart"/>
      <w:r w:rsidR="001E7990" w:rsidRPr="00195B67">
        <w:t>circular</w:t>
      </w:r>
      <w:proofErr w:type="gramEnd"/>
      <w:r w:rsidR="001E7990" w:rsidRPr="00195B67">
        <w:t xml:space="preserve"> and low</w:t>
      </w:r>
      <w:r w:rsidR="00B35D42" w:rsidRPr="00195B67">
        <w:t xml:space="preserve"> </w:t>
      </w:r>
      <w:r w:rsidR="001E7990" w:rsidRPr="00195B67">
        <w:t>waste</w:t>
      </w:r>
      <w:r w:rsidRPr="00195B67">
        <w:t>,</w:t>
      </w:r>
      <w:r w:rsidR="001E7990" w:rsidRPr="00195B67">
        <w:t xml:space="preserve"> good reuse systems and products </w:t>
      </w:r>
      <w:r w:rsidR="00B35D42" w:rsidRPr="00195B67">
        <w:t>need to be prioritised</w:t>
      </w:r>
      <w:r w:rsidR="00062C71" w:rsidRPr="00195B67">
        <w:t>,</w:t>
      </w:r>
      <w:r w:rsidR="00B35D42" w:rsidRPr="00195B67">
        <w:t xml:space="preserve"> </w:t>
      </w:r>
      <w:r w:rsidR="001E7990" w:rsidRPr="00195B67">
        <w:t>to</w:t>
      </w:r>
      <w:r w:rsidR="002B300E" w:rsidRPr="00195B67">
        <w:t> </w:t>
      </w:r>
      <w:r w:rsidR="001E7990" w:rsidRPr="00195B67">
        <w:t xml:space="preserve">minimise the uptake of single-use items. </w:t>
      </w:r>
    </w:p>
    <w:p w14:paraId="3AA8B90C" w14:textId="5F950675" w:rsidR="00C92B8E" w:rsidRPr="00195B67" w:rsidRDefault="00C92B8E" w:rsidP="00FD3960">
      <w:pPr>
        <w:pStyle w:val="BodyText"/>
      </w:pPr>
      <w:r w:rsidRPr="00195B67">
        <w:t xml:space="preserve">Reuse, or reuse systems, were the most consistently mentioned tools for transitioning away from single-use, problematic plastics. </w:t>
      </w:r>
      <w:r w:rsidR="00345BCB" w:rsidRPr="00195B67">
        <w:t>Most</w:t>
      </w:r>
      <w:r w:rsidR="00920A62" w:rsidRPr="00195B67">
        <w:t xml:space="preserve"> </w:t>
      </w:r>
      <w:r w:rsidRPr="00195B67">
        <w:t>submitters mentioned reuse or reuse systems</w:t>
      </w:r>
      <w:r w:rsidR="00896757" w:rsidRPr="00195B67">
        <w:t>.</w:t>
      </w:r>
      <w:r w:rsidRPr="00195B67">
        <w:t xml:space="preserve"> Their comments often called for an increase in the scale</w:t>
      </w:r>
      <w:r w:rsidR="0002693D" w:rsidRPr="00195B67">
        <w:t>,</w:t>
      </w:r>
      <w:r w:rsidRPr="00195B67">
        <w:t xml:space="preserve"> </w:t>
      </w:r>
      <w:proofErr w:type="gramStart"/>
      <w:r w:rsidRPr="00195B67">
        <w:t>uptake</w:t>
      </w:r>
      <w:proofErr w:type="gramEnd"/>
      <w:r w:rsidRPr="00195B67">
        <w:t xml:space="preserve"> </w:t>
      </w:r>
      <w:r w:rsidR="0002693D" w:rsidRPr="00195B67">
        <w:t xml:space="preserve">and adoption </w:t>
      </w:r>
      <w:r w:rsidRPr="00195B67">
        <w:t>of reusable alternatives instead of single</w:t>
      </w:r>
      <w:r w:rsidR="002401A1" w:rsidRPr="00195B67">
        <w:noBreakHyphen/>
      </w:r>
      <w:r w:rsidRPr="00195B67">
        <w:t xml:space="preserve">use items. This reflects wider concerns around businesses or consumers choosing to adopt single-use alternatives that have worse, </w:t>
      </w:r>
      <w:r w:rsidR="002F3EDA" w:rsidRPr="00195B67">
        <w:t xml:space="preserve">and </w:t>
      </w:r>
      <w:r w:rsidRPr="00195B67">
        <w:t>sometimes unintended, environmental impacts than the plastic items they are replacing.</w:t>
      </w:r>
      <w:r w:rsidR="00E10376" w:rsidRPr="00195B67">
        <w:t xml:space="preserve"> These submitters also noted that regulatory and policy measures should ensure an even playing field </w:t>
      </w:r>
      <w:r w:rsidR="00381E44" w:rsidRPr="00195B67">
        <w:t xml:space="preserve">exists </w:t>
      </w:r>
      <w:r w:rsidR="00E10376" w:rsidRPr="00195B67">
        <w:t>between single-use items and their reusable alternatives.</w:t>
      </w:r>
    </w:p>
    <w:p w14:paraId="661A28CE" w14:textId="7325A29F" w:rsidR="00E10376" w:rsidRPr="00195B67" w:rsidRDefault="00E10376" w:rsidP="00FD3960">
      <w:pPr>
        <w:pStyle w:val="BodyText"/>
      </w:pPr>
      <w:r w:rsidRPr="00195B67">
        <w:t xml:space="preserve">The need to focus on reuse over </w:t>
      </w:r>
      <w:r w:rsidR="00577FC7" w:rsidRPr="00195B67">
        <w:t>single</w:t>
      </w:r>
      <w:r w:rsidR="00381E44" w:rsidRPr="00195B67">
        <w:t xml:space="preserve"> </w:t>
      </w:r>
      <w:r w:rsidR="00577FC7" w:rsidRPr="00195B67">
        <w:t>use</w:t>
      </w:r>
      <w:r w:rsidRPr="00195B67">
        <w:t xml:space="preserve"> was summarised well by one submitter</w:t>
      </w:r>
      <w:r w:rsidR="00381E44" w:rsidRPr="00195B67">
        <w:t>,</w:t>
      </w:r>
      <w:r w:rsidRPr="00195B67">
        <w:t xml:space="preserve"> who wrote:</w:t>
      </w:r>
    </w:p>
    <w:p w14:paraId="75CF4D39" w14:textId="7EA8C770" w:rsidR="00E10376" w:rsidRPr="00195B67" w:rsidRDefault="00E10376" w:rsidP="00FD3960">
      <w:pPr>
        <w:pStyle w:val="Quote"/>
      </w:pPr>
      <w:r w:rsidRPr="00195B67">
        <w:t xml:space="preserve">Facilitating reuse through regulation, policy and investment is key to reducing single-use plastics and plastic pollution, and to avoid or mitigate perverse outcomes of the proposed ban. The proposed policy of reducing single-use plastics must be supported by policy supporting infrastructure and community engagement necessary for reuse </w:t>
      </w:r>
      <w:proofErr w:type="gramStart"/>
      <w:r w:rsidRPr="00195B67">
        <w:t>i.e.</w:t>
      </w:r>
      <w:proofErr w:type="gramEnd"/>
      <w:r w:rsidRPr="00195B67">
        <w:t xml:space="preserve"> accessible, reusable alternatives and systems to support them (e.g. regional/localised washing facilities). This would allow solutions to move higher up the waste hierarchy, rather than incentivising the switch from one single-use material to another.</w:t>
      </w:r>
      <w:r w:rsidR="00325E81" w:rsidRPr="00195B67">
        <w:rPr>
          <w:vertAlign w:val="superscript"/>
        </w:rPr>
        <w:footnoteReference w:id="38"/>
      </w:r>
    </w:p>
    <w:p w14:paraId="269190D3" w14:textId="3EF45205" w:rsidR="00FD3960" w:rsidRPr="00195B67" w:rsidRDefault="005F6A0D" w:rsidP="00AF713E">
      <w:pPr>
        <w:pStyle w:val="Heading2"/>
      </w:pPr>
      <w:bookmarkStart w:id="42" w:name="_Toc72137512"/>
      <w:r w:rsidRPr="00195B67">
        <w:t>Tools to transition away from single-use</w:t>
      </w:r>
      <w:r w:rsidR="00FD3960" w:rsidRPr="00195B67">
        <w:br/>
      </w:r>
      <w:r w:rsidRPr="00195B67">
        <w:t xml:space="preserve">and </w:t>
      </w:r>
      <w:r w:rsidR="00577FC7" w:rsidRPr="00195B67">
        <w:t>hard-to-recycle</w:t>
      </w:r>
      <w:r w:rsidRPr="00195B67">
        <w:t xml:space="preserve"> </w:t>
      </w:r>
      <w:proofErr w:type="gramStart"/>
      <w:r w:rsidRPr="00195B67">
        <w:t>plastics</w:t>
      </w:r>
      <w:bookmarkEnd w:id="42"/>
      <w:proofErr w:type="gramEnd"/>
    </w:p>
    <w:p w14:paraId="5F883388" w14:textId="4713490C" w:rsidR="001811E2" w:rsidRPr="00195B67" w:rsidRDefault="00C8648E" w:rsidP="00FD3960">
      <w:pPr>
        <w:pStyle w:val="BodyText"/>
      </w:pPr>
      <w:r w:rsidRPr="00195B67">
        <w:t>While a mandatory phase</w:t>
      </w:r>
      <w:r w:rsidR="00861DFB" w:rsidRPr="00195B67">
        <w:t xml:space="preserve"> </w:t>
      </w:r>
      <w:r w:rsidRPr="00195B67">
        <w:t xml:space="preserve">out of some hard-to-recycle plastics was the </w:t>
      </w:r>
      <w:proofErr w:type="gramStart"/>
      <w:r w:rsidR="00C63282" w:rsidRPr="00195B67">
        <w:t xml:space="preserve">main </w:t>
      </w:r>
      <w:r w:rsidRPr="00195B67">
        <w:t>focus</w:t>
      </w:r>
      <w:proofErr w:type="gramEnd"/>
      <w:r w:rsidRPr="00195B67">
        <w:t xml:space="preserve"> of this consultation, we also heard about other </w:t>
      </w:r>
      <w:r w:rsidR="00BE7717" w:rsidRPr="00195B67">
        <w:t xml:space="preserve">means </w:t>
      </w:r>
      <w:r w:rsidR="000717EF" w:rsidRPr="00195B67">
        <w:t xml:space="preserve">for </w:t>
      </w:r>
      <w:r w:rsidRPr="00195B67">
        <w:t>transition</w:t>
      </w:r>
      <w:r w:rsidR="000717EF" w:rsidRPr="00195B67">
        <w:t>ing</w:t>
      </w:r>
      <w:r w:rsidRPr="00195B67">
        <w:t xml:space="preserve"> away from single-use plastics</w:t>
      </w:r>
      <w:r w:rsidR="00BE7717" w:rsidRPr="00195B67">
        <w:t>. These ‘tools for transition’ included</w:t>
      </w:r>
      <w:r w:rsidR="00E10376" w:rsidRPr="00195B67">
        <w:t xml:space="preserve"> </w:t>
      </w:r>
      <w:r w:rsidRPr="00195B67">
        <w:t>reuse systems</w:t>
      </w:r>
      <w:r w:rsidR="00E10376" w:rsidRPr="00195B67">
        <w:t xml:space="preserve">, </w:t>
      </w:r>
      <w:r w:rsidRPr="00195B67">
        <w:t>education campaigns, community initiatives</w:t>
      </w:r>
      <w:r w:rsidR="00E10376" w:rsidRPr="00195B67">
        <w:t xml:space="preserve">, </w:t>
      </w:r>
      <w:r w:rsidRPr="00195B67">
        <w:t>labelling requirements</w:t>
      </w:r>
      <w:r w:rsidR="00E10376" w:rsidRPr="00195B67">
        <w:t xml:space="preserve"> and economic incentives</w:t>
      </w:r>
      <w:r w:rsidRPr="00195B67">
        <w:t xml:space="preserve">. </w:t>
      </w:r>
    </w:p>
    <w:p w14:paraId="0FA10618" w14:textId="62CF2C47" w:rsidR="00C8648E" w:rsidRPr="00195B67" w:rsidRDefault="00C8648E" w:rsidP="00FD3960">
      <w:pPr>
        <w:pStyle w:val="BodyText"/>
      </w:pPr>
      <w:r w:rsidRPr="00195B67">
        <w:t>The proposed mandatory phase</w:t>
      </w:r>
      <w:r w:rsidR="00C63282" w:rsidRPr="00195B67">
        <w:t xml:space="preserve"> </w:t>
      </w:r>
      <w:r w:rsidRPr="00195B67">
        <w:t xml:space="preserve">outs will likely need to be supported by </w:t>
      </w:r>
      <w:r w:rsidR="00AA1C25" w:rsidRPr="00195B67">
        <w:t>various</w:t>
      </w:r>
      <w:r w:rsidR="00E10376" w:rsidRPr="00195B67">
        <w:t xml:space="preserve"> </w:t>
      </w:r>
      <w:r w:rsidRPr="00195B67">
        <w:t>other tools</w:t>
      </w:r>
      <w:r w:rsidR="00152ECD" w:rsidRPr="00195B67">
        <w:t>. This would help</w:t>
      </w:r>
      <w:r w:rsidRPr="00195B67">
        <w:t xml:space="preserve"> ensure people are informed about any regulatory changes, avoid unintended or adverse environmental impacts, and support the uptake of more reusable, sustainable or useful alternatives to single-use plastics.</w:t>
      </w:r>
    </w:p>
    <w:p w14:paraId="03F29FE4" w14:textId="40E2931C" w:rsidR="003A1E01" w:rsidRPr="00195B67" w:rsidRDefault="00C8648E" w:rsidP="00AF713E">
      <w:pPr>
        <w:pStyle w:val="BodyText"/>
        <w:keepLines/>
      </w:pPr>
      <w:r w:rsidRPr="00195B67">
        <w:lastRenderedPageBreak/>
        <w:t xml:space="preserve">The adoption of other tools to transition away from problematic plastics would also help </w:t>
      </w:r>
      <w:r w:rsidR="006809B3" w:rsidRPr="00195B67">
        <w:t xml:space="preserve">support system-level change. Many of the tools for transition that submitters mentioned are already in place to a certain extent, </w:t>
      </w:r>
      <w:r w:rsidR="00C92D65" w:rsidRPr="00195B67">
        <w:t xml:space="preserve">but </w:t>
      </w:r>
      <w:r w:rsidR="006809B3" w:rsidRPr="00195B67">
        <w:t xml:space="preserve">more work could be done to ensure systemic change. </w:t>
      </w:r>
      <w:r w:rsidR="00A05065" w:rsidRPr="00195B67">
        <w:t>Many submitters reflected on the need for</w:t>
      </w:r>
      <w:r w:rsidR="00F21982" w:rsidRPr="00195B67">
        <w:t xml:space="preserve"> additional support and</w:t>
      </w:r>
      <w:r w:rsidR="00A05065" w:rsidRPr="00195B67">
        <w:t xml:space="preserve"> more or better resource recovery infrastructure, as reflected below.</w:t>
      </w:r>
      <w:r w:rsidR="00FE427A" w:rsidRPr="00195B67">
        <w:rPr>
          <w:vertAlign w:val="superscript"/>
        </w:rPr>
        <w:footnoteReference w:id="39"/>
      </w:r>
    </w:p>
    <w:p w14:paraId="27B61B3E" w14:textId="45210CA4" w:rsidR="00FD3960" w:rsidRPr="00195B67" w:rsidRDefault="009A24E5" w:rsidP="00FD3960">
      <w:pPr>
        <w:pStyle w:val="Heading3"/>
      </w:pPr>
      <w:r w:rsidRPr="00195B67">
        <w:t xml:space="preserve">Transition </w:t>
      </w:r>
      <w:r w:rsidR="00AC676B" w:rsidRPr="00195B67">
        <w:t xml:space="preserve">plan or </w:t>
      </w:r>
      <w:r w:rsidR="00795B19" w:rsidRPr="00195B67">
        <w:t>roadmap</w:t>
      </w:r>
    </w:p>
    <w:p w14:paraId="0112D4C4" w14:textId="625B0103" w:rsidR="00795B19" w:rsidRPr="00195B67" w:rsidRDefault="00795B19" w:rsidP="00FD3960">
      <w:pPr>
        <w:pStyle w:val="BodyText"/>
      </w:pPr>
      <w:r w:rsidRPr="00195B67">
        <w:t xml:space="preserve">Many submitters specifically mentioned a need for central government to provide a transition plan or roadmap. This could be produced in conjunction with key industries and based on feedback provided through this consultation. Some submitters noted that a roadmap (or similar strategy) is needed to provide certainty to industry and businesses around which materials should be embraced and </w:t>
      </w:r>
      <w:r w:rsidR="002356FB" w:rsidRPr="00195B67">
        <w:t xml:space="preserve">which </w:t>
      </w:r>
      <w:r w:rsidRPr="00195B67">
        <w:t>should be phased</w:t>
      </w:r>
      <w:r w:rsidR="002356FB" w:rsidRPr="00195B67">
        <w:t xml:space="preserve"> </w:t>
      </w:r>
      <w:r w:rsidRPr="00195B67">
        <w:t xml:space="preserve">out over the long run. Similarly, local government and </w:t>
      </w:r>
      <w:proofErr w:type="gramStart"/>
      <w:r w:rsidRPr="00195B67">
        <w:t>general public</w:t>
      </w:r>
      <w:proofErr w:type="gramEnd"/>
      <w:r w:rsidRPr="00195B67">
        <w:t xml:space="preserve"> </w:t>
      </w:r>
      <w:r w:rsidR="00925BC2" w:rsidRPr="00195B67">
        <w:t xml:space="preserve">submitters </w:t>
      </w:r>
      <w:r w:rsidRPr="00195B67">
        <w:t>signalled they would like more direction around what materials to use.</w:t>
      </w:r>
      <w:r w:rsidR="00021084" w:rsidRPr="00195B67">
        <w:rPr>
          <w:vertAlign w:val="superscript"/>
        </w:rPr>
        <w:footnoteReference w:id="40"/>
      </w:r>
    </w:p>
    <w:p w14:paraId="5BFBD0F2" w14:textId="1132F8FD" w:rsidR="00FD3960" w:rsidRPr="00195B67" w:rsidRDefault="000B2672" w:rsidP="00FD3960">
      <w:pPr>
        <w:pStyle w:val="Heading3"/>
      </w:pPr>
      <w:r w:rsidRPr="00195B67">
        <w:t xml:space="preserve">Deposit </w:t>
      </w:r>
      <w:r w:rsidR="00925BC2" w:rsidRPr="00195B67">
        <w:t>r</w:t>
      </w:r>
      <w:r w:rsidRPr="00195B67">
        <w:t xml:space="preserve">eturn </w:t>
      </w:r>
      <w:r w:rsidR="00925BC2" w:rsidRPr="00195B67">
        <w:t>s</w:t>
      </w:r>
      <w:r w:rsidRPr="00195B67">
        <w:t>chemes</w:t>
      </w:r>
    </w:p>
    <w:p w14:paraId="78F68804" w14:textId="1A93D7BD" w:rsidR="000B2672" w:rsidRPr="00195B67" w:rsidRDefault="00FE427A" w:rsidP="00FD3960">
      <w:pPr>
        <w:pStyle w:val="BodyText"/>
      </w:pPr>
      <w:r w:rsidRPr="00195B67">
        <w:t>Many</w:t>
      </w:r>
      <w:r w:rsidR="00E10376" w:rsidRPr="00195B67">
        <w:t xml:space="preserve"> submitters also called for greater investment in </w:t>
      </w:r>
      <w:r w:rsidR="000B2672" w:rsidRPr="00195B67">
        <w:t xml:space="preserve">forms of collection, </w:t>
      </w:r>
      <w:proofErr w:type="gramStart"/>
      <w:r w:rsidR="000B2672" w:rsidRPr="00195B67">
        <w:t>recycling</w:t>
      </w:r>
      <w:proofErr w:type="gramEnd"/>
      <w:r w:rsidR="000B2672" w:rsidRPr="00195B67">
        <w:t xml:space="preserve"> and reprocessing infrastructure. </w:t>
      </w:r>
      <w:r w:rsidR="006F5B82" w:rsidRPr="00195B67">
        <w:t>Nearly 38</w:t>
      </w:r>
      <w:r w:rsidR="00892918" w:rsidRPr="00195B67">
        <w:t xml:space="preserve"> per cent</w:t>
      </w:r>
      <w:r w:rsidR="000B2672" w:rsidRPr="00195B67">
        <w:t xml:space="preserve"> </w:t>
      </w:r>
      <w:r w:rsidR="00C80EC5" w:rsidRPr="00195B67">
        <w:t xml:space="preserve">(2975) </w:t>
      </w:r>
      <w:r w:rsidR="000B2672" w:rsidRPr="00195B67">
        <w:t>of submitters mentioned deposit return schemes, where people receive a small amount of cash back for returning higher</w:t>
      </w:r>
      <w:r w:rsidR="004F5BE4" w:rsidRPr="00195B67">
        <w:t xml:space="preserve"> </w:t>
      </w:r>
      <w:r w:rsidR="000B2672" w:rsidRPr="00195B67">
        <w:t xml:space="preserve">value recyclable items for reprocessing. </w:t>
      </w:r>
      <w:r w:rsidR="001710D7" w:rsidRPr="00195B67">
        <w:t>Some submissions</w:t>
      </w:r>
      <w:r w:rsidR="001710D7" w:rsidRPr="00195B67" w:rsidDel="005D423A">
        <w:t xml:space="preserve"> </w:t>
      </w:r>
      <w:r w:rsidR="000B2672" w:rsidRPr="00195B67">
        <w:t>particular</w:t>
      </w:r>
      <w:r w:rsidR="001710D7" w:rsidRPr="00195B67">
        <w:t>ly</w:t>
      </w:r>
      <w:r w:rsidR="000B2672" w:rsidRPr="00195B67">
        <w:t xml:space="preserve"> mention</w:t>
      </w:r>
      <w:r w:rsidR="001710D7" w:rsidRPr="00195B67">
        <w:t>ed</w:t>
      </w:r>
      <w:r w:rsidR="000B2672" w:rsidRPr="00195B67">
        <w:t xml:space="preserve"> investigating return schemes for takeaway food packaging</w:t>
      </w:r>
      <w:r w:rsidR="006F5B82" w:rsidRPr="00195B67">
        <w:t>.</w:t>
      </w:r>
    </w:p>
    <w:p w14:paraId="3F383242" w14:textId="34C832BF" w:rsidR="00A05065" w:rsidRPr="00195B67" w:rsidRDefault="00A05065" w:rsidP="00FD3960">
      <w:pPr>
        <w:pStyle w:val="BodyText"/>
      </w:pPr>
      <w:r w:rsidRPr="00195B67">
        <w:t>Other types of return scheme</w:t>
      </w:r>
      <w:r w:rsidR="001940F9" w:rsidRPr="00195B67">
        <w:t>s</w:t>
      </w:r>
      <w:r w:rsidRPr="00195B67">
        <w:t xml:space="preserve"> that were specifically mentioned include</w:t>
      </w:r>
      <w:r w:rsidR="00BB0A02" w:rsidRPr="00195B67">
        <w:t>d</w:t>
      </w:r>
      <w:r w:rsidRPr="00195B67">
        <w:t xml:space="preserve"> container return schemes (designed specifically for </w:t>
      </w:r>
      <w:r w:rsidR="006D384C" w:rsidRPr="00195B67">
        <w:t xml:space="preserve">bottles, beverage containers and similar consumer </w:t>
      </w:r>
      <w:r w:rsidR="00BC21B8" w:rsidRPr="00195B67">
        <w:t>packaging</w:t>
      </w:r>
      <w:r w:rsidR="006D384C" w:rsidRPr="00195B67">
        <w:t>) and</w:t>
      </w:r>
      <w:r w:rsidR="00D271B3" w:rsidRPr="00195B67">
        <w:t xml:space="preserve"> related</w:t>
      </w:r>
      <w:r w:rsidR="006D384C" w:rsidRPr="00195B67">
        <w:t xml:space="preserve"> product stewardship schemes where the producer of a product is responsible for what happens to it at the end of its life. </w:t>
      </w:r>
    </w:p>
    <w:p w14:paraId="0252BE91" w14:textId="77777777" w:rsidR="00FD3960" w:rsidRPr="00195B67" w:rsidRDefault="00A05065" w:rsidP="00FD3960">
      <w:pPr>
        <w:pStyle w:val="Heading3"/>
      </w:pPr>
      <w:r w:rsidRPr="00195B67">
        <w:t xml:space="preserve">Other infrastructure and investment </w:t>
      </w:r>
    </w:p>
    <w:p w14:paraId="325A83A4" w14:textId="2A2D9CA9" w:rsidR="00A05065" w:rsidRPr="00195B67" w:rsidRDefault="00A05065" w:rsidP="00FD3960">
      <w:pPr>
        <w:pStyle w:val="BodyText"/>
      </w:pPr>
      <w:r w:rsidRPr="00195B67">
        <w:t>To support the collection and reprocessing of recyclable materials, submitters noted the need for improved resource</w:t>
      </w:r>
      <w:r w:rsidR="007F77E5" w:rsidRPr="00195B67">
        <w:t>-</w:t>
      </w:r>
      <w:r w:rsidRPr="00195B67">
        <w:t xml:space="preserve">recovery infrastructure and investment. Better collection and recycling methods were noted as important for </w:t>
      </w:r>
      <w:r w:rsidR="00FA1C33" w:rsidRPr="00195B67">
        <w:t>various</w:t>
      </w:r>
      <w:r w:rsidRPr="00195B67">
        <w:t xml:space="preserve"> reasons, </w:t>
      </w:r>
      <w:r w:rsidR="00DF12D9" w:rsidRPr="00195B67">
        <w:t xml:space="preserve">for example, </w:t>
      </w:r>
      <w:r w:rsidRPr="00195B67">
        <w:t>providing benefits such as:</w:t>
      </w:r>
    </w:p>
    <w:p w14:paraId="588EE118" w14:textId="32DFD8EF" w:rsidR="00A05065" w:rsidRPr="00195B67" w:rsidRDefault="00A05065" w:rsidP="00FD3960">
      <w:pPr>
        <w:pStyle w:val="Bullet"/>
      </w:pPr>
      <w:r w:rsidRPr="00195B67">
        <w:t>reduc</w:t>
      </w:r>
      <w:r w:rsidR="00113AA8" w:rsidRPr="00195B67">
        <w:t>ing</w:t>
      </w:r>
      <w:r w:rsidRPr="00195B67">
        <w:t xml:space="preserve"> waste to landfill </w:t>
      </w:r>
    </w:p>
    <w:p w14:paraId="35FCD662" w14:textId="4F4643E5" w:rsidR="00A05065" w:rsidRPr="00195B67" w:rsidRDefault="00113AA8" w:rsidP="00FD3960">
      <w:pPr>
        <w:pStyle w:val="Bullet"/>
      </w:pPr>
      <w:r w:rsidRPr="00195B67">
        <w:t xml:space="preserve">creating </w:t>
      </w:r>
      <w:r w:rsidR="00A05065" w:rsidRPr="00195B67">
        <w:t>a more circular economy</w:t>
      </w:r>
    </w:p>
    <w:p w14:paraId="38355661" w14:textId="11A1C16C" w:rsidR="00A05065" w:rsidRPr="00195B67" w:rsidRDefault="00A05065" w:rsidP="00FD3960">
      <w:pPr>
        <w:pStyle w:val="Bullet"/>
      </w:pPr>
      <w:r w:rsidRPr="00195B67">
        <w:t>minimis</w:t>
      </w:r>
      <w:r w:rsidR="00113AA8" w:rsidRPr="00195B67">
        <w:t>ing</w:t>
      </w:r>
      <w:r w:rsidRPr="00195B67">
        <w:t xml:space="preserve"> harm from litter </w:t>
      </w:r>
      <w:r w:rsidR="00FA1C33" w:rsidRPr="00195B67">
        <w:t>because</w:t>
      </w:r>
      <w:r w:rsidRPr="00195B67">
        <w:t xml:space="preserve"> more items are captured and </w:t>
      </w:r>
      <w:proofErr w:type="gramStart"/>
      <w:r w:rsidRPr="00195B67">
        <w:t>collected</w:t>
      </w:r>
      <w:proofErr w:type="gramEnd"/>
    </w:p>
    <w:p w14:paraId="2D750293" w14:textId="64378B91" w:rsidR="00A05065" w:rsidRPr="00195B67" w:rsidRDefault="00A05065" w:rsidP="00FD3960">
      <w:pPr>
        <w:pStyle w:val="Bullet"/>
      </w:pPr>
      <w:r w:rsidRPr="00195B67">
        <w:t xml:space="preserve">enabling more recycled plastics to be used and produced </w:t>
      </w:r>
      <w:proofErr w:type="gramStart"/>
      <w:r w:rsidRPr="00195B67">
        <w:t>domestically</w:t>
      </w:r>
      <w:proofErr w:type="gramEnd"/>
    </w:p>
    <w:p w14:paraId="41F233F5" w14:textId="32DA1B70" w:rsidR="00A05065" w:rsidRPr="00195B67" w:rsidRDefault="00A05065" w:rsidP="00FD3960">
      <w:pPr>
        <w:pStyle w:val="Bullet"/>
      </w:pPr>
      <w:r w:rsidRPr="00195B67">
        <w:t>providing a more effective kerbside collection system that is easier to use</w:t>
      </w:r>
      <w:r w:rsidR="00586DA6" w:rsidRPr="00195B67">
        <w:t>.</w:t>
      </w:r>
    </w:p>
    <w:p w14:paraId="3B45B53D" w14:textId="77777777" w:rsidR="00FD3960" w:rsidRPr="00195B67" w:rsidRDefault="000B2672" w:rsidP="00FD3960">
      <w:pPr>
        <w:pStyle w:val="Heading3"/>
      </w:pPr>
      <w:r w:rsidRPr="00195B67">
        <w:lastRenderedPageBreak/>
        <w:t>Compulsory labelling requirements</w:t>
      </w:r>
    </w:p>
    <w:p w14:paraId="3FD74055" w14:textId="7D8BD511" w:rsidR="00967389" w:rsidRPr="00195B67" w:rsidRDefault="00AC15C5" w:rsidP="002401A1">
      <w:pPr>
        <w:pStyle w:val="BodyText"/>
      </w:pPr>
      <w:r w:rsidRPr="00195B67">
        <w:t xml:space="preserve">Of </w:t>
      </w:r>
      <w:r w:rsidR="00A8039E" w:rsidRPr="00195B67">
        <w:t xml:space="preserve">the </w:t>
      </w:r>
      <w:r w:rsidRPr="00195B67">
        <w:t xml:space="preserve">submitters, </w:t>
      </w:r>
      <w:r w:rsidR="00572628" w:rsidRPr="00195B67">
        <w:t>38</w:t>
      </w:r>
      <w:r w:rsidR="00892918" w:rsidRPr="00195B67">
        <w:t xml:space="preserve"> per cent</w:t>
      </w:r>
      <w:r w:rsidR="006F5B82" w:rsidRPr="00195B67">
        <w:t xml:space="preserve"> </w:t>
      </w:r>
      <w:r w:rsidR="00FE427A" w:rsidRPr="00195B67">
        <w:t>(</w:t>
      </w:r>
      <w:r w:rsidR="00572628" w:rsidRPr="00195B67">
        <w:t>30</w:t>
      </w:r>
      <w:r w:rsidR="0044445E" w:rsidRPr="00195B67">
        <w:t>26</w:t>
      </w:r>
      <w:r w:rsidR="00FE427A" w:rsidRPr="00195B67">
        <w:t xml:space="preserve">) </w:t>
      </w:r>
      <w:r w:rsidR="000B2672" w:rsidRPr="00195B67">
        <w:t xml:space="preserve">called for </w:t>
      </w:r>
      <w:r w:rsidR="00D57273" w:rsidRPr="00195B67">
        <w:t xml:space="preserve">further </w:t>
      </w:r>
      <w:r w:rsidR="000B2672" w:rsidRPr="00195B67">
        <w:t>labelling requirements</w:t>
      </w:r>
      <w:r w:rsidR="008E7708" w:rsidRPr="00195B67">
        <w:t xml:space="preserve">. Calls for better labelling covered </w:t>
      </w:r>
      <w:r w:rsidR="0081151A" w:rsidRPr="00195B67">
        <w:t>different</w:t>
      </w:r>
      <w:r w:rsidR="008E7708" w:rsidRPr="00195B67">
        <w:t xml:space="preserve"> labels, including clear labels for recyclability, material type and other considerations</w:t>
      </w:r>
      <w:r w:rsidR="0081151A" w:rsidRPr="00195B67">
        <w:t>, such as</w:t>
      </w:r>
      <w:r w:rsidR="008E7708" w:rsidRPr="00195B67">
        <w:t xml:space="preserve"> the ability for a product to be composted or whether an item must be sent to landfill. </w:t>
      </w:r>
    </w:p>
    <w:p w14:paraId="3DEA12DE" w14:textId="77777777" w:rsidR="00997DB7" w:rsidRPr="00195B67" w:rsidRDefault="00C41390" w:rsidP="00997DB7">
      <w:pPr>
        <w:pStyle w:val="Heading3"/>
      </w:pPr>
      <w:r w:rsidRPr="00195B67">
        <w:t xml:space="preserve">Education and </w:t>
      </w:r>
      <w:r w:rsidR="00586DA6" w:rsidRPr="00195B67">
        <w:t>b</w:t>
      </w:r>
      <w:r w:rsidR="00FC0B14" w:rsidRPr="00195B67">
        <w:t xml:space="preserve">ehaviour </w:t>
      </w:r>
      <w:r w:rsidR="007D0E4B" w:rsidRPr="00195B67">
        <w:t>c</w:t>
      </w:r>
      <w:r w:rsidR="00FC0B14" w:rsidRPr="00195B67">
        <w:t>hange</w:t>
      </w:r>
      <w:r w:rsidRPr="00195B67">
        <w:t xml:space="preserve"> </w:t>
      </w:r>
    </w:p>
    <w:p w14:paraId="217785E2" w14:textId="1237699C" w:rsidR="009A5AB4" w:rsidRPr="00195B67" w:rsidRDefault="00CF28DF" w:rsidP="00997DB7">
      <w:pPr>
        <w:pStyle w:val="BodyText"/>
      </w:pPr>
      <w:r w:rsidRPr="00195B67">
        <w:t xml:space="preserve">Forty-four </w:t>
      </w:r>
      <w:r w:rsidR="00892918" w:rsidRPr="00195B67">
        <w:t>per cent</w:t>
      </w:r>
      <w:r w:rsidR="0017038F" w:rsidRPr="00195B67">
        <w:t xml:space="preserve"> </w:t>
      </w:r>
      <w:r w:rsidR="0044445E" w:rsidRPr="00195B67">
        <w:t xml:space="preserve">(3475) </w:t>
      </w:r>
      <w:r w:rsidR="0017038F" w:rsidRPr="00195B67">
        <w:t xml:space="preserve">of submitters commented on the need for more education, </w:t>
      </w:r>
      <w:proofErr w:type="gramStart"/>
      <w:r w:rsidR="0017038F" w:rsidRPr="00195B67">
        <w:t>awareness</w:t>
      </w:r>
      <w:proofErr w:type="gramEnd"/>
      <w:r w:rsidR="0017038F" w:rsidRPr="00195B67">
        <w:t xml:space="preserve"> and behaviour change</w:t>
      </w:r>
      <w:r w:rsidR="0044445E" w:rsidRPr="00195B67">
        <w:t xml:space="preserve">. </w:t>
      </w:r>
      <w:r w:rsidR="0017038F" w:rsidRPr="00195B67">
        <w:t>Many noted that behaviour change will also be</w:t>
      </w:r>
      <w:r w:rsidR="001913E2" w:rsidRPr="00195B67">
        <w:t xml:space="preserve"> a</w:t>
      </w:r>
      <w:r w:rsidR="0017038F" w:rsidRPr="00195B67">
        <w:t xml:space="preserve"> likely benefit of these </w:t>
      </w:r>
      <w:proofErr w:type="gramStart"/>
      <w:r w:rsidR="0017038F" w:rsidRPr="00195B67">
        <w:t xml:space="preserve">proposals, </w:t>
      </w:r>
      <w:r w:rsidR="00A4597D" w:rsidRPr="00195B67">
        <w:t>because</w:t>
      </w:r>
      <w:proofErr w:type="gramEnd"/>
      <w:r w:rsidR="0017038F" w:rsidRPr="00195B67">
        <w:t xml:space="preserve"> </w:t>
      </w:r>
      <w:r w:rsidR="001913E2" w:rsidRPr="00195B67">
        <w:t xml:space="preserve">regulation will </w:t>
      </w:r>
      <w:r w:rsidR="0017038F" w:rsidRPr="00195B67">
        <w:t>bring attention to plastic</w:t>
      </w:r>
      <w:r w:rsidR="00A4597D" w:rsidRPr="00195B67">
        <w:t>-</w:t>
      </w:r>
      <w:r w:rsidR="0017038F" w:rsidRPr="00195B67">
        <w:t xml:space="preserve">waste issues (in a similar way </w:t>
      </w:r>
      <w:r w:rsidR="000024C0" w:rsidRPr="00195B67">
        <w:t xml:space="preserve">to </w:t>
      </w:r>
      <w:r w:rsidR="0017038F" w:rsidRPr="00195B67">
        <w:t>the plastic bag ban</w:t>
      </w:r>
      <w:r w:rsidR="000024C0" w:rsidRPr="00195B67">
        <w:t>, which</w:t>
      </w:r>
      <w:r w:rsidR="0017038F" w:rsidRPr="00195B67">
        <w:t xml:space="preserve"> created public awareness around the issue and encouraged behaviour change by requiring more people to bring their own bags</w:t>
      </w:r>
      <w:r w:rsidR="006F5C3C" w:rsidRPr="00195B67">
        <w:t xml:space="preserve"> when they went shopping</w:t>
      </w:r>
      <w:r w:rsidR="0017038F" w:rsidRPr="00195B67">
        <w:t xml:space="preserve">). </w:t>
      </w:r>
    </w:p>
    <w:p w14:paraId="144674F2" w14:textId="77777777" w:rsidR="00997DB7" w:rsidRPr="00195B67" w:rsidRDefault="00BC21B8" w:rsidP="00997DB7">
      <w:pPr>
        <w:pStyle w:val="Heading3"/>
      </w:pPr>
      <w:r w:rsidRPr="00195B67">
        <w:t xml:space="preserve">Using </w:t>
      </w:r>
      <w:r w:rsidR="00967389" w:rsidRPr="00195B67">
        <w:t>recycled content</w:t>
      </w:r>
    </w:p>
    <w:p w14:paraId="713C96C0" w14:textId="33160239" w:rsidR="007B6738" w:rsidRPr="00195B67" w:rsidRDefault="00C7336B" w:rsidP="00997DB7">
      <w:pPr>
        <w:pStyle w:val="BodyText"/>
        <w:rPr>
          <w:b/>
          <w:bCs/>
        </w:rPr>
      </w:pPr>
      <w:r w:rsidRPr="00195B67">
        <w:t xml:space="preserve">Forty-three </w:t>
      </w:r>
      <w:r w:rsidR="00892918" w:rsidRPr="00195B67">
        <w:t>per cent</w:t>
      </w:r>
      <w:r w:rsidR="0044445E" w:rsidRPr="00195B67">
        <w:t xml:space="preserve"> (3395)</w:t>
      </w:r>
      <w:r w:rsidR="00077D0C" w:rsidRPr="00195B67">
        <w:t xml:space="preserve"> of submitters mentioned recycled content requirements and/or the </w:t>
      </w:r>
      <w:r w:rsidRPr="00195B67">
        <w:t xml:space="preserve">effects </w:t>
      </w:r>
      <w:r w:rsidR="00077D0C" w:rsidRPr="00195B67">
        <w:t>that could have on providing stronger and more reliable markets for recycled resin</w:t>
      </w:r>
      <w:r w:rsidR="007013EC" w:rsidRPr="00195B67">
        <w:t xml:space="preserve">. </w:t>
      </w:r>
      <w:r w:rsidR="00077D0C" w:rsidRPr="00195B67">
        <w:t xml:space="preserve">Many of these submitters believed that requiring a mandatory minimum amount of recycled content in </w:t>
      </w:r>
      <w:r w:rsidR="001913E2" w:rsidRPr="00195B67">
        <w:t xml:space="preserve">the </w:t>
      </w:r>
      <w:r w:rsidR="00077D0C" w:rsidRPr="00195B67">
        <w:t xml:space="preserve">remaining higher value plastics would further reduce the environmental impacts of plastic by keeping it in </w:t>
      </w:r>
      <w:r w:rsidR="004B3340" w:rsidRPr="00195B67">
        <w:t xml:space="preserve">the </w:t>
      </w:r>
      <w:r w:rsidR="00077D0C" w:rsidRPr="00195B67">
        <w:t>recycling system and out of landfill.</w:t>
      </w:r>
    </w:p>
    <w:p w14:paraId="690B6E1C" w14:textId="77777777" w:rsidR="00997DB7" w:rsidRPr="00195B67" w:rsidRDefault="00A05065" w:rsidP="00997DB7">
      <w:pPr>
        <w:pStyle w:val="Heading3"/>
      </w:pPr>
      <w:r w:rsidRPr="00195B67">
        <w:t xml:space="preserve">Community </w:t>
      </w:r>
      <w:r w:rsidR="0074783E" w:rsidRPr="00195B67">
        <w:t>funding and engagement</w:t>
      </w:r>
    </w:p>
    <w:p w14:paraId="38839EB1" w14:textId="263F3B24" w:rsidR="00A05065" w:rsidRPr="00195B67" w:rsidRDefault="008253C2" w:rsidP="00997DB7">
      <w:pPr>
        <w:pStyle w:val="BodyText"/>
      </w:pPr>
      <w:r w:rsidRPr="00195B67">
        <w:t>Submitters also called for community-level interventions</w:t>
      </w:r>
      <w:r w:rsidR="003559F5" w:rsidRPr="00195B67">
        <w:t>,</w:t>
      </w:r>
      <w:r w:rsidRPr="00195B67">
        <w:t xml:space="preserve"> such as grant funding for localised education and engagement</w:t>
      </w:r>
      <w:r w:rsidR="00795B19" w:rsidRPr="00195B67">
        <w:t xml:space="preserve">. We heard this strongly from those who submitted </w:t>
      </w:r>
      <w:r w:rsidR="00FC1CAA" w:rsidRPr="00195B67">
        <w:t xml:space="preserve">through </w:t>
      </w:r>
      <w:r w:rsidR="00820986" w:rsidRPr="00195B67">
        <w:t xml:space="preserve">the </w:t>
      </w:r>
      <w:r w:rsidR="00795B19" w:rsidRPr="00195B67">
        <w:t>form template submissions supplied by organisations like Greenpeace and the Zero Waste Network</w:t>
      </w:r>
      <w:r w:rsidR="003917FA" w:rsidRPr="00195B67">
        <w:t>. Some called for additional funding for community-based activit</w:t>
      </w:r>
      <w:r w:rsidR="00644DA5" w:rsidRPr="00195B67">
        <w:t>ies, such as</w:t>
      </w:r>
      <w:r w:rsidR="003917FA" w:rsidRPr="00195B67">
        <w:t xml:space="preserve"> local education campaigns, reuse workshops, or </w:t>
      </w:r>
      <w:r w:rsidR="0074783E" w:rsidRPr="00195B67">
        <w:t>single-use exclusion zones where communities and local businesses agree to only support reusable options. Some challenges with plastics are localised and may require local solutions, such as areas with particularly high litter rates or where waste infrastructure is less developed.</w:t>
      </w:r>
    </w:p>
    <w:p w14:paraId="455DE149" w14:textId="175EBE53" w:rsidR="00D40830" w:rsidRPr="00195B67" w:rsidRDefault="003A1E01" w:rsidP="00997DB7">
      <w:pPr>
        <w:pStyle w:val="Heading2"/>
        <w:rPr>
          <w:rFonts w:eastAsia="Times New Roman"/>
        </w:rPr>
      </w:pPr>
      <w:bookmarkStart w:id="43" w:name="_Toc72137513"/>
      <w:r w:rsidRPr="00195B67">
        <w:rPr>
          <w:rFonts w:eastAsia="Times New Roman"/>
        </w:rPr>
        <w:t xml:space="preserve">Compliance, monitoring and </w:t>
      </w:r>
      <w:proofErr w:type="gramStart"/>
      <w:r w:rsidRPr="00195B67">
        <w:rPr>
          <w:rFonts w:eastAsia="Times New Roman"/>
        </w:rPr>
        <w:t>enforcement</w:t>
      </w:r>
      <w:bookmarkEnd w:id="43"/>
      <w:proofErr w:type="gramEnd"/>
      <w:r w:rsidRPr="00195B67">
        <w:rPr>
          <w:rFonts w:eastAsia="Times New Roman"/>
        </w:rPr>
        <w:t xml:space="preserve"> </w:t>
      </w:r>
    </w:p>
    <w:p w14:paraId="4120595A" w14:textId="721BD810" w:rsidR="00A850F6" w:rsidRPr="00195B67" w:rsidRDefault="00D40830" w:rsidP="00997DB7">
      <w:pPr>
        <w:pStyle w:val="BodyText"/>
      </w:pPr>
      <w:r w:rsidRPr="00195B67">
        <w:t>Any mandatory phase</w:t>
      </w:r>
      <w:r w:rsidR="005B1850" w:rsidRPr="00195B67">
        <w:t xml:space="preserve"> </w:t>
      </w:r>
      <w:r w:rsidRPr="00195B67">
        <w:t>outs will come with additional compliance, monitoring and enforcement work for the Ministry. After single-use plastic bags</w:t>
      </w:r>
      <w:r w:rsidR="008D40D8" w:rsidRPr="00195B67">
        <w:t xml:space="preserve"> </w:t>
      </w:r>
      <w:r w:rsidR="001F08FF" w:rsidRPr="00195B67">
        <w:t xml:space="preserve">were banned </w:t>
      </w:r>
      <w:r w:rsidR="008D40D8" w:rsidRPr="00195B67">
        <w:t>in 2019</w:t>
      </w:r>
      <w:r w:rsidRPr="00195B67">
        <w:t>, the Ministry launched</w:t>
      </w:r>
      <w:r w:rsidR="004F5E70" w:rsidRPr="00195B67">
        <w:t> </w:t>
      </w:r>
      <w:r w:rsidRPr="00195B67">
        <w:t xml:space="preserve">an online portal </w:t>
      </w:r>
      <w:r w:rsidR="00D7328A" w:rsidRPr="00195B67">
        <w:t xml:space="preserve">for </w:t>
      </w:r>
      <w:r w:rsidRPr="00195B67">
        <w:t xml:space="preserve">the public </w:t>
      </w:r>
      <w:r w:rsidR="00D7328A" w:rsidRPr="00195B67">
        <w:t xml:space="preserve">to </w:t>
      </w:r>
      <w:r w:rsidRPr="00195B67">
        <w:t xml:space="preserve">use to report any business or retailer that they believe is providing banned single-use plastic bags. The Ministry also conducted a compliance assurance programme </w:t>
      </w:r>
      <w:r w:rsidR="00F20A84" w:rsidRPr="00195B67">
        <w:t xml:space="preserve">that </w:t>
      </w:r>
      <w:r w:rsidRPr="00195B67">
        <w:t>focused on education and engagement with the regulated community</w:t>
      </w:r>
      <w:r w:rsidR="00F20A84" w:rsidRPr="00195B67">
        <w:t>.</w:t>
      </w:r>
      <w:r w:rsidRPr="00195B67">
        <w:t xml:space="preserve"> </w:t>
      </w:r>
      <w:r w:rsidR="00F20A84" w:rsidRPr="00195B67">
        <w:t xml:space="preserve">The programme </w:t>
      </w:r>
      <w:r w:rsidRPr="00195B67">
        <w:t>provid</w:t>
      </w:r>
      <w:r w:rsidR="00F20A84" w:rsidRPr="00195B67">
        <w:t>ed</w:t>
      </w:r>
      <w:r w:rsidRPr="00195B67">
        <w:t xml:space="preserve"> resources that explain</w:t>
      </w:r>
      <w:r w:rsidR="004F040C" w:rsidRPr="00195B67">
        <w:t>ed</w:t>
      </w:r>
      <w:r w:rsidRPr="00195B67">
        <w:t xml:space="preserve"> the ban to businesses across the country</w:t>
      </w:r>
      <w:r w:rsidR="00A725F7" w:rsidRPr="00195B67">
        <w:t>,</w:t>
      </w:r>
      <w:r w:rsidRPr="00195B67">
        <w:t xml:space="preserve"> to support them to adopt alternatives</w:t>
      </w:r>
      <w:r w:rsidR="00A725F7" w:rsidRPr="00195B67">
        <w:t>,</w:t>
      </w:r>
      <w:r w:rsidRPr="00195B67">
        <w:t xml:space="preserve"> and </w:t>
      </w:r>
      <w:r w:rsidR="004F0E4B" w:rsidRPr="00195B67">
        <w:t>allowed</w:t>
      </w:r>
      <w:r w:rsidR="00DB6F27" w:rsidRPr="00195B67">
        <w:t xml:space="preserve"> the Ministry </w:t>
      </w:r>
      <w:r w:rsidR="004F0E4B" w:rsidRPr="00195B67">
        <w:t xml:space="preserve">to </w:t>
      </w:r>
      <w:r w:rsidRPr="00195B67">
        <w:t xml:space="preserve">check how the ban </w:t>
      </w:r>
      <w:r w:rsidR="001D7F07" w:rsidRPr="00195B67">
        <w:t xml:space="preserve">was </w:t>
      </w:r>
      <w:r w:rsidRPr="00195B67">
        <w:t>working in practice. The Ministry also had a process to escalate concerns where stores, particularly those that were part of a chain, were not willing to comply with the ban. Common suggestions for how to monitor and enforce compliance with the phase</w:t>
      </w:r>
      <w:r w:rsidR="004F5E70" w:rsidRPr="00195B67">
        <w:t xml:space="preserve"> </w:t>
      </w:r>
      <w:r w:rsidRPr="00195B67">
        <w:t xml:space="preserve">outs are summarised below. </w:t>
      </w:r>
    </w:p>
    <w:p w14:paraId="77C11D75" w14:textId="313CD446" w:rsidR="00997DB7" w:rsidRPr="00195B67" w:rsidRDefault="00D40830" w:rsidP="00997DB7">
      <w:pPr>
        <w:pStyle w:val="Heading3"/>
      </w:pPr>
      <w:r w:rsidRPr="00195B67">
        <w:lastRenderedPageBreak/>
        <w:t xml:space="preserve">Compliance </w:t>
      </w:r>
      <w:r w:rsidR="004F5E70" w:rsidRPr="00195B67">
        <w:t>s</w:t>
      </w:r>
      <w:r w:rsidRPr="00195B67">
        <w:t>trategy</w:t>
      </w:r>
    </w:p>
    <w:p w14:paraId="217534DE" w14:textId="27C4EC1A" w:rsidR="00D40830" w:rsidRPr="00195B67" w:rsidRDefault="00D40830" w:rsidP="00997DB7">
      <w:pPr>
        <w:pStyle w:val="BodyText"/>
        <w:rPr>
          <w:b/>
          <w:bCs/>
        </w:rPr>
      </w:pPr>
      <w:r w:rsidRPr="00195B67">
        <w:t xml:space="preserve">Compliance and enforcement </w:t>
      </w:r>
      <w:proofErr w:type="gramStart"/>
      <w:r w:rsidRPr="00195B67">
        <w:t>was</w:t>
      </w:r>
      <w:proofErr w:type="gramEnd"/>
      <w:r w:rsidRPr="00195B67">
        <w:t xml:space="preserve"> not one of the main topics covered in this consultation</w:t>
      </w:r>
      <w:r w:rsidR="005E6E08" w:rsidRPr="00195B67">
        <w:t>,</w:t>
      </w:r>
      <w:r w:rsidRPr="00195B67">
        <w:t xml:space="preserve"> </w:t>
      </w:r>
      <w:r w:rsidR="005E6E08" w:rsidRPr="00195B67">
        <w:t xml:space="preserve">but </w:t>
      </w:r>
      <w:r w:rsidRPr="00195B67">
        <w:t xml:space="preserve">in </w:t>
      </w:r>
      <w:r w:rsidR="00A7041A" w:rsidRPr="00195B67">
        <w:t xml:space="preserve">the </w:t>
      </w:r>
      <w:r w:rsidRPr="00195B67">
        <w:t xml:space="preserve">substantive submissions tool we asked: </w:t>
      </w:r>
      <w:r w:rsidRPr="00D4057E">
        <w:t>“How should the proposals in this document be monitored for compliance?”</w:t>
      </w:r>
      <w:r w:rsidR="005E6E08" w:rsidRPr="00195B67">
        <w:t>.</w:t>
      </w:r>
    </w:p>
    <w:p w14:paraId="09786B10" w14:textId="3F18A577" w:rsidR="00A850F6" w:rsidRPr="00195B67" w:rsidRDefault="00D40830" w:rsidP="00997DB7">
      <w:pPr>
        <w:pStyle w:val="BodyText"/>
      </w:pPr>
      <w:r w:rsidRPr="00195B67">
        <w:t>Of the 337 people who responded to the question, 72.4 per cent</w:t>
      </w:r>
      <w:r w:rsidR="001940F9" w:rsidRPr="00195B67">
        <w:t xml:space="preserve"> (244)</w:t>
      </w:r>
      <w:r w:rsidRPr="00195B67">
        <w:t xml:space="preserve"> of submitters mentioned the need </w:t>
      </w:r>
      <w:proofErr w:type="spellStart"/>
      <w:r w:rsidRPr="00195B67">
        <w:t>or</w:t>
      </w:r>
      <w:proofErr w:type="spellEnd"/>
      <w:r w:rsidRPr="00195B67">
        <w:t xml:space="preserve"> their support for a </w:t>
      </w:r>
      <w:r w:rsidR="005E6E08" w:rsidRPr="00195B67">
        <w:t>‘</w:t>
      </w:r>
      <w:r w:rsidRPr="00195B67">
        <w:t>compliance strategy</w:t>
      </w:r>
      <w:r w:rsidR="005E6E08" w:rsidRPr="00195B67">
        <w:t>’</w:t>
      </w:r>
      <w:r w:rsidRPr="00195B67">
        <w:t>. One submitter summarised this position, and stated:</w:t>
      </w:r>
    </w:p>
    <w:p w14:paraId="2879F9B9" w14:textId="57ECC025" w:rsidR="00D40830" w:rsidRPr="00195B67" w:rsidRDefault="00A850F6" w:rsidP="00997DB7">
      <w:pPr>
        <w:pStyle w:val="Quote"/>
      </w:pPr>
      <w:r w:rsidRPr="00195B67" w:rsidDel="00A850F6">
        <w:t xml:space="preserve"> </w:t>
      </w:r>
      <w:r w:rsidR="00784E32" w:rsidRPr="00195B67">
        <w:t>…</w:t>
      </w:r>
      <w:r w:rsidR="00D40830" w:rsidRPr="00195B67">
        <w:t xml:space="preserve">a compliance and enforcement strategy </w:t>
      </w:r>
      <w:proofErr w:type="gramStart"/>
      <w:r w:rsidR="00D40830" w:rsidRPr="00195B67">
        <w:t>is</w:t>
      </w:r>
      <w:proofErr w:type="gramEnd"/>
      <w:r w:rsidR="00D40830" w:rsidRPr="00195B67">
        <w:t xml:space="preserve"> needed because the range of products being</w:t>
      </w:r>
      <w:r w:rsidR="004A74EF" w:rsidRPr="00195B67">
        <w:t> </w:t>
      </w:r>
      <w:r w:rsidR="00D40830" w:rsidRPr="00195B67">
        <w:t>proposed for a ban is quite wide and will impact a variety of sectors, industries, businesses, organisations and individuals. So, the potential for noncompliance to slip through the cracks is quite high. We saw with the plastic bag ban that some businesses did</w:t>
      </w:r>
      <w:r w:rsidR="004A74EF" w:rsidRPr="00195B67">
        <w:t> </w:t>
      </w:r>
      <w:r w:rsidR="00D40830" w:rsidRPr="00195B67">
        <w:t>push the limits of the law and after a year, 400 breaches were reported. Given the scope of the present proposal, that goes well beyond the plastic bag ban, we support the appointment and resourcing of enforcement officers, alongside relying on community members to report breaches</w:t>
      </w:r>
      <w:r w:rsidR="001940F9" w:rsidRPr="00195B67">
        <w:t>.</w:t>
      </w:r>
      <w:r w:rsidR="00D271B3" w:rsidRPr="00195B67">
        <w:rPr>
          <w:vertAlign w:val="superscript"/>
        </w:rPr>
        <w:footnoteReference w:id="41"/>
      </w:r>
    </w:p>
    <w:p w14:paraId="4CC3A42E" w14:textId="77777777" w:rsidR="00997DB7" w:rsidRPr="00195B67" w:rsidRDefault="00D40830" w:rsidP="008C602F">
      <w:pPr>
        <w:pStyle w:val="Heading3"/>
        <w:spacing w:before="320"/>
      </w:pPr>
      <w:r w:rsidRPr="00195B67">
        <w:t xml:space="preserve">Public hotlines and reporting </w:t>
      </w:r>
    </w:p>
    <w:p w14:paraId="67C112B3" w14:textId="7598A6D9" w:rsidR="009A0389" w:rsidRPr="00195B67" w:rsidRDefault="00D40830" w:rsidP="00997DB7">
      <w:pPr>
        <w:pStyle w:val="BodyText"/>
      </w:pPr>
      <w:r w:rsidRPr="00195B67">
        <w:t>The second most commented on idea by submitters was a public hotline</w:t>
      </w:r>
      <w:r w:rsidR="000D0E58" w:rsidRPr="00195B67">
        <w:t xml:space="preserve"> that</w:t>
      </w:r>
      <w:r w:rsidRPr="00195B67">
        <w:t xml:space="preserve"> would </w:t>
      </w:r>
      <w:r w:rsidR="000D0E58" w:rsidRPr="00195B67">
        <w:t xml:space="preserve">let </w:t>
      </w:r>
      <w:r w:rsidRPr="00195B67">
        <w:t xml:space="preserve">people report suspected non-compliance issues </w:t>
      </w:r>
      <w:r w:rsidR="000D0E58" w:rsidRPr="00195B67">
        <w:t xml:space="preserve">through </w:t>
      </w:r>
      <w:r w:rsidRPr="00195B67">
        <w:t xml:space="preserve">an online portal </w:t>
      </w:r>
      <w:r w:rsidR="009B0BCF" w:rsidRPr="00195B67">
        <w:t xml:space="preserve">that </w:t>
      </w:r>
      <w:r w:rsidRPr="00195B67">
        <w:t xml:space="preserve">enforcement officers </w:t>
      </w:r>
      <w:r w:rsidR="009B0BCF" w:rsidRPr="00195B67">
        <w:t xml:space="preserve">could </w:t>
      </w:r>
      <w:r w:rsidRPr="00195B67">
        <w:t xml:space="preserve">check. </w:t>
      </w:r>
      <w:r w:rsidR="0084455C" w:rsidRPr="00195B67">
        <w:t xml:space="preserve">Eighty-four </w:t>
      </w:r>
      <w:r w:rsidRPr="00195B67">
        <w:t xml:space="preserve">submitters specifically mentioned a public hotline. This was </w:t>
      </w:r>
      <w:r w:rsidR="00F1154E" w:rsidRPr="00195B67">
        <w:t xml:space="preserve">remarked on </w:t>
      </w:r>
      <w:r w:rsidRPr="00195B67">
        <w:t>far more than any other monitoring and enforcement measure</w:t>
      </w:r>
      <w:r w:rsidR="001041C5" w:rsidRPr="00195B67">
        <w:t>s,</w:t>
      </w:r>
      <w:r w:rsidRPr="00195B67">
        <w:t xml:space="preserve"> like waste audits or spot checks.</w:t>
      </w:r>
      <w:r w:rsidR="00AA0263" w:rsidRPr="00195B67">
        <w:t xml:space="preserve"> </w:t>
      </w:r>
    </w:p>
    <w:p w14:paraId="0D8E9C6C" w14:textId="531353F2" w:rsidR="002428C6" w:rsidRPr="00195B67" w:rsidRDefault="003A1E01" w:rsidP="00997DB7">
      <w:pPr>
        <w:pStyle w:val="Heading2"/>
        <w:rPr>
          <w:rFonts w:eastAsia="Times New Roman"/>
        </w:rPr>
      </w:pPr>
      <w:bookmarkStart w:id="44" w:name="_Toc72137514"/>
      <w:r w:rsidRPr="00195B67">
        <w:rPr>
          <w:rFonts w:eastAsia="Times New Roman"/>
        </w:rPr>
        <w:t>Next steps and policy decisions</w:t>
      </w:r>
      <w:bookmarkEnd w:id="44"/>
    </w:p>
    <w:p w14:paraId="63B601BB" w14:textId="77777777" w:rsidR="00997DB7" w:rsidRPr="00195B67" w:rsidRDefault="002428C6" w:rsidP="008C602F">
      <w:pPr>
        <w:pStyle w:val="Heading3"/>
        <w:spacing w:before="240"/>
      </w:pPr>
      <w:proofErr w:type="gramStart"/>
      <w:r w:rsidRPr="00195B67">
        <w:t>Submissions</w:t>
      </w:r>
      <w:proofErr w:type="gramEnd"/>
      <w:r w:rsidRPr="00195B67">
        <w:t xml:space="preserve"> publishing </w:t>
      </w:r>
    </w:p>
    <w:p w14:paraId="4896EA7C" w14:textId="5A5C287A" w:rsidR="002428C6" w:rsidRPr="00195B67" w:rsidRDefault="002428C6" w:rsidP="00997DB7">
      <w:pPr>
        <w:pStyle w:val="BodyText"/>
      </w:pPr>
      <w:r w:rsidRPr="00195B67">
        <w:t xml:space="preserve">Alongside the release and publication of this document, we </w:t>
      </w:r>
      <w:r w:rsidR="003F5BE5" w:rsidRPr="00195B67">
        <w:t xml:space="preserve">will </w:t>
      </w:r>
      <w:r w:rsidRPr="00195B67">
        <w:t>also publish and releas</w:t>
      </w:r>
      <w:r w:rsidR="003F5BE5" w:rsidRPr="00195B67">
        <w:t>e</w:t>
      </w:r>
      <w:r w:rsidRPr="00195B67">
        <w:t xml:space="preserve"> submissions where </w:t>
      </w:r>
      <w:r w:rsidR="00207CB8" w:rsidRPr="00195B67">
        <w:t>submitters agree</w:t>
      </w:r>
      <w:r w:rsidRPr="00195B67">
        <w:t>d to information being published. These will be available on the Ministry</w:t>
      </w:r>
      <w:r w:rsidR="003F5BE5" w:rsidRPr="00195B67">
        <w:t>’s</w:t>
      </w:r>
      <w:r w:rsidR="0067697A" w:rsidRPr="00195B67">
        <w:t xml:space="preserve"> </w:t>
      </w:r>
      <w:r w:rsidRPr="00195B67">
        <w:t>website.</w:t>
      </w:r>
    </w:p>
    <w:p w14:paraId="68FB50EF" w14:textId="77777777" w:rsidR="00997DB7" w:rsidRPr="00195B67" w:rsidRDefault="002428C6" w:rsidP="008C602F">
      <w:pPr>
        <w:pStyle w:val="Heading3"/>
        <w:spacing w:before="320"/>
      </w:pPr>
      <w:r w:rsidRPr="00195B67">
        <w:t>Policy decisions</w:t>
      </w:r>
    </w:p>
    <w:p w14:paraId="13E8EABC" w14:textId="0C5CD39E" w:rsidR="000D3C4F" w:rsidRPr="00195B67" w:rsidRDefault="002428C6" w:rsidP="00997DB7">
      <w:pPr>
        <w:pStyle w:val="BodyText"/>
      </w:pPr>
      <w:r w:rsidRPr="00195B67">
        <w:t>The Ministry</w:t>
      </w:r>
      <w:r w:rsidR="0067697A" w:rsidRPr="00195B67">
        <w:t xml:space="preserve"> </w:t>
      </w:r>
      <w:r w:rsidRPr="00195B67">
        <w:t xml:space="preserve">is providing advice to Ministers and Cabinet on next steps for phasing out </w:t>
      </w:r>
      <w:r w:rsidR="00577FC7" w:rsidRPr="00195B67">
        <w:t>hard-to-recycle</w:t>
      </w:r>
      <w:r w:rsidRPr="00195B67">
        <w:t xml:space="preserve"> plastics and single-use items. The advice is informed by this consultation and other work the Ministry has been doing, including engaging with targeted stakeholders, </w:t>
      </w:r>
      <w:r w:rsidR="000D3C4F" w:rsidRPr="00195B67">
        <w:t>consulting across government agencies, researching best-practice methods from overseas, and other work programmes.</w:t>
      </w:r>
    </w:p>
    <w:p w14:paraId="08E05BF2" w14:textId="1D19F977" w:rsidR="00997DB7" w:rsidRPr="00195B67" w:rsidRDefault="002D7144" w:rsidP="008C602F">
      <w:pPr>
        <w:pStyle w:val="Heading3"/>
        <w:spacing w:before="320"/>
      </w:pPr>
      <w:r w:rsidRPr="00195B67">
        <w:t>Stay up</w:t>
      </w:r>
      <w:r w:rsidR="00E229D0" w:rsidRPr="00195B67">
        <w:t xml:space="preserve"> </w:t>
      </w:r>
      <w:r w:rsidRPr="00195B67">
        <w:t>to</w:t>
      </w:r>
      <w:r w:rsidR="00E229D0" w:rsidRPr="00195B67">
        <w:t xml:space="preserve"> </w:t>
      </w:r>
      <w:proofErr w:type="gramStart"/>
      <w:r w:rsidRPr="00195B67">
        <w:t>date</w:t>
      </w:r>
      <w:proofErr w:type="gramEnd"/>
    </w:p>
    <w:p w14:paraId="40B07400" w14:textId="09978882" w:rsidR="00920A62" w:rsidRPr="00195B67" w:rsidRDefault="000D3C4F" w:rsidP="00997DB7">
      <w:pPr>
        <w:pStyle w:val="BodyText"/>
      </w:pPr>
      <w:r w:rsidRPr="00195B67">
        <w:t>Policy decisions are expected in mid</w:t>
      </w:r>
      <w:r w:rsidR="00E229D0" w:rsidRPr="00195B67">
        <w:t>-</w:t>
      </w:r>
      <w:r w:rsidRPr="00195B67">
        <w:t xml:space="preserve">2021. </w:t>
      </w:r>
      <w:r w:rsidR="00793952" w:rsidRPr="00195B67">
        <w:t>You can visit the following sites, t</w:t>
      </w:r>
      <w:r w:rsidRPr="00195B67">
        <w:t>o stay up</w:t>
      </w:r>
      <w:r w:rsidR="00793952" w:rsidRPr="00195B67">
        <w:t xml:space="preserve"> </w:t>
      </w:r>
      <w:r w:rsidRPr="00195B67">
        <w:t>to</w:t>
      </w:r>
      <w:r w:rsidR="005A0962" w:rsidRPr="00195B67">
        <w:t xml:space="preserve"> </w:t>
      </w:r>
      <w:r w:rsidRPr="00195B67">
        <w:t>date on any decisions and announcements</w:t>
      </w:r>
      <w:r w:rsidR="005A0962" w:rsidRPr="00195B67">
        <w:t>:</w:t>
      </w:r>
    </w:p>
    <w:p w14:paraId="155842D6" w14:textId="479737C8" w:rsidR="00D009D8" w:rsidRPr="00195B67" w:rsidRDefault="009F5FE0" w:rsidP="00713922">
      <w:pPr>
        <w:spacing w:before="0" w:after="200" w:line="276" w:lineRule="auto"/>
        <w:jc w:val="left"/>
      </w:pPr>
      <w:hyperlink r:id="rId35" w:history="1">
        <w:r w:rsidR="00B6389F" w:rsidRPr="00B6389F">
          <w:rPr>
            <w:rStyle w:val="Hyperlink"/>
          </w:rPr>
          <w:t>The Ministry for the Environment’s Waste Page</w:t>
        </w:r>
      </w:hyperlink>
      <w:r w:rsidR="00B6389F">
        <w:t xml:space="preserve"> or </w:t>
      </w:r>
      <w:hyperlink r:id="rId36" w:history="1">
        <w:r w:rsidR="00B6389F" w:rsidRPr="00B6389F">
          <w:rPr>
            <w:rStyle w:val="Hyperlink"/>
          </w:rPr>
          <w:t>Facebook</w:t>
        </w:r>
      </w:hyperlink>
      <w:r w:rsidR="00B6389F">
        <w:t xml:space="preserve"> and </w:t>
      </w:r>
      <w:hyperlink r:id="rId37" w:history="1">
        <w:r w:rsidR="00B6389F" w:rsidRPr="00B6389F">
          <w:rPr>
            <w:rStyle w:val="Hyperlink"/>
          </w:rPr>
          <w:t>Instagram</w:t>
        </w:r>
      </w:hyperlink>
      <w:r w:rsidR="00B6389F">
        <w:t>.</w:t>
      </w:r>
    </w:p>
    <w:sectPr w:rsidR="00D009D8" w:rsidRPr="00195B67" w:rsidSect="00A9440E">
      <w:footerReference w:type="even" r:id="rId38"/>
      <w:footerReference w:type="default" r:id="rId39"/>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38E2" w14:textId="77777777" w:rsidR="0045023E" w:rsidRDefault="0045023E" w:rsidP="0080531E">
      <w:pPr>
        <w:spacing w:before="0" w:after="0" w:line="240" w:lineRule="auto"/>
      </w:pPr>
      <w:r>
        <w:separator/>
      </w:r>
    </w:p>
    <w:p w14:paraId="32840B25" w14:textId="77777777" w:rsidR="0045023E" w:rsidRDefault="0045023E"/>
  </w:endnote>
  <w:endnote w:type="continuationSeparator" w:id="0">
    <w:p w14:paraId="077E8519" w14:textId="77777777" w:rsidR="0045023E" w:rsidRDefault="0045023E" w:rsidP="0080531E">
      <w:pPr>
        <w:spacing w:before="0" w:after="0" w:line="240" w:lineRule="auto"/>
      </w:pPr>
      <w:r>
        <w:continuationSeparator/>
      </w:r>
    </w:p>
    <w:p w14:paraId="1BC4C655" w14:textId="77777777" w:rsidR="0045023E" w:rsidRDefault="0045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7404" w14:textId="6695AA91" w:rsidR="0045023E" w:rsidRDefault="0045023E">
    <w:pPr>
      <w:pStyle w:val="Footer"/>
    </w:pPr>
    <w:r>
      <w:rPr>
        <w:noProof/>
      </w:rPr>
      <mc:AlternateContent>
        <mc:Choice Requires="wps">
          <w:drawing>
            <wp:anchor distT="0" distB="0" distL="114300" distR="114300" simplePos="0" relativeHeight="251657728" behindDoc="0" locked="0" layoutInCell="0" allowOverlap="1" wp14:anchorId="16BD7CA8" wp14:editId="4E2E7602">
              <wp:simplePos x="0" y="0"/>
              <wp:positionH relativeFrom="page">
                <wp:posOffset>0</wp:posOffset>
              </wp:positionH>
              <wp:positionV relativeFrom="page">
                <wp:posOffset>10229453</wp:posOffset>
              </wp:positionV>
              <wp:extent cx="7560945" cy="273050"/>
              <wp:effectExtent l="0" t="0" r="0" b="12700"/>
              <wp:wrapNone/>
              <wp:docPr id="18" name="MSIPCM96544afdb12dc15f019c5317" descr="{&quot;HashCode&quot;:-23542159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E8389" w14:textId="13E2E062" w:rsidR="0045023E" w:rsidRPr="007854F5" w:rsidRDefault="0045023E" w:rsidP="007854F5">
                          <w:pPr>
                            <w:spacing w:before="0" w:after="0"/>
                            <w:jc w:val="center"/>
                            <w:rPr>
                              <w:rFonts w:cs="Calibri"/>
                              <w:color w:val="000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BD7CA8" id="_x0000_t202" coordsize="21600,21600" o:spt="202" path="m,l,21600r21600,l21600,xe">
              <v:stroke joinstyle="miter"/>
              <v:path gradientshapeok="t" o:connecttype="rect"/>
            </v:shapetype>
            <v:shape id="MSIPCM96544afdb12dc15f019c5317" o:spid="_x0000_s1027" type="#_x0000_t202" alt="{&quot;HashCode&quot;:-235421592,&quot;Height&quot;:842.0,&quot;Width&quot;:595.0,&quot;Placement&quot;:&quot;Footer&quot;,&quot;Index&quot;:&quot;OddAndEven&quot;,&quot;Section&quot;:1,&quot;Top&quot;:0.0,&quot;Left&quot;:0.0}" style="position:absolute;left:0;text-align:left;margin-left:0;margin-top:805.45pt;width:595.35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DnJCTjtAIAAFEF&#10;AAAOAAAAAAAAAAAAAAAAAC4CAABkcnMvZTJvRG9jLnhtbFBLAQItABQABgAIAAAAIQARcqd+3wAA&#10;AAsBAAAPAAAAAAAAAAAAAAAAAA4FAABkcnMvZG93bnJldi54bWxQSwUGAAAAAAQABADzAAAAGgYA&#10;AAAA&#10;" o:allowincell="f" filled="f" stroked="f" strokeweight=".5pt">
              <v:textbox inset=",0,,0">
                <w:txbxContent>
                  <w:p w14:paraId="40FE8389" w14:textId="13E2E062" w:rsidR="0045023E" w:rsidRPr="007854F5" w:rsidRDefault="0045023E" w:rsidP="007854F5">
                    <w:pPr>
                      <w:spacing w:before="0" w:after="0"/>
                      <w:jc w:val="center"/>
                      <w:rPr>
                        <w:rFonts w:cs="Calibri"/>
                        <w:color w:val="000000"/>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1098" w14:textId="2D634323" w:rsidR="0045023E" w:rsidRDefault="0045023E" w:rsidP="00734B9A">
    <w:pPr>
      <w:spacing w:before="0" w:after="0" w:line="240" w:lineRule="auto"/>
      <w:ind w:left="-57"/>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2D97" w14:textId="77777777" w:rsidR="00E7108B" w:rsidRDefault="00E71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1FD" w14:textId="7DEFB291" w:rsidR="0045023E" w:rsidRDefault="0045023E"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991" w14:textId="695C5F96" w:rsidR="0045023E" w:rsidRDefault="0045023E">
    <w:r>
      <w:rPr>
        <w:noProof/>
      </w:rPr>
      <mc:AlternateContent>
        <mc:Choice Requires="wps">
          <w:drawing>
            <wp:anchor distT="0" distB="0" distL="114300" distR="114300" simplePos="0" relativeHeight="251658752" behindDoc="0" locked="0" layoutInCell="0" allowOverlap="1" wp14:anchorId="17CBE186" wp14:editId="603BF2B1">
              <wp:simplePos x="0" y="0"/>
              <wp:positionH relativeFrom="page">
                <wp:posOffset>0</wp:posOffset>
              </wp:positionH>
              <wp:positionV relativeFrom="page">
                <wp:posOffset>10229453</wp:posOffset>
              </wp:positionV>
              <wp:extent cx="7560945" cy="273050"/>
              <wp:effectExtent l="0" t="0" r="0" b="12700"/>
              <wp:wrapNone/>
              <wp:docPr id="19" name="MSIPCM71704abbb9a30b92bcdbddf2" descr="{&quot;HashCode&quot;:-23542159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C73D6" w14:textId="01C6BA64" w:rsidR="0045023E" w:rsidRPr="007854F5" w:rsidRDefault="0045023E" w:rsidP="007854F5">
                          <w:pPr>
                            <w:spacing w:before="0" w:after="0"/>
                            <w:jc w:val="center"/>
                            <w:rPr>
                              <w:rFonts w:cs="Calibri"/>
                              <w:color w:val="000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CBE186" id="_x0000_t202" coordsize="21600,21600" o:spt="202" path="m,l,21600r21600,l21600,xe">
              <v:stroke joinstyle="miter"/>
              <v:path gradientshapeok="t" o:connecttype="rect"/>
            </v:shapetype>
            <v:shape id="MSIPCM71704abbb9a30b92bcdbddf2" o:spid="_x0000_s1028" type="#_x0000_t202" alt="{&quot;HashCode&quot;:-235421592,&quot;Height&quot;:842.0,&quot;Width&quot;:595.0,&quot;Placement&quot;:&quot;Footer&quot;,&quot;Index&quot;:&quot;Primary&quot;,&quot;Section&quot;:2,&quot;Top&quot;:0.0,&quot;Left&quot;:0.0}" style="position:absolute;left:0;text-align:left;margin-left:0;margin-top:805.45pt;width:595.3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dnhc4bICAABOBQAA&#10;DgAAAAAAAAAAAAAAAAAuAgAAZHJzL2Uyb0RvYy54bWxQSwECLQAUAAYACAAAACEAEXKnft8AAAAL&#10;AQAADwAAAAAAAAAAAAAAAAAMBQAAZHJzL2Rvd25yZXYueG1sUEsFBgAAAAAEAAQA8wAAABgGAAAA&#10;AA==&#10;" o:allowincell="f" filled="f" stroked="f" strokeweight=".5pt">
              <v:textbox inset=",0,,0">
                <w:txbxContent>
                  <w:p w14:paraId="44FC73D6" w14:textId="01C6BA64" w:rsidR="0045023E" w:rsidRPr="007854F5" w:rsidRDefault="0045023E" w:rsidP="007854F5">
                    <w:pPr>
                      <w:spacing w:before="0" w:after="0"/>
                      <w:jc w:val="center"/>
                      <w:rPr>
                        <w:rFonts w:cs="Calibri"/>
                        <w:color w:val="000000"/>
                        <w:sz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39D2" w14:textId="54791740" w:rsidR="0045023E" w:rsidRDefault="0045023E" w:rsidP="00CD25E1">
    <w:pPr>
      <w:pStyle w:val="Footereven"/>
    </w:pPr>
    <w:r w:rsidRPr="004F458A">
      <w:rPr>
        <w:b/>
      </w:rPr>
      <w:fldChar w:fldCharType="begin"/>
    </w:r>
    <w:r w:rsidRPr="004F458A">
      <w:instrText xml:space="preserve"> PAGE </w:instrText>
    </w:r>
    <w:r w:rsidRPr="004F458A">
      <w:rPr>
        <w:b/>
      </w:rPr>
      <w:fldChar w:fldCharType="separate"/>
    </w:r>
    <w:r w:rsidR="00500874">
      <w:rPr>
        <w:noProof/>
      </w:rPr>
      <w:t>12</w:t>
    </w:r>
    <w:r w:rsidRPr="004F458A">
      <w:rPr>
        <w:b/>
      </w:rPr>
      <w:fldChar w:fldCharType="end"/>
    </w:r>
    <w:r>
      <w:tab/>
    </w:r>
    <w:r w:rsidRPr="00AF6B6C">
      <w:t xml:space="preserve">Reducing the impact of plastic on our environment: Summary of </w:t>
    </w:r>
    <w:proofErr w:type="gramStart"/>
    <w:r w:rsidRPr="00AF6B6C">
      <w:t>submissions</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D775" w14:textId="4D95133C" w:rsidR="0045023E" w:rsidRDefault="0045023E" w:rsidP="00CD25E1">
    <w:pPr>
      <w:pStyle w:val="Footerodd"/>
    </w:pPr>
    <w:r>
      <w:tab/>
    </w:r>
    <w:r w:rsidRPr="00AF6B6C">
      <w:t>Reducing the impact of plastic on our environment: Summary of submissions</w:t>
    </w:r>
    <w:r>
      <w:tab/>
    </w:r>
    <w:r>
      <w:fldChar w:fldCharType="begin"/>
    </w:r>
    <w:r>
      <w:instrText xml:space="preserve"> PAGE   \* MERGEFORMAT </w:instrText>
    </w:r>
    <w:r>
      <w:fldChar w:fldCharType="separate"/>
    </w:r>
    <w:r w:rsidR="00500874">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7CFF" w14:textId="77777777" w:rsidR="0045023E" w:rsidRDefault="0045023E" w:rsidP="00CB5C5F">
      <w:pPr>
        <w:spacing w:before="0" w:after="80" w:line="240" w:lineRule="auto"/>
      </w:pPr>
      <w:r>
        <w:separator/>
      </w:r>
    </w:p>
  </w:footnote>
  <w:footnote w:type="continuationSeparator" w:id="0">
    <w:p w14:paraId="53A0E051" w14:textId="77777777" w:rsidR="0045023E" w:rsidRDefault="0045023E" w:rsidP="0080531E">
      <w:pPr>
        <w:spacing w:before="0" w:after="0" w:line="240" w:lineRule="auto"/>
      </w:pPr>
      <w:r>
        <w:continuationSeparator/>
      </w:r>
    </w:p>
    <w:p w14:paraId="5DCA6DF9" w14:textId="77777777" w:rsidR="0045023E" w:rsidRDefault="0045023E"/>
  </w:footnote>
  <w:footnote w:id="1">
    <w:p w14:paraId="7443C5BC" w14:textId="26DAF2A6" w:rsidR="0045023E" w:rsidRPr="001C01B7" w:rsidRDefault="0045023E">
      <w:pPr>
        <w:pStyle w:val="FootnoteText"/>
      </w:pPr>
      <w:r w:rsidRPr="001C01B7">
        <w:rPr>
          <w:rStyle w:val="FootnoteReference"/>
        </w:rPr>
        <w:footnoteRef/>
      </w:r>
      <w:r w:rsidRPr="001C01B7">
        <w:t xml:space="preserve"> </w:t>
      </w:r>
      <w:r w:rsidRPr="001C01B7">
        <w:tab/>
        <w:t xml:space="preserve">Office of the Prime Minister’s Chief Science Advisor. 2019. </w:t>
      </w:r>
      <w:r w:rsidRPr="00880782">
        <w:rPr>
          <w:i/>
          <w:iCs/>
        </w:rPr>
        <w:t>Rethinking Plastics in Aotearoa New Zealand</w:t>
      </w:r>
      <w:r w:rsidRPr="001C01B7">
        <w:t xml:space="preserve">. Auckland: Office of the Prime Minister’s Chief Science Advisor. Retrieved from </w:t>
      </w:r>
      <w:hyperlink r:id="rId1" w:history="1">
        <w:r w:rsidRPr="001C01B7">
          <w:rPr>
            <w:rStyle w:val="Hyperlink"/>
          </w:rPr>
          <w:t>https://www.pmcsa.ac.nz/topics/rethinking-plastics/</w:t>
        </w:r>
      </w:hyperlink>
      <w:r w:rsidRPr="001C01B7">
        <w:t xml:space="preserve"> (May 2021).</w:t>
      </w:r>
    </w:p>
  </w:footnote>
  <w:footnote w:id="2">
    <w:p w14:paraId="175D39B2" w14:textId="6AD1A7AB" w:rsidR="0045023E" w:rsidRPr="001C01B7" w:rsidRDefault="0045023E" w:rsidP="00EA3648">
      <w:pPr>
        <w:pStyle w:val="FootnoteText"/>
      </w:pPr>
      <w:r w:rsidRPr="001C01B7">
        <w:rPr>
          <w:rStyle w:val="FootnoteReference"/>
        </w:rPr>
        <w:footnoteRef/>
      </w:r>
      <w:r w:rsidRPr="001C01B7">
        <w:t xml:space="preserve"> </w:t>
      </w:r>
      <w:r w:rsidRPr="001C01B7">
        <w:tab/>
        <w:t xml:space="preserve">Ministry for the Environment. 2020. </w:t>
      </w:r>
      <w:r w:rsidRPr="00880782">
        <w:rPr>
          <w:i/>
          <w:iCs/>
        </w:rPr>
        <w:t>Reducing the impact of plastic on our environment</w:t>
      </w:r>
      <w:r w:rsidRPr="001C01B7">
        <w:t xml:space="preserve">. Retrieved from </w:t>
      </w:r>
      <w:hyperlink r:id="rId2" w:history="1">
        <w:r w:rsidRPr="001C01B7">
          <w:rPr>
            <w:rStyle w:val="Hyperlink"/>
          </w:rPr>
          <w:t>https://consult.environment.govt.nz/waste/plastics/</w:t>
        </w:r>
      </w:hyperlink>
      <w:r w:rsidRPr="001C01B7">
        <w:t xml:space="preserve"> (May 2021).</w:t>
      </w:r>
    </w:p>
  </w:footnote>
  <w:footnote w:id="3">
    <w:p w14:paraId="5A5D2E32" w14:textId="2CF24B9D" w:rsidR="0045023E" w:rsidRPr="001C01B7" w:rsidRDefault="0045023E">
      <w:pPr>
        <w:pStyle w:val="FootnoteText"/>
      </w:pPr>
      <w:r w:rsidRPr="001C01B7">
        <w:rPr>
          <w:rStyle w:val="FootnoteReference"/>
        </w:rPr>
        <w:footnoteRef/>
      </w:r>
      <w:r w:rsidRPr="001C01B7">
        <w:t xml:space="preserve"> </w:t>
      </w:r>
      <w:r w:rsidRPr="001C01B7">
        <w:tab/>
        <w:t>Other business and industry submitter, submission reference number 1765.</w:t>
      </w:r>
    </w:p>
  </w:footnote>
  <w:footnote w:id="4">
    <w:p w14:paraId="0B2BB54E" w14:textId="472DCEEE" w:rsidR="0045023E" w:rsidRPr="001C01B7" w:rsidRDefault="0045023E">
      <w:pPr>
        <w:pStyle w:val="FootnoteText"/>
      </w:pPr>
      <w:r w:rsidRPr="001C01B7">
        <w:rPr>
          <w:rStyle w:val="FootnoteReference"/>
        </w:rPr>
        <w:footnoteRef/>
      </w:r>
      <w:r w:rsidRPr="001C01B7">
        <w:t xml:space="preserve"> </w:t>
      </w:r>
      <w:r w:rsidRPr="001C01B7">
        <w:tab/>
        <w:t>Industry group submitter, submission reference number 1775.</w:t>
      </w:r>
    </w:p>
  </w:footnote>
  <w:footnote w:id="5">
    <w:p w14:paraId="5CA0B0F9" w14:textId="762A8A4C" w:rsidR="0045023E" w:rsidRPr="001C01B7" w:rsidRDefault="0045023E">
      <w:pPr>
        <w:pStyle w:val="FootnoteText"/>
      </w:pPr>
      <w:r w:rsidRPr="001C01B7">
        <w:rPr>
          <w:rStyle w:val="FootnoteReference"/>
        </w:rPr>
        <w:footnoteRef/>
      </w:r>
      <w:r w:rsidRPr="001C01B7">
        <w:rPr>
          <w:rStyle w:val="FootnoteReference"/>
        </w:rPr>
        <w:t xml:space="preserve"> </w:t>
      </w:r>
      <w:r w:rsidRPr="001C01B7">
        <w:tab/>
        <w:t>General public submitter, submission reference number 1462.</w:t>
      </w:r>
    </w:p>
  </w:footnote>
  <w:footnote w:id="6">
    <w:p w14:paraId="69C2ACF3" w14:textId="5908873C" w:rsidR="0045023E" w:rsidRPr="001C01B7" w:rsidRDefault="0045023E">
      <w:pPr>
        <w:pStyle w:val="FootnoteText"/>
      </w:pPr>
      <w:r w:rsidRPr="001C01B7">
        <w:rPr>
          <w:rStyle w:val="FootnoteReference"/>
        </w:rPr>
        <w:footnoteRef/>
      </w:r>
      <w:r w:rsidRPr="001C01B7">
        <w:t xml:space="preserve"> </w:t>
      </w:r>
      <w:r w:rsidRPr="001C01B7">
        <w:tab/>
        <w:t>General public submitter, submission reference number 1461.</w:t>
      </w:r>
    </w:p>
  </w:footnote>
  <w:footnote w:id="7">
    <w:p w14:paraId="4104E65B" w14:textId="7ABC6E66" w:rsidR="0045023E" w:rsidRPr="001C01B7" w:rsidRDefault="0045023E">
      <w:pPr>
        <w:pStyle w:val="FootnoteText"/>
      </w:pPr>
      <w:r w:rsidRPr="001C01B7">
        <w:rPr>
          <w:rStyle w:val="FootnoteReference"/>
        </w:rPr>
        <w:footnoteRef/>
      </w:r>
      <w:r w:rsidRPr="001C01B7">
        <w:t xml:space="preserve"> </w:t>
      </w:r>
      <w:r w:rsidRPr="001C01B7">
        <w:tab/>
        <w:t>Local government submitter, submission reference number 1756.</w:t>
      </w:r>
    </w:p>
  </w:footnote>
  <w:footnote w:id="8">
    <w:p w14:paraId="549482E7" w14:textId="6654A94B" w:rsidR="0045023E" w:rsidRPr="001C01B7" w:rsidRDefault="0045023E" w:rsidP="00E84F6E">
      <w:pPr>
        <w:pStyle w:val="FootnoteText"/>
      </w:pPr>
      <w:r w:rsidRPr="001C01B7">
        <w:rPr>
          <w:rStyle w:val="FootnoteReference"/>
        </w:rPr>
        <w:footnoteRef/>
      </w:r>
      <w:r w:rsidRPr="001C01B7">
        <w:t xml:space="preserve"> </w:t>
      </w:r>
      <w:r w:rsidRPr="001C01B7">
        <w:tab/>
        <w:t>Business and industry submitter, submission reference number 1725.</w:t>
      </w:r>
    </w:p>
  </w:footnote>
  <w:footnote w:id="9">
    <w:p w14:paraId="146A0E79" w14:textId="31A99961" w:rsidR="0045023E" w:rsidRPr="001C01B7" w:rsidRDefault="0045023E" w:rsidP="00E84F6E">
      <w:pPr>
        <w:pStyle w:val="FootnoteText"/>
      </w:pPr>
      <w:r w:rsidRPr="001C01B7">
        <w:rPr>
          <w:rStyle w:val="FootnoteReference"/>
        </w:rPr>
        <w:footnoteRef/>
      </w:r>
      <w:r w:rsidRPr="001C01B7">
        <w:t xml:space="preserve"> </w:t>
      </w:r>
      <w:r w:rsidRPr="001C01B7">
        <w:tab/>
        <w:t>Business and industry submitter, submission reference number 1714.</w:t>
      </w:r>
    </w:p>
  </w:footnote>
  <w:footnote w:id="10">
    <w:p w14:paraId="4E17B78D" w14:textId="388D0220" w:rsidR="0045023E" w:rsidRPr="001C01B7" w:rsidRDefault="0045023E">
      <w:pPr>
        <w:pStyle w:val="FootnoteText"/>
      </w:pPr>
      <w:r w:rsidRPr="001C01B7">
        <w:rPr>
          <w:rStyle w:val="FootnoteReference"/>
        </w:rPr>
        <w:footnoteRef/>
      </w:r>
      <w:r w:rsidRPr="001C01B7">
        <w:t xml:space="preserve"> </w:t>
      </w:r>
      <w:r w:rsidRPr="001C01B7">
        <w:tab/>
        <w:t>Percentages have been rounded and do not add up to 100 per cent.</w:t>
      </w:r>
    </w:p>
  </w:footnote>
  <w:footnote w:id="11">
    <w:p w14:paraId="09D03294" w14:textId="0CEB98C7" w:rsidR="0045023E" w:rsidRPr="001C01B7" w:rsidRDefault="0045023E" w:rsidP="00CB3E9A">
      <w:pPr>
        <w:pStyle w:val="FootnoteText"/>
      </w:pPr>
      <w:r w:rsidRPr="001C01B7">
        <w:rPr>
          <w:rStyle w:val="FootnoteReference"/>
        </w:rPr>
        <w:footnoteRef/>
      </w:r>
      <w:r w:rsidRPr="001C01B7">
        <w:t xml:space="preserve"> </w:t>
      </w:r>
      <w:r w:rsidRPr="001C01B7">
        <w:tab/>
        <w:t xml:space="preserve">For example, </w:t>
      </w:r>
      <w:proofErr w:type="gramStart"/>
      <w:r w:rsidRPr="001C01B7">
        <w:t>general public</w:t>
      </w:r>
      <w:proofErr w:type="gramEnd"/>
      <w:r w:rsidRPr="001C01B7">
        <w:t xml:space="preserve"> submitter, submission reference number 1287.</w:t>
      </w:r>
    </w:p>
  </w:footnote>
  <w:footnote w:id="12">
    <w:p w14:paraId="133102A1" w14:textId="4550CAE2" w:rsidR="0045023E" w:rsidRPr="001C01B7" w:rsidRDefault="0045023E" w:rsidP="00CB3E9A">
      <w:pPr>
        <w:pStyle w:val="FootnoteText"/>
      </w:pPr>
      <w:r w:rsidRPr="001C01B7">
        <w:rPr>
          <w:rStyle w:val="FootnoteReference"/>
        </w:rPr>
        <w:footnoteRef/>
      </w:r>
      <w:r w:rsidRPr="001C01B7">
        <w:t xml:space="preserve"> </w:t>
      </w:r>
      <w:r w:rsidRPr="001C01B7">
        <w:tab/>
        <w:t>For example, business and industry submitters, submission reference numbers 1457 and 1661.</w:t>
      </w:r>
    </w:p>
  </w:footnote>
  <w:footnote w:id="13">
    <w:p w14:paraId="2BD7E6D6" w14:textId="0F8E4BE5" w:rsidR="0045023E" w:rsidRPr="001C01B7" w:rsidRDefault="0045023E" w:rsidP="004044D5">
      <w:pPr>
        <w:pStyle w:val="FootnoteText"/>
      </w:pPr>
      <w:r w:rsidRPr="001C01B7">
        <w:rPr>
          <w:rStyle w:val="FootnoteReference"/>
        </w:rPr>
        <w:footnoteRef/>
      </w:r>
      <w:r w:rsidRPr="001C01B7">
        <w:t xml:space="preserve"> </w:t>
      </w:r>
      <w:r w:rsidRPr="001C01B7">
        <w:tab/>
        <w:t>For example, NGO submitter, submission reference number 1471.</w:t>
      </w:r>
    </w:p>
  </w:footnote>
  <w:footnote w:id="14">
    <w:p w14:paraId="46CE9A88" w14:textId="61024251" w:rsidR="0045023E" w:rsidRPr="001C01B7" w:rsidRDefault="0045023E">
      <w:pPr>
        <w:pStyle w:val="FootnoteText"/>
      </w:pPr>
      <w:r w:rsidRPr="001C01B7">
        <w:rPr>
          <w:rStyle w:val="FootnoteReference"/>
        </w:rPr>
        <w:footnoteRef/>
      </w:r>
      <w:r w:rsidRPr="001C01B7">
        <w:t xml:space="preserve"> </w:t>
      </w:r>
      <w:r w:rsidRPr="001C01B7">
        <w:tab/>
        <w:t xml:space="preserve">For example, </w:t>
      </w:r>
      <w:proofErr w:type="gramStart"/>
      <w:r w:rsidRPr="001C01B7">
        <w:t>general public</w:t>
      </w:r>
      <w:proofErr w:type="gramEnd"/>
      <w:r w:rsidRPr="001C01B7">
        <w:t xml:space="preserve"> submitter, submission reference number 6051.</w:t>
      </w:r>
    </w:p>
  </w:footnote>
  <w:footnote w:id="15">
    <w:p w14:paraId="43B03E16" w14:textId="2EB70B1F" w:rsidR="0045023E" w:rsidRPr="001C01B7" w:rsidRDefault="0045023E" w:rsidP="004044D5">
      <w:pPr>
        <w:pStyle w:val="FootnoteText"/>
      </w:pPr>
      <w:r w:rsidRPr="001C01B7">
        <w:rPr>
          <w:rStyle w:val="FootnoteReference"/>
        </w:rPr>
        <w:footnoteRef/>
      </w:r>
      <w:r w:rsidRPr="001C01B7">
        <w:t xml:space="preserve"> </w:t>
      </w:r>
      <w:r w:rsidRPr="001C01B7">
        <w:tab/>
        <w:t>For example, NGO submitter, submission reference number 1447.</w:t>
      </w:r>
    </w:p>
  </w:footnote>
  <w:footnote w:id="16">
    <w:p w14:paraId="5B4A9AF9" w14:textId="3F327B1B" w:rsidR="0045023E" w:rsidRPr="001C01B7" w:rsidRDefault="0045023E" w:rsidP="004044D5">
      <w:pPr>
        <w:pStyle w:val="FootnoteText"/>
      </w:pPr>
      <w:r w:rsidRPr="001C01B7">
        <w:rPr>
          <w:rStyle w:val="FootnoteReference"/>
        </w:rPr>
        <w:footnoteRef/>
      </w:r>
      <w:r w:rsidRPr="001C01B7">
        <w:t xml:space="preserve"> </w:t>
      </w:r>
      <w:r w:rsidRPr="001C01B7">
        <w:tab/>
        <w:t xml:space="preserve">For example, </w:t>
      </w:r>
      <w:proofErr w:type="gramStart"/>
      <w:r w:rsidRPr="001C01B7">
        <w:t>general public</w:t>
      </w:r>
      <w:proofErr w:type="gramEnd"/>
      <w:r w:rsidRPr="001C01B7">
        <w:t xml:space="preserve"> submitter, submission reference number 1300.</w:t>
      </w:r>
    </w:p>
  </w:footnote>
  <w:footnote w:id="17">
    <w:p w14:paraId="58281926" w14:textId="0EA9824B" w:rsidR="0045023E" w:rsidRPr="001C01B7" w:rsidRDefault="0045023E" w:rsidP="004044D5">
      <w:pPr>
        <w:pStyle w:val="FootnoteText"/>
      </w:pPr>
      <w:r w:rsidRPr="001C01B7">
        <w:rPr>
          <w:rStyle w:val="FootnoteReference"/>
        </w:rPr>
        <w:footnoteRef/>
      </w:r>
      <w:r w:rsidRPr="001C01B7">
        <w:t xml:space="preserve"> </w:t>
      </w:r>
      <w:r w:rsidRPr="001C01B7">
        <w:tab/>
        <w:t xml:space="preserve">For example, </w:t>
      </w:r>
      <w:proofErr w:type="gramStart"/>
      <w:r w:rsidRPr="001C01B7">
        <w:t>general public</w:t>
      </w:r>
      <w:proofErr w:type="gramEnd"/>
      <w:r w:rsidRPr="001C01B7">
        <w:t xml:space="preserve"> submitter, submission reference number 6413.</w:t>
      </w:r>
    </w:p>
  </w:footnote>
  <w:footnote w:id="18">
    <w:p w14:paraId="1559A6B7" w14:textId="17F835AA" w:rsidR="0045023E" w:rsidRPr="001C01B7" w:rsidRDefault="0045023E" w:rsidP="004044D5">
      <w:pPr>
        <w:pStyle w:val="FootnoteText"/>
      </w:pPr>
      <w:r w:rsidRPr="001C01B7">
        <w:rPr>
          <w:rStyle w:val="FootnoteReference"/>
        </w:rPr>
        <w:footnoteRef/>
      </w:r>
      <w:r w:rsidRPr="001C01B7">
        <w:t xml:space="preserve"> </w:t>
      </w:r>
      <w:r w:rsidRPr="001C01B7">
        <w:tab/>
        <w:t xml:space="preserve">For example, </w:t>
      </w:r>
      <w:proofErr w:type="gramStart"/>
      <w:r w:rsidRPr="001C01B7">
        <w:t>general public</w:t>
      </w:r>
      <w:proofErr w:type="gramEnd"/>
      <w:r w:rsidRPr="001C01B7">
        <w:t xml:space="preserve"> submitter, submission reference number 9170.</w:t>
      </w:r>
    </w:p>
  </w:footnote>
  <w:footnote w:id="19">
    <w:p w14:paraId="35F3039A" w14:textId="5730D13D" w:rsidR="0045023E" w:rsidRPr="001C01B7" w:rsidRDefault="0045023E" w:rsidP="004044D5">
      <w:pPr>
        <w:pStyle w:val="FootnoteText"/>
      </w:pPr>
      <w:r w:rsidRPr="001C01B7">
        <w:rPr>
          <w:rStyle w:val="FootnoteReference"/>
        </w:rPr>
        <w:footnoteRef/>
      </w:r>
      <w:r w:rsidRPr="001C01B7">
        <w:t xml:space="preserve"> </w:t>
      </w:r>
      <w:r w:rsidRPr="001C01B7">
        <w:tab/>
        <w:t xml:space="preserve">For example, business and </w:t>
      </w:r>
      <w:r w:rsidRPr="001C01B7">
        <w:rPr>
          <w:rFonts w:asciiTheme="minorHAnsi" w:hAnsiTheme="minorHAnsi" w:cstheme="minorHAnsi"/>
        </w:rPr>
        <w:t xml:space="preserve">industry </w:t>
      </w:r>
      <w:r w:rsidRPr="001C01B7">
        <w:t>submitter</w:t>
      </w:r>
      <w:r w:rsidRPr="001C01B7">
        <w:rPr>
          <w:rFonts w:asciiTheme="minorHAnsi" w:hAnsiTheme="minorHAnsi" w:cstheme="minorHAnsi"/>
        </w:rPr>
        <w:t>, submission reference number 1661.</w:t>
      </w:r>
    </w:p>
  </w:footnote>
  <w:footnote w:id="20">
    <w:p w14:paraId="46DE01F0" w14:textId="06D804EE" w:rsidR="0045023E" w:rsidRPr="001C01B7" w:rsidRDefault="0045023E" w:rsidP="004044D5">
      <w:pPr>
        <w:pStyle w:val="FootnoteText"/>
      </w:pPr>
      <w:r w:rsidRPr="001C01B7">
        <w:rPr>
          <w:rStyle w:val="FootnoteReference"/>
        </w:rPr>
        <w:footnoteRef/>
      </w:r>
      <w:r w:rsidRPr="001C01B7">
        <w:t xml:space="preserve"> </w:t>
      </w:r>
      <w:r w:rsidRPr="001C01B7">
        <w:tab/>
        <w:t>For example, business and industry submitter, submission reference number 1726.</w:t>
      </w:r>
    </w:p>
  </w:footnote>
  <w:footnote w:id="21">
    <w:p w14:paraId="4DFD299B" w14:textId="2841C3ED" w:rsidR="0045023E" w:rsidRPr="001C01B7" w:rsidRDefault="0045023E" w:rsidP="004044D5">
      <w:pPr>
        <w:pStyle w:val="FootnoteText"/>
      </w:pPr>
      <w:r w:rsidRPr="001C01B7">
        <w:rPr>
          <w:rStyle w:val="FootnoteReference"/>
        </w:rPr>
        <w:footnoteRef/>
      </w:r>
      <w:r w:rsidRPr="001C01B7">
        <w:t xml:space="preserve"> </w:t>
      </w:r>
      <w:r w:rsidRPr="001C01B7">
        <w:tab/>
        <w:t>For example, business and industry submitter, submission reference number 1661.</w:t>
      </w:r>
    </w:p>
  </w:footnote>
  <w:footnote w:id="22">
    <w:p w14:paraId="4D9669E9" w14:textId="7E062E0A" w:rsidR="0045023E" w:rsidRPr="001C01B7" w:rsidRDefault="0045023E" w:rsidP="004044D5">
      <w:pPr>
        <w:pStyle w:val="FootnoteText"/>
      </w:pPr>
      <w:r w:rsidRPr="001C01B7">
        <w:rPr>
          <w:rStyle w:val="FootnoteReference"/>
        </w:rPr>
        <w:footnoteRef/>
      </w:r>
      <w:r w:rsidRPr="001C01B7">
        <w:t xml:space="preserve"> </w:t>
      </w:r>
      <w:r w:rsidRPr="001C01B7">
        <w:tab/>
        <w:t>For example, retail submitter, submission reference number 1765.</w:t>
      </w:r>
    </w:p>
  </w:footnote>
  <w:footnote w:id="23">
    <w:p w14:paraId="1E6A00B7" w14:textId="4E2138C2" w:rsidR="0045023E" w:rsidRPr="001C01B7" w:rsidRDefault="0045023E" w:rsidP="004044D5">
      <w:pPr>
        <w:pStyle w:val="FootnoteText"/>
      </w:pPr>
      <w:r w:rsidRPr="001C01B7">
        <w:rPr>
          <w:rStyle w:val="FootnoteReference"/>
        </w:rPr>
        <w:footnoteRef/>
      </w:r>
      <w:r w:rsidRPr="001C01B7">
        <w:t xml:space="preserve"> </w:t>
      </w:r>
      <w:r w:rsidRPr="001C01B7">
        <w:tab/>
        <w:t>General public submitter, submission reference number 1395.</w:t>
      </w:r>
    </w:p>
  </w:footnote>
  <w:footnote w:id="24">
    <w:p w14:paraId="63AA23A0" w14:textId="6B8B3F85" w:rsidR="0045023E" w:rsidRPr="001C01B7" w:rsidRDefault="0045023E" w:rsidP="004044D5">
      <w:pPr>
        <w:pStyle w:val="FootnoteText"/>
      </w:pPr>
      <w:r w:rsidRPr="001C01B7">
        <w:rPr>
          <w:rStyle w:val="FootnoteReference"/>
        </w:rPr>
        <w:footnoteRef/>
      </w:r>
      <w:r w:rsidRPr="001C01B7">
        <w:t xml:space="preserve"> </w:t>
      </w:r>
      <w:r w:rsidRPr="001C01B7">
        <w:tab/>
        <w:t>General public submitter, submission reference number 7047.</w:t>
      </w:r>
    </w:p>
  </w:footnote>
  <w:footnote w:id="25">
    <w:p w14:paraId="5A3E8A11" w14:textId="19D9823D" w:rsidR="0045023E" w:rsidRPr="001C01B7" w:rsidRDefault="0045023E" w:rsidP="00CB3E9A">
      <w:pPr>
        <w:pStyle w:val="FootnoteText"/>
      </w:pPr>
      <w:r w:rsidRPr="001C01B7">
        <w:rPr>
          <w:rStyle w:val="FootnoteReference"/>
        </w:rPr>
        <w:footnoteRef/>
      </w:r>
      <w:r w:rsidRPr="001C01B7">
        <w:t xml:space="preserve"> </w:t>
      </w:r>
      <w:r w:rsidRPr="001C01B7">
        <w:tab/>
        <w:t>Business and industry submitter, submission reference number 1309.</w:t>
      </w:r>
    </w:p>
  </w:footnote>
  <w:footnote w:id="26">
    <w:p w14:paraId="2C439521" w14:textId="4866166E" w:rsidR="0045023E" w:rsidRPr="001C01B7" w:rsidRDefault="0045023E" w:rsidP="00CB3E9A">
      <w:pPr>
        <w:pStyle w:val="FootnoteText"/>
      </w:pPr>
      <w:r w:rsidRPr="001C01B7">
        <w:rPr>
          <w:rStyle w:val="FootnoteReference"/>
        </w:rPr>
        <w:footnoteRef/>
      </w:r>
      <w:r w:rsidRPr="001C01B7">
        <w:t xml:space="preserve"> </w:t>
      </w:r>
      <w:r w:rsidRPr="001C01B7">
        <w:tab/>
        <w:t>Disability advocacy group, submission reference number 1589.</w:t>
      </w:r>
    </w:p>
  </w:footnote>
  <w:footnote w:id="27">
    <w:p w14:paraId="0238D72B" w14:textId="7E5FF8C2" w:rsidR="0045023E" w:rsidRPr="001C01B7" w:rsidRDefault="0045023E" w:rsidP="00CB3E9A">
      <w:pPr>
        <w:pStyle w:val="FootnoteText"/>
      </w:pPr>
      <w:r w:rsidRPr="001C01B7">
        <w:rPr>
          <w:rStyle w:val="FootnoteReference"/>
        </w:rPr>
        <w:footnoteRef/>
      </w:r>
      <w:r w:rsidRPr="001C01B7">
        <w:t xml:space="preserve"> </w:t>
      </w:r>
      <w:r w:rsidRPr="001C01B7">
        <w:tab/>
        <w:t>For example, disability advocacy group, submission reference number 1589.</w:t>
      </w:r>
    </w:p>
  </w:footnote>
  <w:footnote w:id="28">
    <w:p w14:paraId="69939D61" w14:textId="5228B6FE" w:rsidR="0045023E" w:rsidRPr="001C01B7" w:rsidRDefault="0045023E" w:rsidP="003F29DB">
      <w:pPr>
        <w:pStyle w:val="FootnoteText"/>
      </w:pPr>
      <w:r w:rsidRPr="001C01B7">
        <w:rPr>
          <w:rStyle w:val="FootnoteReference"/>
        </w:rPr>
        <w:footnoteRef/>
      </w:r>
      <w:r w:rsidRPr="001C01B7">
        <w:t xml:space="preserve"> </w:t>
      </w:r>
      <w:r w:rsidRPr="001C01B7">
        <w:tab/>
        <w:t>NGO submitter, submission reference number 1745.</w:t>
      </w:r>
    </w:p>
  </w:footnote>
  <w:footnote w:id="29">
    <w:p w14:paraId="6A9CC1FE" w14:textId="7F011AEA" w:rsidR="0045023E" w:rsidRPr="001C01B7" w:rsidRDefault="0045023E" w:rsidP="00CB3E9A">
      <w:pPr>
        <w:pStyle w:val="FootnoteText"/>
      </w:pPr>
      <w:r w:rsidRPr="001C01B7">
        <w:rPr>
          <w:rStyle w:val="FootnoteReference"/>
        </w:rPr>
        <w:footnoteRef/>
      </w:r>
      <w:r w:rsidRPr="001C01B7">
        <w:t xml:space="preserve"> </w:t>
      </w:r>
      <w:r w:rsidRPr="001C01B7">
        <w:tab/>
        <w:t>Local government submitter, submission reference number 9542.</w:t>
      </w:r>
    </w:p>
  </w:footnote>
  <w:footnote w:id="30">
    <w:p w14:paraId="1ACB1414" w14:textId="687291BE" w:rsidR="0045023E" w:rsidRPr="001C01B7" w:rsidRDefault="0045023E" w:rsidP="00CB3E9A">
      <w:pPr>
        <w:pStyle w:val="FootnoteText"/>
      </w:pPr>
      <w:r w:rsidRPr="001C01B7">
        <w:rPr>
          <w:rStyle w:val="FootnoteReference"/>
        </w:rPr>
        <w:footnoteRef/>
      </w:r>
      <w:r w:rsidRPr="001C01B7">
        <w:t xml:space="preserve"> </w:t>
      </w:r>
      <w:r w:rsidRPr="001C01B7">
        <w:tab/>
        <w:t>For example, industry association, submission reference number 1728.</w:t>
      </w:r>
    </w:p>
  </w:footnote>
  <w:footnote w:id="31">
    <w:p w14:paraId="7951342E" w14:textId="5E57B489" w:rsidR="0045023E" w:rsidRPr="001C01B7" w:rsidRDefault="0045023E" w:rsidP="00CB3E9A">
      <w:pPr>
        <w:pStyle w:val="FootnoteText"/>
      </w:pPr>
      <w:r w:rsidRPr="001C01B7">
        <w:rPr>
          <w:rStyle w:val="FootnoteReference"/>
        </w:rPr>
        <w:footnoteRef/>
      </w:r>
      <w:r w:rsidRPr="001C01B7">
        <w:t xml:space="preserve"> </w:t>
      </w:r>
      <w:r w:rsidRPr="001C01B7">
        <w:tab/>
        <w:t>NGO submitter, submission reference number 9542.</w:t>
      </w:r>
    </w:p>
  </w:footnote>
  <w:footnote w:id="32">
    <w:p w14:paraId="3B4BAEC4" w14:textId="65B5CF0C" w:rsidR="0045023E" w:rsidRPr="001C01B7" w:rsidRDefault="0045023E" w:rsidP="00CB3E9A">
      <w:pPr>
        <w:pStyle w:val="FootnoteText"/>
      </w:pPr>
      <w:r w:rsidRPr="001C01B7">
        <w:rPr>
          <w:rStyle w:val="FootnoteReference"/>
        </w:rPr>
        <w:footnoteRef/>
      </w:r>
      <w:r w:rsidRPr="001C01B7">
        <w:t xml:space="preserve"> </w:t>
      </w:r>
      <w:r w:rsidRPr="001C01B7">
        <w:tab/>
        <w:t>NGO submitter, submission reference number 1741.</w:t>
      </w:r>
    </w:p>
  </w:footnote>
  <w:footnote w:id="33">
    <w:p w14:paraId="617C57F6" w14:textId="0AD4F30D" w:rsidR="0045023E" w:rsidRPr="001C01B7" w:rsidRDefault="0045023E" w:rsidP="00CB3E9A">
      <w:pPr>
        <w:pStyle w:val="FootnoteText"/>
      </w:pPr>
      <w:r w:rsidRPr="001C01B7">
        <w:rPr>
          <w:rStyle w:val="FootnoteReference"/>
        </w:rPr>
        <w:footnoteRef/>
      </w:r>
      <w:r w:rsidRPr="001C01B7">
        <w:t xml:space="preserve"> </w:t>
      </w:r>
      <w:r w:rsidRPr="001C01B7">
        <w:tab/>
        <w:t>Local government submitter, submission reference number 1727.</w:t>
      </w:r>
    </w:p>
  </w:footnote>
  <w:footnote w:id="34">
    <w:p w14:paraId="7A47727F" w14:textId="267CFE95" w:rsidR="0045023E" w:rsidRPr="001C01B7" w:rsidRDefault="0045023E" w:rsidP="00CB3E9A">
      <w:pPr>
        <w:pStyle w:val="FootnoteText"/>
      </w:pPr>
      <w:r w:rsidRPr="001C01B7">
        <w:rPr>
          <w:rStyle w:val="FootnoteReference"/>
        </w:rPr>
        <w:footnoteRef/>
      </w:r>
      <w:r w:rsidRPr="001C01B7">
        <w:t xml:space="preserve"> </w:t>
      </w:r>
      <w:r w:rsidRPr="001C01B7">
        <w:tab/>
        <w:t>General public submitter, submission reference number 1336.</w:t>
      </w:r>
    </w:p>
  </w:footnote>
  <w:footnote w:id="35">
    <w:p w14:paraId="22007530" w14:textId="243F7133" w:rsidR="0045023E" w:rsidRPr="001C01B7" w:rsidRDefault="0045023E" w:rsidP="00CB3E9A">
      <w:pPr>
        <w:pStyle w:val="FootnoteText"/>
      </w:pPr>
      <w:r w:rsidRPr="001C01B7">
        <w:rPr>
          <w:rStyle w:val="FootnoteReference"/>
        </w:rPr>
        <w:footnoteRef/>
      </w:r>
      <w:r w:rsidRPr="001C01B7">
        <w:t xml:space="preserve"> </w:t>
      </w:r>
      <w:r w:rsidRPr="001C01B7">
        <w:tab/>
        <w:t>NGO submitter, submission reference number 1745.</w:t>
      </w:r>
    </w:p>
  </w:footnote>
  <w:footnote w:id="36">
    <w:p w14:paraId="2765F922" w14:textId="17FE69CC" w:rsidR="0045023E" w:rsidRPr="001C01B7" w:rsidRDefault="0045023E" w:rsidP="002D478D">
      <w:pPr>
        <w:pStyle w:val="FootnoteText"/>
      </w:pPr>
      <w:r w:rsidRPr="001C01B7">
        <w:rPr>
          <w:rStyle w:val="FootnoteReference"/>
        </w:rPr>
        <w:footnoteRef/>
      </w:r>
      <w:r w:rsidRPr="001C01B7">
        <w:t xml:space="preserve"> </w:t>
      </w:r>
      <w:r w:rsidRPr="001C01B7">
        <w:tab/>
        <w:t>This is 58 per cent of the 820 substantive submitters who commented on proposal two timeframes.</w:t>
      </w:r>
    </w:p>
  </w:footnote>
  <w:footnote w:id="37">
    <w:p w14:paraId="2175EB59" w14:textId="070DBF0C" w:rsidR="0045023E" w:rsidRPr="001C01B7" w:rsidRDefault="0045023E" w:rsidP="008C3818">
      <w:pPr>
        <w:pStyle w:val="FootnoteText"/>
      </w:pPr>
      <w:r w:rsidRPr="001C01B7">
        <w:rPr>
          <w:rStyle w:val="FootnoteReference"/>
        </w:rPr>
        <w:footnoteRef/>
      </w:r>
      <w:r w:rsidRPr="001C01B7">
        <w:t xml:space="preserve"> </w:t>
      </w:r>
      <w:r w:rsidRPr="001C01B7">
        <w:tab/>
        <w:t>For example, retail submitter, submission reference number 1765.</w:t>
      </w:r>
    </w:p>
  </w:footnote>
  <w:footnote w:id="38">
    <w:p w14:paraId="4F968DC1" w14:textId="603CA9D9" w:rsidR="0045023E" w:rsidRPr="001C01B7" w:rsidRDefault="0045023E">
      <w:pPr>
        <w:pStyle w:val="FootnoteText"/>
      </w:pPr>
      <w:r w:rsidRPr="001C01B7">
        <w:rPr>
          <w:rStyle w:val="FootnoteReference"/>
        </w:rPr>
        <w:footnoteRef/>
      </w:r>
      <w:r w:rsidRPr="001C01B7">
        <w:t xml:space="preserve"> </w:t>
      </w:r>
      <w:r w:rsidRPr="001C01B7">
        <w:tab/>
        <w:t>General public submitter, submissions reference number 9564.</w:t>
      </w:r>
    </w:p>
  </w:footnote>
  <w:footnote w:id="39">
    <w:p w14:paraId="358BD642" w14:textId="239FB2A6" w:rsidR="0045023E" w:rsidRPr="001C01B7" w:rsidRDefault="0045023E">
      <w:pPr>
        <w:pStyle w:val="FootnoteText"/>
      </w:pPr>
      <w:r w:rsidRPr="001C01B7">
        <w:rPr>
          <w:rStyle w:val="FootnoteReference"/>
        </w:rPr>
        <w:footnoteRef/>
      </w:r>
      <w:r w:rsidRPr="001C01B7">
        <w:t xml:space="preserve"> </w:t>
      </w:r>
      <w:r w:rsidRPr="001C01B7">
        <w:tab/>
        <w:t xml:space="preserve">Numbers and percentages in the </w:t>
      </w:r>
      <w:r w:rsidRPr="00D4057E">
        <w:t>‘Tools to transition away from single-use and hard-to-recycle plastics’</w:t>
      </w:r>
      <w:r w:rsidRPr="001C01B7">
        <w:rPr>
          <w:i/>
          <w:iCs/>
        </w:rPr>
        <w:t xml:space="preserve"> </w:t>
      </w:r>
      <w:r w:rsidRPr="001C01B7">
        <w:t>section are taken from all 7878 submissions received. We did not ask for responses on additional policy tools in our short-form survey, but some submitters who completed the short-form survey provided suggestions around additional policy tools in their comments, which we have captured.</w:t>
      </w:r>
    </w:p>
  </w:footnote>
  <w:footnote w:id="40">
    <w:p w14:paraId="698177FC" w14:textId="364324D2" w:rsidR="0045023E" w:rsidRPr="001C01B7" w:rsidRDefault="0045023E">
      <w:pPr>
        <w:pStyle w:val="FootnoteText"/>
      </w:pPr>
      <w:r w:rsidRPr="001C01B7">
        <w:rPr>
          <w:rStyle w:val="FootnoteReference"/>
        </w:rPr>
        <w:footnoteRef/>
      </w:r>
      <w:r w:rsidRPr="001C01B7">
        <w:t xml:space="preserve"> </w:t>
      </w:r>
      <w:r w:rsidRPr="001C01B7">
        <w:tab/>
        <w:t xml:space="preserve">The Ministry is working on a national plastics action plan as part of its response to the </w:t>
      </w:r>
      <w:r w:rsidRPr="00CC4A00">
        <w:rPr>
          <w:i/>
          <w:iCs/>
        </w:rPr>
        <w:t>Rethinking Plastics in Aotearoa New Zealand</w:t>
      </w:r>
      <w:r w:rsidRPr="001C01B7">
        <w:t xml:space="preserve"> report. This plan should support long-term planning and signal best practice methods for producers and consumers. The Ministry will continue to seek advice from experts and engage with producers and consumers on this work.</w:t>
      </w:r>
    </w:p>
  </w:footnote>
  <w:footnote w:id="41">
    <w:p w14:paraId="64862700" w14:textId="1EDAA43C" w:rsidR="0045023E" w:rsidRDefault="0045023E" w:rsidP="00997DB7">
      <w:pPr>
        <w:pStyle w:val="FootnoteText"/>
      </w:pPr>
      <w:r w:rsidRPr="001C01B7">
        <w:rPr>
          <w:rStyle w:val="FootnoteReference"/>
        </w:rPr>
        <w:footnoteRef/>
      </w:r>
      <w:r w:rsidRPr="001C01B7">
        <w:t xml:space="preserve"> </w:t>
      </w:r>
      <w:r w:rsidRPr="001C01B7">
        <w:tab/>
        <w:t>Business and industry submitter, submission reference number 1399.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C29D" w14:textId="46EAB4C3" w:rsidR="0045023E" w:rsidRDefault="0045023E">
    <w:pPr>
      <w:pStyle w:val="Header"/>
    </w:pPr>
    <w:r>
      <w:rPr>
        <w:noProof/>
      </w:rPr>
      <mc:AlternateContent>
        <mc:Choice Requires="wps">
          <w:drawing>
            <wp:anchor distT="0" distB="0" distL="114300" distR="114300" simplePos="0" relativeHeight="251653632" behindDoc="0" locked="0" layoutInCell="0" allowOverlap="1" wp14:anchorId="35256CCA" wp14:editId="68D893D9">
              <wp:simplePos x="0" y="0"/>
              <wp:positionH relativeFrom="page">
                <wp:posOffset>0</wp:posOffset>
              </wp:positionH>
              <wp:positionV relativeFrom="page">
                <wp:posOffset>190500</wp:posOffset>
              </wp:positionV>
              <wp:extent cx="7560945" cy="273050"/>
              <wp:effectExtent l="0" t="0" r="0" b="12700"/>
              <wp:wrapNone/>
              <wp:docPr id="10" name="MSIPCMf16d43b1ae3fc8377d0275c2" descr="{&quot;HashCode&quot;:-259559161,&quot;Height&quot;:842.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1224E" w14:textId="577D733E" w:rsidR="0045023E" w:rsidRPr="004C5160" w:rsidRDefault="0045023E" w:rsidP="004C5160">
                          <w:pPr>
                            <w:spacing w:before="0" w:after="0"/>
                            <w:jc w:val="center"/>
                            <w:rPr>
                              <w:rFonts w:cs="Calibri"/>
                              <w:color w:val="000000"/>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256CCA" id="_x0000_t202" coordsize="21600,21600" o:spt="202" path="m,l,21600r21600,l21600,xe">
              <v:stroke joinstyle="miter"/>
              <v:path gradientshapeok="t" o:connecttype="rect"/>
            </v:shapetype>
            <v:shape id="MSIPCMf16d43b1ae3fc8377d0275c2" o:spid="_x0000_s1026" type="#_x0000_t202" alt="{&quot;HashCode&quot;:-259559161,&quot;Height&quot;:842.0,&quot;Width&quot;:595.0,&quot;Placement&quot;:&quot;Header&quot;,&quot;Index&quot;:&quot;OddAndEven&quot;,&quot;Section&quot;:1,&quot;Top&quot;:0.0,&quot;Left&quot;:0.0}" style="position:absolute;left:0;text-align:left;margin-left:0;margin-top:15pt;width:595.35pt;height:21.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" o:allowincell="f" filled="f" stroked="f" strokeweight=".5pt">
              <v:textbox inset=",0,,0">
                <w:txbxContent>
                  <w:p w14:paraId="6AB1224E" w14:textId="577D733E" w:rsidR="0045023E" w:rsidRPr="004C5160" w:rsidRDefault="0045023E" w:rsidP="004C5160">
                    <w:pPr>
                      <w:spacing w:before="0" w:after="0"/>
                      <w:jc w:val="center"/>
                      <w:rPr>
                        <w:rFonts w:cs="Calibri"/>
                        <w:color w:val="000000"/>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7913" w14:textId="5280AC6A" w:rsidR="0045023E" w:rsidRPr="00DE7BF8" w:rsidRDefault="0045023E" w:rsidP="007B37A9">
    <w:pPr>
      <w:pStyle w:val="Header"/>
      <w:ind w:left="-57"/>
      <w:jc w:val="lef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937" w14:textId="77777777" w:rsidR="00E7108B" w:rsidRDefault="00E710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824" w14:textId="2CB0E198" w:rsidR="0045023E" w:rsidRDefault="0045023E"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6B5D" w14:textId="7476DF21" w:rsidR="0045023E" w:rsidRDefault="00450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3C931D8"/>
    <w:multiLevelType w:val="hybridMultilevel"/>
    <w:tmpl w:val="E4E6D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B7DBB"/>
    <w:multiLevelType w:val="hybridMultilevel"/>
    <w:tmpl w:val="AAE82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31635001"/>
    <w:multiLevelType w:val="hybridMultilevel"/>
    <w:tmpl w:val="3A52BE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C0C1E"/>
    <w:multiLevelType w:val="hybridMultilevel"/>
    <w:tmpl w:val="5436221E"/>
    <w:lvl w:ilvl="0" w:tplc="89700D46">
      <w:start w:val="1"/>
      <w:numFmt w:val="bullet"/>
      <w:pStyle w:val="ListBullet"/>
      <w:lvlText w:val="•"/>
      <w:lvlJc w:val="left"/>
      <w:pPr>
        <w:ind w:left="397" w:hanging="397"/>
      </w:pPr>
      <w:rPr>
        <w:rFonts w:ascii="Calibri" w:hAnsi="Calibri" w:hint="default"/>
        <w:sz w:val="20"/>
      </w:rPr>
    </w:lvl>
    <w:lvl w:ilvl="1" w:tplc="87C88960">
      <w:start w:val="1"/>
      <w:numFmt w:val="bullet"/>
      <w:pStyle w:val="ListBullet2"/>
      <w:lvlText w:val="–"/>
      <w:lvlJc w:val="left"/>
      <w:pPr>
        <w:ind w:left="794" w:hanging="397"/>
      </w:pPr>
      <w:rPr>
        <w:rFonts w:ascii="Calibri" w:hAnsi="Calibri" w:hint="default"/>
      </w:rPr>
    </w:lvl>
    <w:lvl w:ilvl="2" w:tplc="A4F252E8">
      <w:start w:val="1"/>
      <w:numFmt w:val="lowerLetter"/>
      <w:pStyle w:val="ListBullet3"/>
      <w:lvlText w:val="%3."/>
      <w:lvlJc w:val="left"/>
      <w:pPr>
        <w:ind w:left="1191" w:hanging="397"/>
      </w:pPr>
      <w:rPr>
        <w:rFonts w:hint="default"/>
      </w:rPr>
    </w:lvl>
    <w:lvl w:ilvl="3" w:tplc="2404276E">
      <w:start w:val="1"/>
      <w:numFmt w:val="lowerRoman"/>
      <w:pStyle w:val="ListBullet4"/>
      <w:lvlText w:val="%4."/>
      <w:lvlJc w:val="left"/>
      <w:pPr>
        <w:ind w:left="1588" w:hanging="397"/>
      </w:pPr>
      <w:rPr>
        <w:rFonts w:hint="default"/>
      </w:rPr>
    </w:lvl>
    <w:lvl w:ilvl="4" w:tplc="2DCAEF4A">
      <w:start w:val="1"/>
      <w:numFmt w:val="bullet"/>
      <w:pStyle w:val="ListBullet5"/>
      <w:lvlText w:val="•"/>
      <w:lvlJc w:val="left"/>
      <w:pPr>
        <w:ind w:left="1985" w:hanging="397"/>
      </w:pPr>
      <w:rPr>
        <w:rFonts w:ascii="Calibri" w:hAnsi="Calibri" w:hint="default"/>
        <w:sz w:val="20"/>
      </w:rPr>
    </w:lvl>
    <w:lvl w:ilvl="5" w:tplc="B3AC5BDA">
      <w:start w:val="1"/>
      <w:numFmt w:val="bullet"/>
      <w:lvlText w:val="–"/>
      <w:lvlJc w:val="left"/>
      <w:pPr>
        <w:ind w:left="2382" w:hanging="397"/>
      </w:pPr>
      <w:rPr>
        <w:rFonts w:ascii="Calibri" w:hAnsi="Calibri" w:hint="default"/>
      </w:rPr>
    </w:lvl>
    <w:lvl w:ilvl="6" w:tplc="2CA8826A">
      <w:start w:val="1"/>
      <w:numFmt w:val="bullet"/>
      <w:lvlText w:val=""/>
      <w:lvlJc w:val="left"/>
      <w:pPr>
        <w:ind w:left="2779" w:hanging="397"/>
      </w:pPr>
      <w:rPr>
        <w:rFonts w:ascii="Wingdings" w:hAnsi="Wingdings" w:hint="default"/>
      </w:rPr>
    </w:lvl>
    <w:lvl w:ilvl="7" w:tplc="97FC0AEA">
      <w:start w:val="1"/>
      <w:numFmt w:val="bullet"/>
      <w:lvlText w:val=""/>
      <w:lvlJc w:val="left"/>
      <w:pPr>
        <w:ind w:left="3176" w:hanging="397"/>
      </w:pPr>
      <w:rPr>
        <w:rFonts w:ascii="Symbol" w:hAnsi="Symbol" w:hint="default"/>
      </w:rPr>
    </w:lvl>
    <w:lvl w:ilvl="8" w:tplc="0A00E07E">
      <w:start w:val="1"/>
      <w:numFmt w:val="bullet"/>
      <w:lvlText w:val=""/>
      <w:lvlJc w:val="left"/>
      <w:pPr>
        <w:ind w:left="3573" w:hanging="397"/>
      </w:pPr>
      <w:rPr>
        <w:rFonts w:ascii="Symbol" w:hAnsi="Symbol" w:hint="default"/>
      </w:rPr>
    </w:lvl>
  </w:abstractNum>
  <w:abstractNum w:abstractNumId="1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6"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17" w15:restartNumberingAfterBreak="0">
    <w:nsid w:val="543110D2"/>
    <w:multiLevelType w:val="hybridMultilevel"/>
    <w:tmpl w:val="A88455D8"/>
    <w:lvl w:ilvl="0" w:tplc="8FC04716">
      <w:numFmt w:val="bullet"/>
      <w:lvlText w:val=""/>
      <w:lvlJc w:val="left"/>
      <w:pPr>
        <w:ind w:left="360" w:hanging="360"/>
      </w:pPr>
      <w:rPr>
        <w:rFonts w:ascii="Symbol" w:eastAsiaTheme="minorEastAsia" w:hAnsi="Symbol" w:cstheme="minorBidi" w:hint="default"/>
        <w:b w:val="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2A6067"/>
    <w:multiLevelType w:val="hybridMultilevel"/>
    <w:tmpl w:val="CC184EC8"/>
    <w:lvl w:ilvl="0" w:tplc="8F0EAF82">
      <w:start w:val="1"/>
      <w:numFmt w:val="decimal"/>
      <w:pStyle w:val="NoSpacing"/>
      <w:lvlText w:val="%1."/>
      <w:lvlJc w:val="left"/>
      <w:pPr>
        <w:ind w:left="360" w:hanging="360"/>
      </w:pPr>
      <w:rPr>
        <w:rFonts w:cs="Times New Roman"/>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1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15:restartNumberingAfterBreak="0">
    <w:nsid w:val="72560E49"/>
    <w:multiLevelType w:val="hybridMultilevel"/>
    <w:tmpl w:val="FB28F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522B0B"/>
    <w:multiLevelType w:val="hybridMultilevel"/>
    <w:tmpl w:val="E7880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8"/>
  </w:num>
  <w:num w:numId="5">
    <w:abstractNumId w:val="5"/>
  </w:num>
  <w:num w:numId="6">
    <w:abstractNumId w:val="15"/>
  </w:num>
  <w:num w:numId="7">
    <w:abstractNumId w:val="14"/>
  </w:num>
  <w:num w:numId="8">
    <w:abstractNumId w:val="2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
  </w:num>
  <w:num w:numId="13">
    <w:abstractNumId w:val="6"/>
  </w:num>
  <w:num w:numId="14">
    <w:abstractNumId w:val="11"/>
  </w:num>
  <w:num w:numId="15">
    <w:abstractNumId w:val="4"/>
  </w:num>
  <w:num w:numId="16">
    <w:abstractNumId w:val="20"/>
  </w:num>
  <w:num w:numId="17">
    <w:abstractNumId w:val="18"/>
  </w:num>
  <w:num w:numId="18">
    <w:abstractNumId w:val="9"/>
  </w:num>
  <w:num w:numId="19">
    <w:abstractNumId w:val="17"/>
  </w:num>
  <w:num w:numId="20">
    <w:abstractNumId w:val="2"/>
  </w:num>
  <w:num w:numId="21">
    <w:abstractNumId w:val="21"/>
  </w:num>
  <w:num w:numId="22">
    <w:abstractNumId w:val="23"/>
  </w:num>
  <w:num w:numId="23">
    <w:abstractNumId w:val="3"/>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F9"/>
    <w:rsid w:val="00000792"/>
    <w:rsid w:val="00000F04"/>
    <w:rsid w:val="000024C0"/>
    <w:rsid w:val="00002DA5"/>
    <w:rsid w:val="00003C4F"/>
    <w:rsid w:val="0000473F"/>
    <w:rsid w:val="00004E0A"/>
    <w:rsid w:val="00004FD3"/>
    <w:rsid w:val="000050BD"/>
    <w:rsid w:val="000052C3"/>
    <w:rsid w:val="0000590D"/>
    <w:rsid w:val="00006DF5"/>
    <w:rsid w:val="00006F95"/>
    <w:rsid w:val="00007023"/>
    <w:rsid w:val="0000709F"/>
    <w:rsid w:val="000071D6"/>
    <w:rsid w:val="000073C1"/>
    <w:rsid w:val="00007D01"/>
    <w:rsid w:val="00007F2D"/>
    <w:rsid w:val="00007FAC"/>
    <w:rsid w:val="00010A9C"/>
    <w:rsid w:val="00010ABA"/>
    <w:rsid w:val="00010E15"/>
    <w:rsid w:val="00010F57"/>
    <w:rsid w:val="0001100C"/>
    <w:rsid w:val="000110E1"/>
    <w:rsid w:val="00011188"/>
    <w:rsid w:val="00012555"/>
    <w:rsid w:val="00012C2B"/>
    <w:rsid w:val="00014236"/>
    <w:rsid w:val="00014744"/>
    <w:rsid w:val="000148F6"/>
    <w:rsid w:val="00015217"/>
    <w:rsid w:val="000159D2"/>
    <w:rsid w:val="00016264"/>
    <w:rsid w:val="00016993"/>
    <w:rsid w:val="00016CAB"/>
    <w:rsid w:val="00016E5B"/>
    <w:rsid w:val="0001749B"/>
    <w:rsid w:val="00017D75"/>
    <w:rsid w:val="00017FE5"/>
    <w:rsid w:val="00020C19"/>
    <w:rsid w:val="00021084"/>
    <w:rsid w:val="00021235"/>
    <w:rsid w:val="00021910"/>
    <w:rsid w:val="00021FDC"/>
    <w:rsid w:val="00022958"/>
    <w:rsid w:val="00022E8D"/>
    <w:rsid w:val="0002348A"/>
    <w:rsid w:val="00023AED"/>
    <w:rsid w:val="0002468A"/>
    <w:rsid w:val="00024708"/>
    <w:rsid w:val="00024EE7"/>
    <w:rsid w:val="00025F96"/>
    <w:rsid w:val="00025FAB"/>
    <w:rsid w:val="000268AC"/>
    <w:rsid w:val="0002693D"/>
    <w:rsid w:val="00026E89"/>
    <w:rsid w:val="000275A3"/>
    <w:rsid w:val="00027930"/>
    <w:rsid w:val="00030558"/>
    <w:rsid w:val="00030699"/>
    <w:rsid w:val="00030725"/>
    <w:rsid w:val="00030A7B"/>
    <w:rsid w:val="00030DB8"/>
    <w:rsid w:val="00031A83"/>
    <w:rsid w:val="0003213A"/>
    <w:rsid w:val="00032A81"/>
    <w:rsid w:val="000340D8"/>
    <w:rsid w:val="0003427D"/>
    <w:rsid w:val="000349D2"/>
    <w:rsid w:val="00034DFA"/>
    <w:rsid w:val="000357ED"/>
    <w:rsid w:val="00035992"/>
    <w:rsid w:val="00035E15"/>
    <w:rsid w:val="0003640E"/>
    <w:rsid w:val="000367A9"/>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55E"/>
    <w:rsid w:val="00047941"/>
    <w:rsid w:val="00050545"/>
    <w:rsid w:val="00050A22"/>
    <w:rsid w:val="00050E27"/>
    <w:rsid w:val="0005144F"/>
    <w:rsid w:val="00051AF1"/>
    <w:rsid w:val="00051D42"/>
    <w:rsid w:val="000538A1"/>
    <w:rsid w:val="00055375"/>
    <w:rsid w:val="00056319"/>
    <w:rsid w:val="000564E7"/>
    <w:rsid w:val="00056770"/>
    <w:rsid w:val="00057076"/>
    <w:rsid w:val="00057386"/>
    <w:rsid w:val="00057EEF"/>
    <w:rsid w:val="000613CB"/>
    <w:rsid w:val="000619CB"/>
    <w:rsid w:val="00062387"/>
    <w:rsid w:val="00062C71"/>
    <w:rsid w:val="000640F0"/>
    <w:rsid w:val="0006434D"/>
    <w:rsid w:val="000643A1"/>
    <w:rsid w:val="00064679"/>
    <w:rsid w:val="00064A13"/>
    <w:rsid w:val="00064AF4"/>
    <w:rsid w:val="00064DB1"/>
    <w:rsid w:val="00065BA3"/>
    <w:rsid w:val="00065D3B"/>
    <w:rsid w:val="000667E9"/>
    <w:rsid w:val="00066BFD"/>
    <w:rsid w:val="00067128"/>
    <w:rsid w:val="000675CD"/>
    <w:rsid w:val="00067872"/>
    <w:rsid w:val="000678AC"/>
    <w:rsid w:val="00067B6D"/>
    <w:rsid w:val="000703B2"/>
    <w:rsid w:val="00070D15"/>
    <w:rsid w:val="00070FBF"/>
    <w:rsid w:val="000711EE"/>
    <w:rsid w:val="000717EF"/>
    <w:rsid w:val="0007180E"/>
    <w:rsid w:val="00071AE4"/>
    <w:rsid w:val="00071CB5"/>
    <w:rsid w:val="00071CCB"/>
    <w:rsid w:val="00071D03"/>
    <w:rsid w:val="0007232B"/>
    <w:rsid w:val="00072ED3"/>
    <w:rsid w:val="000735A2"/>
    <w:rsid w:val="0007517E"/>
    <w:rsid w:val="00075FE1"/>
    <w:rsid w:val="0007652E"/>
    <w:rsid w:val="00076667"/>
    <w:rsid w:val="00077473"/>
    <w:rsid w:val="00077481"/>
    <w:rsid w:val="000776F9"/>
    <w:rsid w:val="00077D0C"/>
    <w:rsid w:val="00077EE0"/>
    <w:rsid w:val="000802F9"/>
    <w:rsid w:val="00080EDB"/>
    <w:rsid w:val="0008145A"/>
    <w:rsid w:val="0008162D"/>
    <w:rsid w:val="0008312D"/>
    <w:rsid w:val="000831C8"/>
    <w:rsid w:val="00083F5E"/>
    <w:rsid w:val="00084B62"/>
    <w:rsid w:val="00084FDB"/>
    <w:rsid w:val="0008505C"/>
    <w:rsid w:val="00085C46"/>
    <w:rsid w:val="00085D9D"/>
    <w:rsid w:val="0008686A"/>
    <w:rsid w:val="00087175"/>
    <w:rsid w:val="00087D35"/>
    <w:rsid w:val="00091796"/>
    <w:rsid w:val="00091BA2"/>
    <w:rsid w:val="00091CB0"/>
    <w:rsid w:val="00094344"/>
    <w:rsid w:val="000953C6"/>
    <w:rsid w:val="000953F4"/>
    <w:rsid w:val="0009553A"/>
    <w:rsid w:val="0009590C"/>
    <w:rsid w:val="000959E7"/>
    <w:rsid w:val="00095E7D"/>
    <w:rsid w:val="000964DE"/>
    <w:rsid w:val="000972AB"/>
    <w:rsid w:val="00097B40"/>
    <w:rsid w:val="00097D0E"/>
    <w:rsid w:val="000A08A0"/>
    <w:rsid w:val="000A17EA"/>
    <w:rsid w:val="000A19AF"/>
    <w:rsid w:val="000A1C7A"/>
    <w:rsid w:val="000A2345"/>
    <w:rsid w:val="000A2394"/>
    <w:rsid w:val="000A29EC"/>
    <w:rsid w:val="000A31C1"/>
    <w:rsid w:val="000A32C5"/>
    <w:rsid w:val="000A3411"/>
    <w:rsid w:val="000A34CA"/>
    <w:rsid w:val="000A426F"/>
    <w:rsid w:val="000A4559"/>
    <w:rsid w:val="000A45FD"/>
    <w:rsid w:val="000A477B"/>
    <w:rsid w:val="000A51A0"/>
    <w:rsid w:val="000A558D"/>
    <w:rsid w:val="000A5611"/>
    <w:rsid w:val="000A563C"/>
    <w:rsid w:val="000A59C5"/>
    <w:rsid w:val="000A5DEA"/>
    <w:rsid w:val="000A5EBD"/>
    <w:rsid w:val="000A7658"/>
    <w:rsid w:val="000A773B"/>
    <w:rsid w:val="000A7F0F"/>
    <w:rsid w:val="000A7F4C"/>
    <w:rsid w:val="000B02BC"/>
    <w:rsid w:val="000B0498"/>
    <w:rsid w:val="000B0F36"/>
    <w:rsid w:val="000B1942"/>
    <w:rsid w:val="000B1BED"/>
    <w:rsid w:val="000B1CC5"/>
    <w:rsid w:val="000B2240"/>
    <w:rsid w:val="000B2477"/>
    <w:rsid w:val="000B2600"/>
    <w:rsid w:val="000B2672"/>
    <w:rsid w:val="000B36F9"/>
    <w:rsid w:val="000B4074"/>
    <w:rsid w:val="000B4732"/>
    <w:rsid w:val="000B4BCD"/>
    <w:rsid w:val="000B66DC"/>
    <w:rsid w:val="000B6D1F"/>
    <w:rsid w:val="000B6E38"/>
    <w:rsid w:val="000C062F"/>
    <w:rsid w:val="000C1401"/>
    <w:rsid w:val="000C17E7"/>
    <w:rsid w:val="000C3270"/>
    <w:rsid w:val="000C36AD"/>
    <w:rsid w:val="000C3AF9"/>
    <w:rsid w:val="000C577E"/>
    <w:rsid w:val="000C69E0"/>
    <w:rsid w:val="000D04BA"/>
    <w:rsid w:val="000D04E9"/>
    <w:rsid w:val="000D0A9B"/>
    <w:rsid w:val="000D0B6E"/>
    <w:rsid w:val="000D0CDA"/>
    <w:rsid w:val="000D0D65"/>
    <w:rsid w:val="000D0E58"/>
    <w:rsid w:val="000D12E0"/>
    <w:rsid w:val="000D1944"/>
    <w:rsid w:val="000D1DD9"/>
    <w:rsid w:val="000D2172"/>
    <w:rsid w:val="000D293C"/>
    <w:rsid w:val="000D2BC1"/>
    <w:rsid w:val="000D337B"/>
    <w:rsid w:val="000D385A"/>
    <w:rsid w:val="000D38C2"/>
    <w:rsid w:val="000D3C4F"/>
    <w:rsid w:val="000D3CA7"/>
    <w:rsid w:val="000D3FB1"/>
    <w:rsid w:val="000D5B16"/>
    <w:rsid w:val="000D5C32"/>
    <w:rsid w:val="000D5FD6"/>
    <w:rsid w:val="000D6201"/>
    <w:rsid w:val="000D6488"/>
    <w:rsid w:val="000D7088"/>
    <w:rsid w:val="000D770B"/>
    <w:rsid w:val="000D788E"/>
    <w:rsid w:val="000E12B0"/>
    <w:rsid w:val="000E1BC8"/>
    <w:rsid w:val="000E1D32"/>
    <w:rsid w:val="000E21F1"/>
    <w:rsid w:val="000E26D8"/>
    <w:rsid w:val="000E2B94"/>
    <w:rsid w:val="000E2FAB"/>
    <w:rsid w:val="000E3156"/>
    <w:rsid w:val="000E35B6"/>
    <w:rsid w:val="000E3936"/>
    <w:rsid w:val="000E3BB8"/>
    <w:rsid w:val="000E3D9B"/>
    <w:rsid w:val="000E3DFD"/>
    <w:rsid w:val="000E4261"/>
    <w:rsid w:val="000E4697"/>
    <w:rsid w:val="000E580C"/>
    <w:rsid w:val="000E58C5"/>
    <w:rsid w:val="000E6203"/>
    <w:rsid w:val="000E64CB"/>
    <w:rsid w:val="000E6892"/>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352"/>
    <w:rsid w:val="000F2651"/>
    <w:rsid w:val="000F2E17"/>
    <w:rsid w:val="000F348D"/>
    <w:rsid w:val="000F3519"/>
    <w:rsid w:val="000F369A"/>
    <w:rsid w:val="000F3FF3"/>
    <w:rsid w:val="000F4463"/>
    <w:rsid w:val="000F460A"/>
    <w:rsid w:val="000F4FA7"/>
    <w:rsid w:val="000F5285"/>
    <w:rsid w:val="000F52E0"/>
    <w:rsid w:val="000F53A9"/>
    <w:rsid w:val="000F6464"/>
    <w:rsid w:val="000F6628"/>
    <w:rsid w:val="000F68DA"/>
    <w:rsid w:val="000F6C25"/>
    <w:rsid w:val="000F766A"/>
    <w:rsid w:val="000F76EB"/>
    <w:rsid w:val="000F78AE"/>
    <w:rsid w:val="000F7E25"/>
    <w:rsid w:val="001007EE"/>
    <w:rsid w:val="00100F76"/>
    <w:rsid w:val="0010148E"/>
    <w:rsid w:val="00101A18"/>
    <w:rsid w:val="00101A94"/>
    <w:rsid w:val="0010253C"/>
    <w:rsid w:val="00102818"/>
    <w:rsid w:val="00102BD1"/>
    <w:rsid w:val="001030A4"/>
    <w:rsid w:val="001035EF"/>
    <w:rsid w:val="001041C5"/>
    <w:rsid w:val="0010486A"/>
    <w:rsid w:val="00104A2B"/>
    <w:rsid w:val="00105000"/>
    <w:rsid w:val="001050CA"/>
    <w:rsid w:val="0010561C"/>
    <w:rsid w:val="001057D4"/>
    <w:rsid w:val="00105C0F"/>
    <w:rsid w:val="00105E39"/>
    <w:rsid w:val="001060B0"/>
    <w:rsid w:val="00106561"/>
    <w:rsid w:val="00106D63"/>
    <w:rsid w:val="001075F3"/>
    <w:rsid w:val="00107A01"/>
    <w:rsid w:val="00107C23"/>
    <w:rsid w:val="00110023"/>
    <w:rsid w:val="00110307"/>
    <w:rsid w:val="00110C7F"/>
    <w:rsid w:val="00110EE2"/>
    <w:rsid w:val="00111A88"/>
    <w:rsid w:val="0011221A"/>
    <w:rsid w:val="0011318C"/>
    <w:rsid w:val="00113283"/>
    <w:rsid w:val="001137AE"/>
    <w:rsid w:val="00113AA8"/>
    <w:rsid w:val="00113B20"/>
    <w:rsid w:val="00113E5E"/>
    <w:rsid w:val="001147B3"/>
    <w:rsid w:val="001148F7"/>
    <w:rsid w:val="001149B2"/>
    <w:rsid w:val="00114C2D"/>
    <w:rsid w:val="00115125"/>
    <w:rsid w:val="001152F2"/>
    <w:rsid w:val="001157D7"/>
    <w:rsid w:val="00116382"/>
    <w:rsid w:val="00116484"/>
    <w:rsid w:val="00116ACF"/>
    <w:rsid w:val="00116B35"/>
    <w:rsid w:val="00116D5C"/>
    <w:rsid w:val="00116E66"/>
    <w:rsid w:val="001172B2"/>
    <w:rsid w:val="00117F9B"/>
    <w:rsid w:val="00121042"/>
    <w:rsid w:val="00121211"/>
    <w:rsid w:val="00121628"/>
    <w:rsid w:val="0012167D"/>
    <w:rsid w:val="00122189"/>
    <w:rsid w:val="00122280"/>
    <w:rsid w:val="00122D42"/>
    <w:rsid w:val="00123345"/>
    <w:rsid w:val="001233AD"/>
    <w:rsid w:val="00123C46"/>
    <w:rsid w:val="0012470B"/>
    <w:rsid w:val="00124F5B"/>
    <w:rsid w:val="00125C75"/>
    <w:rsid w:val="00125C7E"/>
    <w:rsid w:val="00127945"/>
    <w:rsid w:val="00127D94"/>
    <w:rsid w:val="00127E90"/>
    <w:rsid w:val="001302C1"/>
    <w:rsid w:val="001306D3"/>
    <w:rsid w:val="001310BF"/>
    <w:rsid w:val="00132C10"/>
    <w:rsid w:val="00132F15"/>
    <w:rsid w:val="00133E73"/>
    <w:rsid w:val="00133EFF"/>
    <w:rsid w:val="00133FDB"/>
    <w:rsid w:val="00134F4A"/>
    <w:rsid w:val="00135E4E"/>
    <w:rsid w:val="00136246"/>
    <w:rsid w:val="001364D4"/>
    <w:rsid w:val="001371C8"/>
    <w:rsid w:val="001372ED"/>
    <w:rsid w:val="00137BB4"/>
    <w:rsid w:val="00141B94"/>
    <w:rsid w:val="0014291E"/>
    <w:rsid w:val="00142B50"/>
    <w:rsid w:val="0014355D"/>
    <w:rsid w:val="00143873"/>
    <w:rsid w:val="001439E9"/>
    <w:rsid w:val="00143C55"/>
    <w:rsid w:val="00144C6F"/>
    <w:rsid w:val="00145089"/>
    <w:rsid w:val="001451E7"/>
    <w:rsid w:val="001453E7"/>
    <w:rsid w:val="001462E3"/>
    <w:rsid w:val="0014720C"/>
    <w:rsid w:val="001472C2"/>
    <w:rsid w:val="00147458"/>
    <w:rsid w:val="00147E21"/>
    <w:rsid w:val="00150BA8"/>
    <w:rsid w:val="00150D19"/>
    <w:rsid w:val="0015181B"/>
    <w:rsid w:val="00151A9F"/>
    <w:rsid w:val="00152AEA"/>
    <w:rsid w:val="00152B87"/>
    <w:rsid w:val="00152ECD"/>
    <w:rsid w:val="00153A96"/>
    <w:rsid w:val="00153D1C"/>
    <w:rsid w:val="001543E2"/>
    <w:rsid w:val="00155B43"/>
    <w:rsid w:val="001565A2"/>
    <w:rsid w:val="001567C3"/>
    <w:rsid w:val="00156A12"/>
    <w:rsid w:val="00157B3F"/>
    <w:rsid w:val="00157E35"/>
    <w:rsid w:val="00157F8A"/>
    <w:rsid w:val="00160C3D"/>
    <w:rsid w:val="00161B24"/>
    <w:rsid w:val="00161C41"/>
    <w:rsid w:val="00161DD5"/>
    <w:rsid w:val="0016325D"/>
    <w:rsid w:val="001633A4"/>
    <w:rsid w:val="001634D6"/>
    <w:rsid w:val="00163732"/>
    <w:rsid w:val="00163AF7"/>
    <w:rsid w:val="001648DD"/>
    <w:rsid w:val="00164C0C"/>
    <w:rsid w:val="00165705"/>
    <w:rsid w:val="00166389"/>
    <w:rsid w:val="00166460"/>
    <w:rsid w:val="00166E03"/>
    <w:rsid w:val="00167E4C"/>
    <w:rsid w:val="0017038F"/>
    <w:rsid w:val="001710D7"/>
    <w:rsid w:val="00171449"/>
    <w:rsid w:val="0017199C"/>
    <w:rsid w:val="00171C7E"/>
    <w:rsid w:val="00171F35"/>
    <w:rsid w:val="00172552"/>
    <w:rsid w:val="00172873"/>
    <w:rsid w:val="00172CF7"/>
    <w:rsid w:val="0017319E"/>
    <w:rsid w:val="00173A1F"/>
    <w:rsid w:val="00173BC3"/>
    <w:rsid w:val="00174028"/>
    <w:rsid w:val="00174128"/>
    <w:rsid w:val="0017579B"/>
    <w:rsid w:val="00175B19"/>
    <w:rsid w:val="00175C34"/>
    <w:rsid w:val="00175F9A"/>
    <w:rsid w:val="00176E98"/>
    <w:rsid w:val="00177467"/>
    <w:rsid w:val="00177996"/>
    <w:rsid w:val="001801E1"/>
    <w:rsid w:val="00180B3F"/>
    <w:rsid w:val="00180C83"/>
    <w:rsid w:val="00180CE5"/>
    <w:rsid w:val="001811E2"/>
    <w:rsid w:val="0018175B"/>
    <w:rsid w:val="001820A3"/>
    <w:rsid w:val="00182CB7"/>
    <w:rsid w:val="00183111"/>
    <w:rsid w:val="0018332A"/>
    <w:rsid w:val="0018343D"/>
    <w:rsid w:val="0018359C"/>
    <w:rsid w:val="001835FB"/>
    <w:rsid w:val="00183D80"/>
    <w:rsid w:val="001842C8"/>
    <w:rsid w:val="001843F8"/>
    <w:rsid w:val="00184534"/>
    <w:rsid w:val="00185044"/>
    <w:rsid w:val="001850DB"/>
    <w:rsid w:val="0018599C"/>
    <w:rsid w:val="001869EE"/>
    <w:rsid w:val="00186D00"/>
    <w:rsid w:val="0018743A"/>
    <w:rsid w:val="00190A57"/>
    <w:rsid w:val="00190B3F"/>
    <w:rsid w:val="0019122C"/>
    <w:rsid w:val="001913E2"/>
    <w:rsid w:val="00191908"/>
    <w:rsid w:val="00192DF3"/>
    <w:rsid w:val="0019301F"/>
    <w:rsid w:val="00193286"/>
    <w:rsid w:val="001937B8"/>
    <w:rsid w:val="001940F9"/>
    <w:rsid w:val="0019453A"/>
    <w:rsid w:val="00194BB7"/>
    <w:rsid w:val="00194CC5"/>
    <w:rsid w:val="00194E3C"/>
    <w:rsid w:val="001951B2"/>
    <w:rsid w:val="0019565D"/>
    <w:rsid w:val="00195B67"/>
    <w:rsid w:val="001965B1"/>
    <w:rsid w:val="00196AAE"/>
    <w:rsid w:val="00197564"/>
    <w:rsid w:val="00197EC2"/>
    <w:rsid w:val="00197ECE"/>
    <w:rsid w:val="001A1496"/>
    <w:rsid w:val="001A1CED"/>
    <w:rsid w:val="001A279B"/>
    <w:rsid w:val="001A2B8C"/>
    <w:rsid w:val="001A2DC3"/>
    <w:rsid w:val="001A2E87"/>
    <w:rsid w:val="001A3298"/>
    <w:rsid w:val="001A3869"/>
    <w:rsid w:val="001A38C2"/>
    <w:rsid w:val="001A3BB3"/>
    <w:rsid w:val="001A408A"/>
    <w:rsid w:val="001A562A"/>
    <w:rsid w:val="001A59E7"/>
    <w:rsid w:val="001A65C8"/>
    <w:rsid w:val="001A671A"/>
    <w:rsid w:val="001A732E"/>
    <w:rsid w:val="001A7F30"/>
    <w:rsid w:val="001B06E2"/>
    <w:rsid w:val="001B103A"/>
    <w:rsid w:val="001B103D"/>
    <w:rsid w:val="001B13FE"/>
    <w:rsid w:val="001B1513"/>
    <w:rsid w:val="001B1767"/>
    <w:rsid w:val="001B2453"/>
    <w:rsid w:val="001B3D48"/>
    <w:rsid w:val="001B59EF"/>
    <w:rsid w:val="001B5A75"/>
    <w:rsid w:val="001B5AF9"/>
    <w:rsid w:val="001B6600"/>
    <w:rsid w:val="001B6A7A"/>
    <w:rsid w:val="001B6B9B"/>
    <w:rsid w:val="001B6C27"/>
    <w:rsid w:val="001B7144"/>
    <w:rsid w:val="001B75B4"/>
    <w:rsid w:val="001B7E91"/>
    <w:rsid w:val="001C01B7"/>
    <w:rsid w:val="001C147E"/>
    <w:rsid w:val="001C151B"/>
    <w:rsid w:val="001C19E5"/>
    <w:rsid w:val="001C3800"/>
    <w:rsid w:val="001C3C7B"/>
    <w:rsid w:val="001C3F00"/>
    <w:rsid w:val="001C4FD4"/>
    <w:rsid w:val="001C5683"/>
    <w:rsid w:val="001C5C0E"/>
    <w:rsid w:val="001C6122"/>
    <w:rsid w:val="001C6587"/>
    <w:rsid w:val="001C69BE"/>
    <w:rsid w:val="001C6DB5"/>
    <w:rsid w:val="001C71AC"/>
    <w:rsid w:val="001C7316"/>
    <w:rsid w:val="001C77CE"/>
    <w:rsid w:val="001C7E5C"/>
    <w:rsid w:val="001D00CC"/>
    <w:rsid w:val="001D0494"/>
    <w:rsid w:val="001D07B7"/>
    <w:rsid w:val="001D145D"/>
    <w:rsid w:val="001D1719"/>
    <w:rsid w:val="001D171B"/>
    <w:rsid w:val="001D1732"/>
    <w:rsid w:val="001D1E2E"/>
    <w:rsid w:val="001D2203"/>
    <w:rsid w:val="001D24EC"/>
    <w:rsid w:val="001D255C"/>
    <w:rsid w:val="001D2DEF"/>
    <w:rsid w:val="001D30BB"/>
    <w:rsid w:val="001D3AE4"/>
    <w:rsid w:val="001D488C"/>
    <w:rsid w:val="001D4CDF"/>
    <w:rsid w:val="001D4F88"/>
    <w:rsid w:val="001D5343"/>
    <w:rsid w:val="001D578D"/>
    <w:rsid w:val="001D5818"/>
    <w:rsid w:val="001D5EB8"/>
    <w:rsid w:val="001D6155"/>
    <w:rsid w:val="001D653A"/>
    <w:rsid w:val="001D7D69"/>
    <w:rsid w:val="001D7DEE"/>
    <w:rsid w:val="001D7F07"/>
    <w:rsid w:val="001E02CB"/>
    <w:rsid w:val="001E14FD"/>
    <w:rsid w:val="001E1742"/>
    <w:rsid w:val="001E180F"/>
    <w:rsid w:val="001E1C64"/>
    <w:rsid w:val="001E1CEC"/>
    <w:rsid w:val="001E1E9C"/>
    <w:rsid w:val="001E20CA"/>
    <w:rsid w:val="001E2ECB"/>
    <w:rsid w:val="001E3EE7"/>
    <w:rsid w:val="001E43D6"/>
    <w:rsid w:val="001E4B64"/>
    <w:rsid w:val="001E552A"/>
    <w:rsid w:val="001E57B9"/>
    <w:rsid w:val="001E6E8D"/>
    <w:rsid w:val="001E7836"/>
    <w:rsid w:val="001E7990"/>
    <w:rsid w:val="001E7B25"/>
    <w:rsid w:val="001E7EE4"/>
    <w:rsid w:val="001E7F76"/>
    <w:rsid w:val="001F0426"/>
    <w:rsid w:val="001F05A8"/>
    <w:rsid w:val="001F08FF"/>
    <w:rsid w:val="001F0FAF"/>
    <w:rsid w:val="001F139F"/>
    <w:rsid w:val="001F13C4"/>
    <w:rsid w:val="001F2805"/>
    <w:rsid w:val="001F2E79"/>
    <w:rsid w:val="001F2F07"/>
    <w:rsid w:val="001F3123"/>
    <w:rsid w:val="001F376D"/>
    <w:rsid w:val="001F38CA"/>
    <w:rsid w:val="001F418C"/>
    <w:rsid w:val="001F4B2D"/>
    <w:rsid w:val="001F4F40"/>
    <w:rsid w:val="001F50E0"/>
    <w:rsid w:val="001F594C"/>
    <w:rsid w:val="001F5A21"/>
    <w:rsid w:val="001F600A"/>
    <w:rsid w:val="001F69FC"/>
    <w:rsid w:val="001F6D62"/>
    <w:rsid w:val="001F700D"/>
    <w:rsid w:val="001F7675"/>
    <w:rsid w:val="00200FAE"/>
    <w:rsid w:val="0020102D"/>
    <w:rsid w:val="002010E2"/>
    <w:rsid w:val="00201B73"/>
    <w:rsid w:val="00202517"/>
    <w:rsid w:val="00202A24"/>
    <w:rsid w:val="00202ADB"/>
    <w:rsid w:val="00202BB7"/>
    <w:rsid w:val="00203493"/>
    <w:rsid w:val="00203E58"/>
    <w:rsid w:val="0020435B"/>
    <w:rsid w:val="00204533"/>
    <w:rsid w:val="00204F2D"/>
    <w:rsid w:val="00205566"/>
    <w:rsid w:val="002063AA"/>
    <w:rsid w:val="00207CB8"/>
    <w:rsid w:val="00210549"/>
    <w:rsid w:val="00210648"/>
    <w:rsid w:val="0021069E"/>
    <w:rsid w:val="00210804"/>
    <w:rsid w:val="0021088F"/>
    <w:rsid w:val="002113FE"/>
    <w:rsid w:val="00211737"/>
    <w:rsid w:val="0021181B"/>
    <w:rsid w:val="0021213B"/>
    <w:rsid w:val="0021230F"/>
    <w:rsid w:val="00212484"/>
    <w:rsid w:val="002125B0"/>
    <w:rsid w:val="00212A82"/>
    <w:rsid w:val="00212B67"/>
    <w:rsid w:val="00213455"/>
    <w:rsid w:val="0021444A"/>
    <w:rsid w:val="00214EA2"/>
    <w:rsid w:val="002160FA"/>
    <w:rsid w:val="002166DD"/>
    <w:rsid w:val="002168A2"/>
    <w:rsid w:val="00217867"/>
    <w:rsid w:val="002205E4"/>
    <w:rsid w:val="00220D67"/>
    <w:rsid w:val="002215F8"/>
    <w:rsid w:val="00221F80"/>
    <w:rsid w:val="00221FCE"/>
    <w:rsid w:val="0022273A"/>
    <w:rsid w:val="00222D28"/>
    <w:rsid w:val="00223CF4"/>
    <w:rsid w:val="00224220"/>
    <w:rsid w:val="00224398"/>
    <w:rsid w:val="002246AC"/>
    <w:rsid w:val="00224A81"/>
    <w:rsid w:val="00224E91"/>
    <w:rsid w:val="002251B6"/>
    <w:rsid w:val="00225698"/>
    <w:rsid w:val="002258BA"/>
    <w:rsid w:val="00225B4C"/>
    <w:rsid w:val="00225E1E"/>
    <w:rsid w:val="00226129"/>
    <w:rsid w:val="0022614D"/>
    <w:rsid w:val="00226AA2"/>
    <w:rsid w:val="00227218"/>
    <w:rsid w:val="0022770A"/>
    <w:rsid w:val="00227BEE"/>
    <w:rsid w:val="00227FB4"/>
    <w:rsid w:val="0023057E"/>
    <w:rsid w:val="002312BC"/>
    <w:rsid w:val="00231EA5"/>
    <w:rsid w:val="002337E5"/>
    <w:rsid w:val="00233BD2"/>
    <w:rsid w:val="00233C06"/>
    <w:rsid w:val="00233F24"/>
    <w:rsid w:val="002345C0"/>
    <w:rsid w:val="00234A2F"/>
    <w:rsid w:val="00234BBB"/>
    <w:rsid w:val="002356F4"/>
    <w:rsid w:val="002356FB"/>
    <w:rsid w:val="00235863"/>
    <w:rsid w:val="00235A30"/>
    <w:rsid w:val="00235F02"/>
    <w:rsid w:val="00235F1C"/>
    <w:rsid w:val="00236B2C"/>
    <w:rsid w:val="00236D28"/>
    <w:rsid w:val="00237FE4"/>
    <w:rsid w:val="0024002F"/>
    <w:rsid w:val="002401A1"/>
    <w:rsid w:val="00240656"/>
    <w:rsid w:val="00241610"/>
    <w:rsid w:val="00241AED"/>
    <w:rsid w:val="00241CDD"/>
    <w:rsid w:val="002428C6"/>
    <w:rsid w:val="00243182"/>
    <w:rsid w:val="0024358E"/>
    <w:rsid w:val="00243928"/>
    <w:rsid w:val="00243946"/>
    <w:rsid w:val="00243BC5"/>
    <w:rsid w:val="00243C7D"/>
    <w:rsid w:val="00243C93"/>
    <w:rsid w:val="00243E9A"/>
    <w:rsid w:val="00244371"/>
    <w:rsid w:val="00244AF8"/>
    <w:rsid w:val="00244BC5"/>
    <w:rsid w:val="00244E68"/>
    <w:rsid w:val="002456C5"/>
    <w:rsid w:val="00245ABE"/>
    <w:rsid w:val="00245C0B"/>
    <w:rsid w:val="00246A20"/>
    <w:rsid w:val="00246EAE"/>
    <w:rsid w:val="0024710C"/>
    <w:rsid w:val="00247116"/>
    <w:rsid w:val="002471E5"/>
    <w:rsid w:val="002517A8"/>
    <w:rsid w:val="0025188C"/>
    <w:rsid w:val="00251EEE"/>
    <w:rsid w:val="00253177"/>
    <w:rsid w:val="002538B8"/>
    <w:rsid w:val="0025396F"/>
    <w:rsid w:val="00254319"/>
    <w:rsid w:val="0025539F"/>
    <w:rsid w:val="00256388"/>
    <w:rsid w:val="00256900"/>
    <w:rsid w:val="00256E44"/>
    <w:rsid w:val="0025710C"/>
    <w:rsid w:val="00257E08"/>
    <w:rsid w:val="00260919"/>
    <w:rsid w:val="00260928"/>
    <w:rsid w:val="002612FD"/>
    <w:rsid w:val="002613DC"/>
    <w:rsid w:val="00261755"/>
    <w:rsid w:val="00261AAA"/>
    <w:rsid w:val="00262097"/>
    <w:rsid w:val="00262286"/>
    <w:rsid w:val="00262D20"/>
    <w:rsid w:val="002634AB"/>
    <w:rsid w:val="002638E0"/>
    <w:rsid w:val="00263C19"/>
    <w:rsid w:val="00263E9F"/>
    <w:rsid w:val="00264712"/>
    <w:rsid w:val="00264F03"/>
    <w:rsid w:val="00264F8F"/>
    <w:rsid w:val="0026512E"/>
    <w:rsid w:val="002651DA"/>
    <w:rsid w:val="002655AE"/>
    <w:rsid w:val="0026591F"/>
    <w:rsid w:val="00265A65"/>
    <w:rsid w:val="002660F0"/>
    <w:rsid w:val="00267578"/>
    <w:rsid w:val="002675B6"/>
    <w:rsid w:val="00267A99"/>
    <w:rsid w:val="00270271"/>
    <w:rsid w:val="00272174"/>
    <w:rsid w:val="002721A6"/>
    <w:rsid w:val="002722E0"/>
    <w:rsid w:val="002727F7"/>
    <w:rsid w:val="002730EC"/>
    <w:rsid w:val="00273100"/>
    <w:rsid w:val="0027318D"/>
    <w:rsid w:val="002735CC"/>
    <w:rsid w:val="00273C8E"/>
    <w:rsid w:val="00274588"/>
    <w:rsid w:val="00274A67"/>
    <w:rsid w:val="00274AA2"/>
    <w:rsid w:val="002756EF"/>
    <w:rsid w:val="00275708"/>
    <w:rsid w:val="00275D55"/>
    <w:rsid w:val="002768CF"/>
    <w:rsid w:val="00276F82"/>
    <w:rsid w:val="002805DF"/>
    <w:rsid w:val="0028092D"/>
    <w:rsid w:val="002815D9"/>
    <w:rsid w:val="002820F9"/>
    <w:rsid w:val="00282317"/>
    <w:rsid w:val="002827D0"/>
    <w:rsid w:val="00282940"/>
    <w:rsid w:val="00282D25"/>
    <w:rsid w:val="00282DDA"/>
    <w:rsid w:val="00282DF9"/>
    <w:rsid w:val="00283A44"/>
    <w:rsid w:val="00283D11"/>
    <w:rsid w:val="0028529F"/>
    <w:rsid w:val="00285687"/>
    <w:rsid w:val="00287649"/>
    <w:rsid w:val="002876AE"/>
    <w:rsid w:val="00287DAB"/>
    <w:rsid w:val="00287FB6"/>
    <w:rsid w:val="002900C5"/>
    <w:rsid w:val="002901E0"/>
    <w:rsid w:val="0029075B"/>
    <w:rsid w:val="00290BB1"/>
    <w:rsid w:val="002916DE"/>
    <w:rsid w:val="00291BC1"/>
    <w:rsid w:val="00292A56"/>
    <w:rsid w:val="002933CA"/>
    <w:rsid w:val="00293A8F"/>
    <w:rsid w:val="00295155"/>
    <w:rsid w:val="002954B7"/>
    <w:rsid w:val="00295D51"/>
    <w:rsid w:val="002961A7"/>
    <w:rsid w:val="00296203"/>
    <w:rsid w:val="00296428"/>
    <w:rsid w:val="0029643D"/>
    <w:rsid w:val="0029706A"/>
    <w:rsid w:val="002972EE"/>
    <w:rsid w:val="0029788A"/>
    <w:rsid w:val="00297F01"/>
    <w:rsid w:val="002A052D"/>
    <w:rsid w:val="002A0DF8"/>
    <w:rsid w:val="002A18DB"/>
    <w:rsid w:val="002A1928"/>
    <w:rsid w:val="002A1F1F"/>
    <w:rsid w:val="002A21B5"/>
    <w:rsid w:val="002A2290"/>
    <w:rsid w:val="002A2631"/>
    <w:rsid w:val="002A2A0C"/>
    <w:rsid w:val="002A2BB6"/>
    <w:rsid w:val="002A30E0"/>
    <w:rsid w:val="002A310C"/>
    <w:rsid w:val="002A34E3"/>
    <w:rsid w:val="002A3521"/>
    <w:rsid w:val="002A35C5"/>
    <w:rsid w:val="002A37E1"/>
    <w:rsid w:val="002A3B61"/>
    <w:rsid w:val="002A402A"/>
    <w:rsid w:val="002A45AA"/>
    <w:rsid w:val="002A4986"/>
    <w:rsid w:val="002A4B0B"/>
    <w:rsid w:val="002A4B6F"/>
    <w:rsid w:val="002A4FFF"/>
    <w:rsid w:val="002A533C"/>
    <w:rsid w:val="002A56E1"/>
    <w:rsid w:val="002A571B"/>
    <w:rsid w:val="002A59BD"/>
    <w:rsid w:val="002A5E31"/>
    <w:rsid w:val="002A5FB7"/>
    <w:rsid w:val="002A6B50"/>
    <w:rsid w:val="002A7204"/>
    <w:rsid w:val="002A75CA"/>
    <w:rsid w:val="002A7889"/>
    <w:rsid w:val="002A799A"/>
    <w:rsid w:val="002B097D"/>
    <w:rsid w:val="002B0DEF"/>
    <w:rsid w:val="002B11B2"/>
    <w:rsid w:val="002B18F7"/>
    <w:rsid w:val="002B28B9"/>
    <w:rsid w:val="002B300E"/>
    <w:rsid w:val="002B3ABB"/>
    <w:rsid w:val="002B3ED7"/>
    <w:rsid w:val="002B3FFA"/>
    <w:rsid w:val="002B41D0"/>
    <w:rsid w:val="002B4778"/>
    <w:rsid w:val="002B75B2"/>
    <w:rsid w:val="002B79B7"/>
    <w:rsid w:val="002C0F04"/>
    <w:rsid w:val="002C141D"/>
    <w:rsid w:val="002C19C0"/>
    <w:rsid w:val="002C2485"/>
    <w:rsid w:val="002C25E0"/>
    <w:rsid w:val="002C2A2D"/>
    <w:rsid w:val="002C36C0"/>
    <w:rsid w:val="002C3928"/>
    <w:rsid w:val="002C3B33"/>
    <w:rsid w:val="002C435E"/>
    <w:rsid w:val="002C43BB"/>
    <w:rsid w:val="002C44AB"/>
    <w:rsid w:val="002C5E39"/>
    <w:rsid w:val="002C5FA2"/>
    <w:rsid w:val="002C6B59"/>
    <w:rsid w:val="002C7A02"/>
    <w:rsid w:val="002C7BD4"/>
    <w:rsid w:val="002D0107"/>
    <w:rsid w:val="002D062E"/>
    <w:rsid w:val="002D0D43"/>
    <w:rsid w:val="002D15C2"/>
    <w:rsid w:val="002D2B10"/>
    <w:rsid w:val="002D2D93"/>
    <w:rsid w:val="002D386A"/>
    <w:rsid w:val="002D4100"/>
    <w:rsid w:val="002D477F"/>
    <w:rsid w:val="002D478D"/>
    <w:rsid w:val="002D47EE"/>
    <w:rsid w:val="002D4F48"/>
    <w:rsid w:val="002D519B"/>
    <w:rsid w:val="002D621E"/>
    <w:rsid w:val="002D66DA"/>
    <w:rsid w:val="002D7027"/>
    <w:rsid w:val="002D70DC"/>
    <w:rsid w:val="002D7144"/>
    <w:rsid w:val="002D758B"/>
    <w:rsid w:val="002D790C"/>
    <w:rsid w:val="002D79BC"/>
    <w:rsid w:val="002D7E58"/>
    <w:rsid w:val="002E0D31"/>
    <w:rsid w:val="002E0EFA"/>
    <w:rsid w:val="002E1073"/>
    <w:rsid w:val="002E12EC"/>
    <w:rsid w:val="002E146D"/>
    <w:rsid w:val="002E272B"/>
    <w:rsid w:val="002E291F"/>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2BD2"/>
    <w:rsid w:val="002F2CCF"/>
    <w:rsid w:val="002F2F61"/>
    <w:rsid w:val="002F3632"/>
    <w:rsid w:val="002F3AFB"/>
    <w:rsid w:val="002F3C41"/>
    <w:rsid w:val="002F3EDA"/>
    <w:rsid w:val="002F455C"/>
    <w:rsid w:val="002F4C8E"/>
    <w:rsid w:val="002F5076"/>
    <w:rsid w:val="002F5839"/>
    <w:rsid w:val="002F64D9"/>
    <w:rsid w:val="002F651D"/>
    <w:rsid w:val="002F6648"/>
    <w:rsid w:val="002F6E44"/>
    <w:rsid w:val="002F74FD"/>
    <w:rsid w:val="002F787B"/>
    <w:rsid w:val="002F7974"/>
    <w:rsid w:val="002F7CF5"/>
    <w:rsid w:val="002F7D01"/>
    <w:rsid w:val="0030005C"/>
    <w:rsid w:val="00300369"/>
    <w:rsid w:val="003006EE"/>
    <w:rsid w:val="00301D0A"/>
    <w:rsid w:val="00301FD6"/>
    <w:rsid w:val="003027B8"/>
    <w:rsid w:val="0030293F"/>
    <w:rsid w:val="00302947"/>
    <w:rsid w:val="00302C50"/>
    <w:rsid w:val="003031C2"/>
    <w:rsid w:val="00303861"/>
    <w:rsid w:val="00303892"/>
    <w:rsid w:val="00304FFF"/>
    <w:rsid w:val="00305557"/>
    <w:rsid w:val="0030561F"/>
    <w:rsid w:val="00305CA3"/>
    <w:rsid w:val="00305D02"/>
    <w:rsid w:val="00306D01"/>
    <w:rsid w:val="00306E5C"/>
    <w:rsid w:val="00307C19"/>
    <w:rsid w:val="00310732"/>
    <w:rsid w:val="00310BC9"/>
    <w:rsid w:val="00311762"/>
    <w:rsid w:val="00311E98"/>
    <w:rsid w:val="003121B8"/>
    <w:rsid w:val="00312215"/>
    <w:rsid w:val="0031249C"/>
    <w:rsid w:val="003125C3"/>
    <w:rsid w:val="0031274C"/>
    <w:rsid w:val="00312896"/>
    <w:rsid w:val="0031353F"/>
    <w:rsid w:val="00313EAC"/>
    <w:rsid w:val="003142F4"/>
    <w:rsid w:val="0031454E"/>
    <w:rsid w:val="00315D8B"/>
    <w:rsid w:val="0031611F"/>
    <w:rsid w:val="00317550"/>
    <w:rsid w:val="00317687"/>
    <w:rsid w:val="00317A33"/>
    <w:rsid w:val="00320339"/>
    <w:rsid w:val="00320794"/>
    <w:rsid w:val="00321214"/>
    <w:rsid w:val="003213D5"/>
    <w:rsid w:val="00321B87"/>
    <w:rsid w:val="00321DC8"/>
    <w:rsid w:val="00322E52"/>
    <w:rsid w:val="00323737"/>
    <w:rsid w:val="00323AD6"/>
    <w:rsid w:val="00323E4C"/>
    <w:rsid w:val="00323F27"/>
    <w:rsid w:val="003242EF"/>
    <w:rsid w:val="00325339"/>
    <w:rsid w:val="003255AA"/>
    <w:rsid w:val="00325E81"/>
    <w:rsid w:val="00330821"/>
    <w:rsid w:val="003314B6"/>
    <w:rsid w:val="00331A20"/>
    <w:rsid w:val="00331E65"/>
    <w:rsid w:val="00333107"/>
    <w:rsid w:val="0033343B"/>
    <w:rsid w:val="0033393C"/>
    <w:rsid w:val="003351F5"/>
    <w:rsid w:val="003357EE"/>
    <w:rsid w:val="00336E30"/>
    <w:rsid w:val="00337368"/>
    <w:rsid w:val="00337B4D"/>
    <w:rsid w:val="003407A9"/>
    <w:rsid w:val="00340BA3"/>
    <w:rsid w:val="00340BAF"/>
    <w:rsid w:val="00340C2B"/>
    <w:rsid w:val="00340F9A"/>
    <w:rsid w:val="00341018"/>
    <w:rsid w:val="003420D9"/>
    <w:rsid w:val="003423E0"/>
    <w:rsid w:val="00342D0C"/>
    <w:rsid w:val="0034301A"/>
    <w:rsid w:val="00343D76"/>
    <w:rsid w:val="00344D7B"/>
    <w:rsid w:val="00344DFD"/>
    <w:rsid w:val="0034501B"/>
    <w:rsid w:val="003451D3"/>
    <w:rsid w:val="00345363"/>
    <w:rsid w:val="0034561D"/>
    <w:rsid w:val="00345BCB"/>
    <w:rsid w:val="00346631"/>
    <w:rsid w:val="00346AAD"/>
    <w:rsid w:val="00346B96"/>
    <w:rsid w:val="00346D96"/>
    <w:rsid w:val="00347098"/>
    <w:rsid w:val="0034736A"/>
    <w:rsid w:val="0034747C"/>
    <w:rsid w:val="00347B6C"/>
    <w:rsid w:val="0035151C"/>
    <w:rsid w:val="00352254"/>
    <w:rsid w:val="003522A3"/>
    <w:rsid w:val="0035376F"/>
    <w:rsid w:val="00353929"/>
    <w:rsid w:val="00353F9E"/>
    <w:rsid w:val="003540D1"/>
    <w:rsid w:val="0035450A"/>
    <w:rsid w:val="003545BF"/>
    <w:rsid w:val="003549F5"/>
    <w:rsid w:val="0035586A"/>
    <w:rsid w:val="003559F5"/>
    <w:rsid w:val="0035611A"/>
    <w:rsid w:val="00356C3D"/>
    <w:rsid w:val="0036006C"/>
    <w:rsid w:val="00360B75"/>
    <w:rsid w:val="0036151C"/>
    <w:rsid w:val="00361A9B"/>
    <w:rsid w:val="0036217F"/>
    <w:rsid w:val="00362CCF"/>
    <w:rsid w:val="003630D7"/>
    <w:rsid w:val="003631DB"/>
    <w:rsid w:val="00364524"/>
    <w:rsid w:val="0036513A"/>
    <w:rsid w:val="00365237"/>
    <w:rsid w:val="003652B1"/>
    <w:rsid w:val="0036559C"/>
    <w:rsid w:val="0036587E"/>
    <w:rsid w:val="003660CD"/>
    <w:rsid w:val="00366A4A"/>
    <w:rsid w:val="00366B08"/>
    <w:rsid w:val="00367496"/>
    <w:rsid w:val="003678BE"/>
    <w:rsid w:val="003700F8"/>
    <w:rsid w:val="00370259"/>
    <w:rsid w:val="00370949"/>
    <w:rsid w:val="0037243B"/>
    <w:rsid w:val="0037251C"/>
    <w:rsid w:val="0037272C"/>
    <w:rsid w:val="00372B9A"/>
    <w:rsid w:val="003731BF"/>
    <w:rsid w:val="003741A4"/>
    <w:rsid w:val="00374994"/>
    <w:rsid w:val="00375108"/>
    <w:rsid w:val="00375287"/>
    <w:rsid w:val="00375791"/>
    <w:rsid w:val="00375826"/>
    <w:rsid w:val="00375994"/>
    <w:rsid w:val="00375C59"/>
    <w:rsid w:val="00375E05"/>
    <w:rsid w:val="0037612E"/>
    <w:rsid w:val="00376BB7"/>
    <w:rsid w:val="00376EEE"/>
    <w:rsid w:val="00377BA1"/>
    <w:rsid w:val="00377FF0"/>
    <w:rsid w:val="00380616"/>
    <w:rsid w:val="00380CAD"/>
    <w:rsid w:val="00380D34"/>
    <w:rsid w:val="00381022"/>
    <w:rsid w:val="003814B8"/>
    <w:rsid w:val="00381561"/>
    <w:rsid w:val="003815E2"/>
    <w:rsid w:val="00381BC2"/>
    <w:rsid w:val="00381DAE"/>
    <w:rsid w:val="00381E44"/>
    <w:rsid w:val="00382909"/>
    <w:rsid w:val="00382EE1"/>
    <w:rsid w:val="00384258"/>
    <w:rsid w:val="00385131"/>
    <w:rsid w:val="0038529A"/>
    <w:rsid w:val="00385C73"/>
    <w:rsid w:val="003860B0"/>
    <w:rsid w:val="0038620B"/>
    <w:rsid w:val="00387647"/>
    <w:rsid w:val="0038791A"/>
    <w:rsid w:val="00387DB0"/>
    <w:rsid w:val="00390056"/>
    <w:rsid w:val="00390467"/>
    <w:rsid w:val="0039055C"/>
    <w:rsid w:val="00390718"/>
    <w:rsid w:val="00390767"/>
    <w:rsid w:val="00390883"/>
    <w:rsid w:val="00391470"/>
    <w:rsid w:val="0039153D"/>
    <w:rsid w:val="003917FA"/>
    <w:rsid w:val="003920C4"/>
    <w:rsid w:val="00392184"/>
    <w:rsid w:val="00392652"/>
    <w:rsid w:val="00392B41"/>
    <w:rsid w:val="0039456F"/>
    <w:rsid w:val="003945C8"/>
    <w:rsid w:val="0039480D"/>
    <w:rsid w:val="00395446"/>
    <w:rsid w:val="00396725"/>
    <w:rsid w:val="00397979"/>
    <w:rsid w:val="00397A28"/>
    <w:rsid w:val="00397E94"/>
    <w:rsid w:val="00397F05"/>
    <w:rsid w:val="003A0442"/>
    <w:rsid w:val="003A0899"/>
    <w:rsid w:val="003A1512"/>
    <w:rsid w:val="003A1E01"/>
    <w:rsid w:val="003A1EB7"/>
    <w:rsid w:val="003A23F3"/>
    <w:rsid w:val="003A2A21"/>
    <w:rsid w:val="003A2D82"/>
    <w:rsid w:val="003A337C"/>
    <w:rsid w:val="003A36DA"/>
    <w:rsid w:val="003A38F1"/>
    <w:rsid w:val="003A3D1B"/>
    <w:rsid w:val="003A3F39"/>
    <w:rsid w:val="003A4296"/>
    <w:rsid w:val="003A4549"/>
    <w:rsid w:val="003A49B3"/>
    <w:rsid w:val="003A4EE4"/>
    <w:rsid w:val="003A55B4"/>
    <w:rsid w:val="003A61B6"/>
    <w:rsid w:val="003A623F"/>
    <w:rsid w:val="003A71AD"/>
    <w:rsid w:val="003A7D1D"/>
    <w:rsid w:val="003B1688"/>
    <w:rsid w:val="003B1915"/>
    <w:rsid w:val="003B1FA4"/>
    <w:rsid w:val="003B1FE6"/>
    <w:rsid w:val="003B23D5"/>
    <w:rsid w:val="003B3106"/>
    <w:rsid w:val="003B3974"/>
    <w:rsid w:val="003B39E0"/>
    <w:rsid w:val="003B3DAB"/>
    <w:rsid w:val="003B404D"/>
    <w:rsid w:val="003B4872"/>
    <w:rsid w:val="003B4B34"/>
    <w:rsid w:val="003B4CDA"/>
    <w:rsid w:val="003B4F2D"/>
    <w:rsid w:val="003B53DC"/>
    <w:rsid w:val="003B5BD9"/>
    <w:rsid w:val="003B64A3"/>
    <w:rsid w:val="003B6DB8"/>
    <w:rsid w:val="003B72B9"/>
    <w:rsid w:val="003B73FE"/>
    <w:rsid w:val="003B7AE4"/>
    <w:rsid w:val="003C0887"/>
    <w:rsid w:val="003C08AF"/>
    <w:rsid w:val="003C13CC"/>
    <w:rsid w:val="003C2EDD"/>
    <w:rsid w:val="003C3220"/>
    <w:rsid w:val="003C328A"/>
    <w:rsid w:val="003C3A47"/>
    <w:rsid w:val="003C3A79"/>
    <w:rsid w:val="003C3C4F"/>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0D2C"/>
    <w:rsid w:val="003D18CC"/>
    <w:rsid w:val="003D1F7F"/>
    <w:rsid w:val="003D2033"/>
    <w:rsid w:val="003D2229"/>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0FC"/>
    <w:rsid w:val="003E330F"/>
    <w:rsid w:val="003E3478"/>
    <w:rsid w:val="003E4549"/>
    <w:rsid w:val="003E4E74"/>
    <w:rsid w:val="003E5595"/>
    <w:rsid w:val="003E5956"/>
    <w:rsid w:val="003E5C2B"/>
    <w:rsid w:val="003E5F7D"/>
    <w:rsid w:val="003E6520"/>
    <w:rsid w:val="003E67E7"/>
    <w:rsid w:val="003E6B3C"/>
    <w:rsid w:val="003E6B95"/>
    <w:rsid w:val="003E70FF"/>
    <w:rsid w:val="003E73FE"/>
    <w:rsid w:val="003E7F1B"/>
    <w:rsid w:val="003F0B41"/>
    <w:rsid w:val="003F1C93"/>
    <w:rsid w:val="003F1E39"/>
    <w:rsid w:val="003F229D"/>
    <w:rsid w:val="003F25F0"/>
    <w:rsid w:val="003F2988"/>
    <w:rsid w:val="003F29DB"/>
    <w:rsid w:val="003F2D5B"/>
    <w:rsid w:val="003F4C9C"/>
    <w:rsid w:val="003F5AD2"/>
    <w:rsid w:val="003F5BE5"/>
    <w:rsid w:val="003F5CA4"/>
    <w:rsid w:val="003F6345"/>
    <w:rsid w:val="003F6D50"/>
    <w:rsid w:val="003F7006"/>
    <w:rsid w:val="003F7507"/>
    <w:rsid w:val="003F7C72"/>
    <w:rsid w:val="003F7D10"/>
    <w:rsid w:val="003F7F84"/>
    <w:rsid w:val="00400D30"/>
    <w:rsid w:val="00401000"/>
    <w:rsid w:val="00401543"/>
    <w:rsid w:val="004016C6"/>
    <w:rsid w:val="0040179A"/>
    <w:rsid w:val="00401856"/>
    <w:rsid w:val="004028A2"/>
    <w:rsid w:val="00402FEB"/>
    <w:rsid w:val="00403344"/>
    <w:rsid w:val="00403C82"/>
    <w:rsid w:val="00404380"/>
    <w:rsid w:val="004044D5"/>
    <w:rsid w:val="00404C44"/>
    <w:rsid w:val="00404EE8"/>
    <w:rsid w:val="0040510D"/>
    <w:rsid w:val="0040512D"/>
    <w:rsid w:val="0040602F"/>
    <w:rsid w:val="00406AFB"/>
    <w:rsid w:val="00407382"/>
    <w:rsid w:val="0040791B"/>
    <w:rsid w:val="004114F7"/>
    <w:rsid w:val="00411958"/>
    <w:rsid w:val="00411B2A"/>
    <w:rsid w:val="00412973"/>
    <w:rsid w:val="004129ED"/>
    <w:rsid w:val="00412D42"/>
    <w:rsid w:val="00412DA4"/>
    <w:rsid w:val="00412EB6"/>
    <w:rsid w:val="0041351F"/>
    <w:rsid w:val="004137C8"/>
    <w:rsid w:val="00413BF9"/>
    <w:rsid w:val="00413C25"/>
    <w:rsid w:val="00415531"/>
    <w:rsid w:val="004160E6"/>
    <w:rsid w:val="00416330"/>
    <w:rsid w:val="00416830"/>
    <w:rsid w:val="004176C7"/>
    <w:rsid w:val="00417877"/>
    <w:rsid w:val="00417D9F"/>
    <w:rsid w:val="00420229"/>
    <w:rsid w:val="00420DBA"/>
    <w:rsid w:val="00421311"/>
    <w:rsid w:val="00421854"/>
    <w:rsid w:val="00422691"/>
    <w:rsid w:val="00422E13"/>
    <w:rsid w:val="004233E6"/>
    <w:rsid w:val="0042350F"/>
    <w:rsid w:val="00423561"/>
    <w:rsid w:val="00423599"/>
    <w:rsid w:val="004235AB"/>
    <w:rsid w:val="0042384C"/>
    <w:rsid w:val="00423893"/>
    <w:rsid w:val="00423BC9"/>
    <w:rsid w:val="004254D2"/>
    <w:rsid w:val="004255B4"/>
    <w:rsid w:val="00425721"/>
    <w:rsid w:val="0042645F"/>
    <w:rsid w:val="00426766"/>
    <w:rsid w:val="004267D0"/>
    <w:rsid w:val="004279CA"/>
    <w:rsid w:val="00427A82"/>
    <w:rsid w:val="00427EA2"/>
    <w:rsid w:val="00430115"/>
    <w:rsid w:val="00430285"/>
    <w:rsid w:val="00430A4B"/>
    <w:rsid w:val="00431C46"/>
    <w:rsid w:val="004327E6"/>
    <w:rsid w:val="004329DC"/>
    <w:rsid w:val="00432AC6"/>
    <w:rsid w:val="00434C5E"/>
    <w:rsid w:val="00434F3F"/>
    <w:rsid w:val="00435765"/>
    <w:rsid w:val="004360B6"/>
    <w:rsid w:val="004362E5"/>
    <w:rsid w:val="00436356"/>
    <w:rsid w:val="00440722"/>
    <w:rsid w:val="0044253F"/>
    <w:rsid w:val="004425D9"/>
    <w:rsid w:val="004427EE"/>
    <w:rsid w:val="00442D13"/>
    <w:rsid w:val="00443244"/>
    <w:rsid w:val="00443455"/>
    <w:rsid w:val="0044445E"/>
    <w:rsid w:val="00444AF6"/>
    <w:rsid w:val="0044519D"/>
    <w:rsid w:val="00445544"/>
    <w:rsid w:val="00445C0B"/>
    <w:rsid w:val="00446195"/>
    <w:rsid w:val="00447B1E"/>
    <w:rsid w:val="00447CD0"/>
    <w:rsid w:val="00447FC2"/>
    <w:rsid w:val="0045023E"/>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DA4"/>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1EE6"/>
    <w:rsid w:val="00472274"/>
    <w:rsid w:val="004722D4"/>
    <w:rsid w:val="00472A6C"/>
    <w:rsid w:val="00472D9C"/>
    <w:rsid w:val="00473B60"/>
    <w:rsid w:val="00475AFF"/>
    <w:rsid w:val="00475D30"/>
    <w:rsid w:val="004765F4"/>
    <w:rsid w:val="00476B4D"/>
    <w:rsid w:val="00476CBC"/>
    <w:rsid w:val="00476E6C"/>
    <w:rsid w:val="00477282"/>
    <w:rsid w:val="00477900"/>
    <w:rsid w:val="00477947"/>
    <w:rsid w:val="00480B7E"/>
    <w:rsid w:val="00480D0B"/>
    <w:rsid w:val="00480FA1"/>
    <w:rsid w:val="00481FD7"/>
    <w:rsid w:val="00482DE5"/>
    <w:rsid w:val="00483266"/>
    <w:rsid w:val="004832DD"/>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3FBE"/>
    <w:rsid w:val="0049439B"/>
    <w:rsid w:val="004943C2"/>
    <w:rsid w:val="00494646"/>
    <w:rsid w:val="00494918"/>
    <w:rsid w:val="00494C65"/>
    <w:rsid w:val="00494F0C"/>
    <w:rsid w:val="0049527D"/>
    <w:rsid w:val="00495557"/>
    <w:rsid w:val="0049611F"/>
    <w:rsid w:val="0049618D"/>
    <w:rsid w:val="004965EF"/>
    <w:rsid w:val="0049719D"/>
    <w:rsid w:val="00497FCD"/>
    <w:rsid w:val="004A0D1E"/>
    <w:rsid w:val="004A0E66"/>
    <w:rsid w:val="004A0EEC"/>
    <w:rsid w:val="004A130F"/>
    <w:rsid w:val="004A17EF"/>
    <w:rsid w:val="004A1BDA"/>
    <w:rsid w:val="004A22DA"/>
    <w:rsid w:val="004A2700"/>
    <w:rsid w:val="004A3617"/>
    <w:rsid w:val="004A36C8"/>
    <w:rsid w:val="004A3721"/>
    <w:rsid w:val="004A3742"/>
    <w:rsid w:val="004A37B8"/>
    <w:rsid w:val="004A3ED3"/>
    <w:rsid w:val="004A434A"/>
    <w:rsid w:val="004A47BC"/>
    <w:rsid w:val="004A4AC6"/>
    <w:rsid w:val="004A5E1F"/>
    <w:rsid w:val="004A74EF"/>
    <w:rsid w:val="004B0576"/>
    <w:rsid w:val="004B1199"/>
    <w:rsid w:val="004B16C4"/>
    <w:rsid w:val="004B1867"/>
    <w:rsid w:val="004B2A64"/>
    <w:rsid w:val="004B30C3"/>
    <w:rsid w:val="004B3340"/>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5160"/>
    <w:rsid w:val="004C57DE"/>
    <w:rsid w:val="004C58F7"/>
    <w:rsid w:val="004C6572"/>
    <w:rsid w:val="004C6D4F"/>
    <w:rsid w:val="004C7541"/>
    <w:rsid w:val="004D0933"/>
    <w:rsid w:val="004D0D65"/>
    <w:rsid w:val="004D1E71"/>
    <w:rsid w:val="004D2678"/>
    <w:rsid w:val="004D2CDF"/>
    <w:rsid w:val="004D33CE"/>
    <w:rsid w:val="004D4AAE"/>
    <w:rsid w:val="004D7ABA"/>
    <w:rsid w:val="004D7C86"/>
    <w:rsid w:val="004D7EC2"/>
    <w:rsid w:val="004E0197"/>
    <w:rsid w:val="004E1122"/>
    <w:rsid w:val="004E1409"/>
    <w:rsid w:val="004E144C"/>
    <w:rsid w:val="004E1647"/>
    <w:rsid w:val="004E1871"/>
    <w:rsid w:val="004E1A87"/>
    <w:rsid w:val="004E1BB0"/>
    <w:rsid w:val="004E2ED9"/>
    <w:rsid w:val="004E3030"/>
    <w:rsid w:val="004E3311"/>
    <w:rsid w:val="004E38EC"/>
    <w:rsid w:val="004E3933"/>
    <w:rsid w:val="004E396D"/>
    <w:rsid w:val="004E4549"/>
    <w:rsid w:val="004E4C83"/>
    <w:rsid w:val="004E4D53"/>
    <w:rsid w:val="004E4D84"/>
    <w:rsid w:val="004E4EBC"/>
    <w:rsid w:val="004E5104"/>
    <w:rsid w:val="004E5AAC"/>
    <w:rsid w:val="004E5B06"/>
    <w:rsid w:val="004E5FA8"/>
    <w:rsid w:val="004E6358"/>
    <w:rsid w:val="004E65E4"/>
    <w:rsid w:val="004E684C"/>
    <w:rsid w:val="004E6FF1"/>
    <w:rsid w:val="004E76DB"/>
    <w:rsid w:val="004F040C"/>
    <w:rsid w:val="004F0E4B"/>
    <w:rsid w:val="004F1F90"/>
    <w:rsid w:val="004F2401"/>
    <w:rsid w:val="004F2A44"/>
    <w:rsid w:val="004F2DAD"/>
    <w:rsid w:val="004F34F7"/>
    <w:rsid w:val="004F55D6"/>
    <w:rsid w:val="004F565A"/>
    <w:rsid w:val="004F571B"/>
    <w:rsid w:val="004F5BE4"/>
    <w:rsid w:val="004F5E70"/>
    <w:rsid w:val="004F61AD"/>
    <w:rsid w:val="004F64EB"/>
    <w:rsid w:val="004F7A74"/>
    <w:rsid w:val="00500250"/>
    <w:rsid w:val="00500264"/>
    <w:rsid w:val="00500824"/>
    <w:rsid w:val="00500874"/>
    <w:rsid w:val="00500DAB"/>
    <w:rsid w:val="00501144"/>
    <w:rsid w:val="005013EF"/>
    <w:rsid w:val="005019E0"/>
    <w:rsid w:val="0050211F"/>
    <w:rsid w:val="005022E7"/>
    <w:rsid w:val="00502A93"/>
    <w:rsid w:val="005037F9"/>
    <w:rsid w:val="00505527"/>
    <w:rsid w:val="00505A44"/>
    <w:rsid w:val="00505C23"/>
    <w:rsid w:val="00506083"/>
    <w:rsid w:val="00506605"/>
    <w:rsid w:val="005068D6"/>
    <w:rsid w:val="00506B86"/>
    <w:rsid w:val="00506EEC"/>
    <w:rsid w:val="00506FD4"/>
    <w:rsid w:val="00507756"/>
    <w:rsid w:val="005107FF"/>
    <w:rsid w:val="00510CBC"/>
    <w:rsid w:val="0051102D"/>
    <w:rsid w:val="005112A5"/>
    <w:rsid w:val="00511F48"/>
    <w:rsid w:val="00512390"/>
    <w:rsid w:val="00512448"/>
    <w:rsid w:val="0051253A"/>
    <w:rsid w:val="0051266C"/>
    <w:rsid w:val="00512CC0"/>
    <w:rsid w:val="00513978"/>
    <w:rsid w:val="00513B72"/>
    <w:rsid w:val="00515277"/>
    <w:rsid w:val="005158C2"/>
    <w:rsid w:val="005163BD"/>
    <w:rsid w:val="005169DE"/>
    <w:rsid w:val="0051754D"/>
    <w:rsid w:val="0051785D"/>
    <w:rsid w:val="00517913"/>
    <w:rsid w:val="00520044"/>
    <w:rsid w:val="0052005F"/>
    <w:rsid w:val="00520200"/>
    <w:rsid w:val="00520E2D"/>
    <w:rsid w:val="00520F04"/>
    <w:rsid w:val="005212BA"/>
    <w:rsid w:val="00521535"/>
    <w:rsid w:val="00521717"/>
    <w:rsid w:val="005224B2"/>
    <w:rsid w:val="00522A16"/>
    <w:rsid w:val="00522AFA"/>
    <w:rsid w:val="00522DDB"/>
    <w:rsid w:val="00523B23"/>
    <w:rsid w:val="00523DFA"/>
    <w:rsid w:val="005254BC"/>
    <w:rsid w:val="005256FC"/>
    <w:rsid w:val="00526350"/>
    <w:rsid w:val="00526C27"/>
    <w:rsid w:val="00526DFF"/>
    <w:rsid w:val="00527473"/>
    <w:rsid w:val="00527EF9"/>
    <w:rsid w:val="005305FF"/>
    <w:rsid w:val="0053084C"/>
    <w:rsid w:val="00530C9B"/>
    <w:rsid w:val="00532334"/>
    <w:rsid w:val="005324AF"/>
    <w:rsid w:val="00533432"/>
    <w:rsid w:val="0053402C"/>
    <w:rsid w:val="00534090"/>
    <w:rsid w:val="005348F2"/>
    <w:rsid w:val="00534ABA"/>
    <w:rsid w:val="00535FFF"/>
    <w:rsid w:val="0053616F"/>
    <w:rsid w:val="005368AD"/>
    <w:rsid w:val="005370BC"/>
    <w:rsid w:val="00537B35"/>
    <w:rsid w:val="00537DE7"/>
    <w:rsid w:val="00537EC4"/>
    <w:rsid w:val="00537FE4"/>
    <w:rsid w:val="005401C8"/>
    <w:rsid w:val="0054027D"/>
    <w:rsid w:val="00541222"/>
    <w:rsid w:val="00541A8D"/>
    <w:rsid w:val="00544DA0"/>
    <w:rsid w:val="005454BD"/>
    <w:rsid w:val="005457E4"/>
    <w:rsid w:val="00545EFA"/>
    <w:rsid w:val="00546109"/>
    <w:rsid w:val="00546C49"/>
    <w:rsid w:val="0055010B"/>
    <w:rsid w:val="005503EF"/>
    <w:rsid w:val="00550D59"/>
    <w:rsid w:val="0055110D"/>
    <w:rsid w:val="00551C03"/>
    <w:rsid w:val="00551F81"/>
    <w:rsid w:val="0055210F"/>
    <w:rsid w:val="00552CD7"/>
    <w:rsid w:val="005533BE"/>
    <w:rsid w:val="00553FE8"/>
    <w:rsid w:val="00554640"/>
    <w:rsid w:val="00554B30"/>
    <w:rsid w:val="00554FFB"/>
    <w:rsid w:val="0055530A"/>
    <w:rsid w:val="005568DE"/>
    <w:rsid w:val="00557454"/>
    <w:rsid w:val="00557C50"/>
    <w:rsid w:val="005606B6"/>
    <w:rsid w:val="005608D6"/>
    <w:rsid w:val="00560F19"/>
    <w:rsid w:val="005616EF"/>
    <w:rsid w:val="00561E6B"/>
    <w:rsid w:val="005621D2"/>
    <w:rsid w:val="005621E0"/>
    <w:rsid w:val="00562D90"/>
    <w:rsid w:val="00563A23"/>
    <w:rsid w:val="00563A5A"/>
    <w:rsid w:val="00563C61"/>
    <w:rsid w:val="00563ECB"/>
    <w:rsid w:val="00563F47"/>
    <w:rsid w:val="005640BB"/>
    <w:rsid w:val="0056498E"/>
    <w:rsid w:val="00564C23"/>
    <w:rsid w:val="00565406"/>
    <w:rsid w:val="00565570"/>
    <w:rsid w:val="005657DD"/>
    <w:rsid w:val="00565B29"/>
    <w:rsid w:val="005664CC"/>
    <w:rsid w:val="0056664B"/>
    <w:rsid w:val="00566EC6"/>
    <w:rsid w:val="00567588"/>
    <w:rsid w:val="00567992"/>
    <w:rsid w:val="00567C3C"/>
    <w:rsid w:val="00567F5E"/>
    <w:rsid w:val="005702F8"/>
    <w:rsid w:val="00571231"/>
    <w:rsid w:val="00571767"/>
    <w:rsid w:val="00571E44"/>
    <w:rsid w:val="00572628"/>
    <w:rsid w:val="00573E61"/>
    <w:rsid w:val="0057411B"/>
    <w:rsid w:val="005744FE"/>
    <w:rsid w:val="00574525"/>
    <w:rsid w:val="00574778"/>
    <w:rsid w:val="0057498F"/>
    <w:rsid w:val="00574DE9"/>
    <w:rsid w:val="0057521E"/>
    <w:rsid w:val="00575DF4"/>
    <w:rsid w:val="005770A4"/>
    <w:rsid w:val="0057765D"/>
    <w:rsid w:val="005777FC"/>
    <w:rsid w:val="00577FC7"/>
    <w:rsid w:val="005808EB"/>
    <w:rsid w:val="00580D37"/>
    <w:rsid w:val="00580E6F"/>
    <w:rsid w:val="0058156C"/>
    <w:rsid w:val="005815BF"/>
    <w:rsid w:val="00581FA0"/>
    <w:rsid w:val="00582B90"/>
    <w:rsid w:val="005831A7"/>
    <w:rsid w:val="00583321"/>
    <w:rsid w:val="0058341E"/>
    <w:rsid w:val="00584F3A"/>
    <w:rsid w:val="005853AB"/>
    <w:rsid w:val="00585748"/>
    <w:rsid w:val="005859C5"/>
    <w:rsid w:val="00585C79"/>
    <w:rsid w:val="00586144"/>
    <w:rsid w:val="00586DA6"/>
    <w:rsid w:val="00587785"/>
    <w:rsid w:val="0058788D"/>
    <w:rsid w:val="00587E29"/>
    <w:rsid w:val="00587FE6"/>
    <w:rsid w:val="00591698"/>
    <w:rsid w:val="00593B87"/>
    <w:rsid w:val="00593C1C"/>
    <w:rsid w:val="00593E94"/>
    <w:rsid w:val="00593EDD"/>
    <w:rsid w:val="00594143"/>
    <w:rsid w:val="00594543"/>
    <w:rsid w:val="00594612"/>
    <w:rsid w:val="00595873"/>
    <w:rsid w:val="00595CDD"/>
    <w:rsid w:val="005964BB"/>
    <w:rsid w:val="00596A70"/>
    <w:rsid w:val="00596BD3"/>
    <w:rsid w:val="00596BE7"/>
    <w:rsid w:val="00596C3E"/>
    <w:rsid w:val="00596F01"/>
    <w:rsid w:val="005977DD"/>
    <w:rsid w:val="005A04BD"/>
    <w:rsid w:val="005A0962"/>
    <w:rsid w:val="005A0A3F"/>
    <w:rsid w:val="005A114F"/>
    <w:rsid w:val="005A1F49"/>
    <w:rsid w:val="005A2364"/>
    <w:rsid w:val="005A2480"/>
    <w:rsid w:val="005A2B2C"/>
    <w:rsid w:val="005A2D6B"/>
    <w:rsid w:val="005A3252"/>
    <w:rsid w:val="005A33F7"/>
    <w:rsid w:val="005A3998"/>
    <w:rsid w:val="005A40CF"/>
    <w:rsid w:val="005A4681"/>
    <w:rsid w:val="005A4A9C"/>
    <w:rsid w:val="005A4BAE"/>
    <w:rsid w:val="005A4F39"/>
    <w:rsid w:val="005A574D"/>
    <w:rsid w:val="005A5B5C"/>
    <w:rsid w:val="005A6E93"/>
    <w:rsid w:val="005A707A"/>
    <w:rsid w:val="005A7340"/>
    <w:rsid w:val="005A7F93"/>
    <w:rsid w:val="005B07EA"/>
    <w:rsid w:val="005B0B20"/>
    <w:rsid w:val="005B0BD6"/>
    <w:rsid w:val="005B0D3E"/>
    <w:rsid w:val="005B0E5F"/>
    <w:rsid w:val="005B0EFB"/>
    <w:rsid w:val="005B1060"/>
    <w:rsid w:val="005B12B9"/>
    <w:rsid w:val="005B17C1"/>
    <w:rsid w:val="005B17F7"/>
    <w:rsid w:val="005B1850"/>
    <w:rsid w:val="005B3737"/>
    <w:rsid w:val="005B3A42"/>
    <w:rsid w:val="005B4450"/>
    <w:rsid w:val="005B5D40"/>
    <w:rsid w:val="005B5EFC"/>
    <w:rsid w:val="005B6412"/>
    <w:rsid w:val="005B6698"/>
    <w:rsid w:val="005B68A7"/>
    <w:rsid w:val="005B6AC3"/>
    <w:rsid w:val="005B6BC3"/>
    <w:rsid w:val="005C055E"/>
    <w:rsid w:val="005C0FA1"/>
    <w:rsid w:val="005C1615"/>
    <w:rsid w:val="005C1D98"/>
    <w:rsid w:val="005C1DA5"/>
    <w:rsid w:val="005C23BB"/>
    <w:rsid w:val="005C2559"/>
    <w:rsid w:val="005C2873"/>
    <w:rsid w:val="005C2C1A"/>
    <w:rsid w:val="005C2FC7"/>
    <w:rsid w:val="005C34FC"/>
    <w:rsid w:val="005C38C2"/>
    <w:rsid w:val="005C3B5C"/>
    <w:rsid w:val="005C3C7F"/>
    <w:rsid w:val="005C5143"/>
    <w:rsid w:val="005C5639"/>
    <w:rsid w:val="005C5742"/>
    <w:rsid w:val="005C760E"/>
    <w:rsid w:val="005C7E9E"/>
    <w:rsid w:val="005D1027"/>
    <w:rsid w:val="005D17C2"/>
    <w:rsid w:val="005D18C9"/>
    <w:rsid w:val="005D1B72"/>
    <w:rsid w:val="005D1FA3"/>
    <w:rsid w:val="005D2471"/>
    <w:rsid w:val="005D25A3"/>
    <w:rsid w:val="005D2779"/>
    <w:rsid w:val="005D2F9F"/>
    <w:rsid w:val="005D3242"/>
    <w:rsid w:val="005D423A"/>
    <w:rsid w:val="005D610C"/>
    <w:rsid w:val="005D64D0"/>
    <w:rsid w:val="005D70A8"/>
    <w:rsid w:val="005D74E7"/>
    <w:rsid w:val="005D7F7B"/>
    <w:rsid w:val="005E3BCD"/>
    <w:rsid w:val="005E4A87"/>
    <w:rsid w:val="005E4DA5"/>
    <w:rsid w:val="005E503E"/>
    <w:rsid w:val="005E59C7"/>
    <w:rsid w:val="005E5E7B"/>
    <w:rsid w:val="005E6095"/>
    <w:rsid w:val="005E681E"/>
    <w:rsid w:val="005E694B"/>
    <w:rsid w:val="005E6A3F"/>
    <w:rsid w:val="005E6DB8"/>
    <w:rsid w:val="005E6E08"/>
    <w:rsid w:val="005E6F0B"/>
    <w:rsid w:val="005E7228"/>
    <w:rsid w:val="005E7284"/>
    <w:rsid w:val="005E7457"/>
    <w:rsid w:val="005E7BAC"/>
    <w:rsid w:val="005E7E4A"/>
    <w:rsid w:val="005F0E5C"/>
    <w:rsid w:val="005F134E"/>
    <w:rsid w:val="005F1365"/>
    <w:rsid w:val="005F142D"/>
    <w:rsid w:val="005F2C1F"/>
    <w:rsid w:val="005F2E44"/>
    <w:rsid w:val="005F2E8D"/>
    <w:rsid w:val="005F3569"/>
    <w:rsid w:val="005F3690"/>
    <w:rsid w:val="005F3986"/>
    <w:rsid w:val="005F461C"/>
    <w:rsid w:val="005F4C57"/>
    <w:rsid w:val="005F664F"/>
    <w:rsid w:val="005F6774"/>
    <w:rsid w:val="005F6A0D"/>
    <w:rsid w:val="005F79AA"/>
    <w:rsid w:val="00600234"/>
    <w:rsid w:val="0060044B"/>
    <w:rsid w:val="006013D7"/>
    <w:rsid w:val="006014DB"/>
    <w:rsid w:val="00601587"/>
    <w:rsid w:val="00602079"/>
    <w:rsid w:val="006022F3"/>
    <w:rsid w:val="00602579"/>
    <w:rsid w:val="00602723"/>
    <w:rsid w:val="00602BA4"/>
    <w:rsid w:val="00602DA2"/>
    <w:rsid w:val="00602FF4"/>
    <w:rsid w:val="00603228"/>
    <w:rsid w:val="00604ACD"/>
    <w:rsid w:val="00604C15"/>
    <w:rsid w:val="00604DC2"/>
    <w:rsid w:val="00604F6B"/>
    <w:rsid w:val="006060C4"/>
    <w:rsid w:val="0060656A"/>
    <w:rsid w:val="00607736"/>
    <w:rsid w:val="00607C35"/>
    <w:rsid w:val="00607DD7"/>
    <w:rsid w:val="00607F68"/>
    <w:rsid w:val="00611777"/>
    <w:rsid w:val="0061189F"/>
    <w:rsid w:val="00611EC9"/>
    <w:rsid w:val="0061219B"/>
    <w:rsid w:val="00612D05"/>
    <w:rsid w:val="00612D62"/>
    <w:rsid w:val="00613FB6"/>
    <w:rsid w:val="006140C6"/>
    <w:rsid w:val="00614134"/>
    <w:rsid w:val="00614241"/>
    <w:rsid w:val="0061428D"/>
    <w:rsid w:val="00615411"/>
    <w:rsid w:val="0061599E"/>
    <w:rsid w:val="00615AC7"/>
    <w:rsid w:val="00615C4E"/>
    <w:rsid w:val="006162E6"/>
    <w:rsid w:val="00616B31"/>
    <w:rsid w:val="006171A5"/>
    <w:rsid w:val="00620309"/>
    <w:rsid w:val="00621220"/>
    <w:rsid w:val="0062159D"/>
    <w:rsid w:val="00621680"/>
    <w:rsid w:val="00621EC5"/>
    <w:rsid w:val="006223E0"/>
    <w:rsid w:val="006224D0"/>
    <w:rsid w:val="00622BCE"/>
    <w:rsid w:val="00622E29"/>
    <w:rsid w:val="00623643"/>
    <w:rsid w:val="00624018"/>
    <w:rsid w:val="006240C4"/>
    <w:rsid w:val="0062437C"/>
    <w:rsid w:val="00625304"/>
    <w:rsid w:val="0062581B"/>
    <w:rsid w:val="006261F4"/>
    <w:rsid w:val="0062636B"/>
    <w:rsid w:val="0063164E"/>
    <w:rsid w:val="0063191D"/>
    <w:rsid w:val="00631AFA"/>
    <w:rsid w:val="00632427"/>
    <w:rsid w:val="00633488"/>
    <w:rsid w:val="00633581"/>
    <w:rsid w:val="006339AF"/>
    <w:rsid w:val="00633C47"/>
    <w:rsid w:val="006348F7"/>
    <w:rsid w:val="0063494A"/>
    <w:rsid w:val="0063512D"/>
    <w:rsid w:val="006358BF"/>
    <w:rsid w:val="006358FB"/>
    <w:rsid w:val="00635AE2"/>
    <w:rsid w:val="00635E1E"/>
    <w:rsid w:val="0063677C"/>
    <w:rsid w:val="00636972"/>
    <w:rsid w:val="00636B69"/>
    <w:rsid w:val="00636BC2"/>
    <w:rsid w:val="00637B99"/>
    <w:rsid w:val="0064036C"/>
    <w:rsid w:val="006404D1"/>
    <w:rsid w:val="00640F43"/>
    <w:rsid w:val="006412CA"/>
    <w:rsid w:val="0064145E"/>
    <w:rsid w:val="00641AC6"/>
    <w:rsid w:val="006420DA"/>
    <w:rsid w:val="00642A0A"/>
    <w:rsid w:val="0064352E"/>
    <w:rsid w:val="00643AC1"/>
    <w:rsid w:val="00643D62"/>
    <w:rsid w:val="0064473C"/>
    <w:rsid w:val="00644A5E"/>
    <w:rsid w:val="00644A6C"/>
    <w:rsid w:val="00644D69"/>
    <w:rsid w:val="00644DA5"/>
    <w:rsid w:val="006457A8"/>
    <w:rsid w:val="00645EA0"/>
    <w:rsid w:val="00645F76"/>
    <w:rsid w:val="00646EB0"/>
    <w:rsid w:val="0064714D"/>
    <w:rsid w:val="0064727D"/>
    <w:rsid w:val="00647586"/>
    <w:rsid w:val="006479D4"/>
    <w:rsid w:val="00647B32"/>
    <w:rsid w:val="00647C27"/>
    <w:rsid w:val="00650B5F"/>
    <w:rsid w:val="006519E6"/>
    <w:rsid w:val="00651A05"/>
    <w:rsid w:val="00651CDE"/>
    <w:rsid w:val="00652326"/>
    <w:rsid w:val="00652907"/>
    <w:rsid w:val="00652E06"/>
    <w:rsid w:val="00653B1F"/>
    <w:rsid w:val="00653FC4"/>
    <w:rsid w:val="00654F91"/>
    <w:rsid w:val="00655361"/>
    <w:rsid w:val="006556BF"/>
    <w:rsid w:val="00656253"/>
    <w:rsid w:val="00656799"/>
    <w:rsid w:val="00656B77"/>
    <w:rsid w:val="00656E72"/>
    <w:rsid w:val="006578A1"/>
    <w:rsid w:val="00660699"/>
    <w:rsid w:val="0066137B"/>
    <w:rsid w:val="0066174E"/>
    <w:rsid w:val="00661BBB"/>
    <w:rsid w:val="00661E57"/>
    <w:rsid w:val="0066225F"/>
    <w:rsid w:val="006629E4"/>
    <w:rsid w:val="0066306C"/>
    <w:rsid w:val="00663173"/>
    <w:rsid w:val="0066332F"/>
    <w:rsid w:val="00663783"/>
    <w:rsid w:val="00663E47"/>
    <w:rsid w:val="006644A7"/>
    <w:rsid w:val="00664BDE"/>
    <w:rsid w:val="0066565B"/>
    <w:rsid w:val="00665C44"/>
    <w:rsid w:val="00666284"/>
    <w:rsid w:val="006667F3"/>
    <w:rsid w:val="00667AEA"/>
    <w:rsid w:val="006704FA"/>
    <w:rsid w:val="00670687"/>
    <w:rsid w:val="00670DC5"/>
    <w:rsid w:val="0067133A"/>
    <w:rsid w:val="00671652"/>
    <w:rsid w:val="00671FAA"/>
    <w:rsid w:val="00675DA5"/>
    <w:rsid w:val="0067697A"/>
    <w:rsid w:val="00676EC8"/>
    <w:rsid w:val="00677B49"/>
    <w:rsid w:val="00677DB2"/>
    <w:rsid w:val="00680482"/>
    <w:rsid w:val="006805C7"/>
    <w:rsid w:val="006808DC"/>
    <w:rsid w:val="006809B3"/>
    <w:rsid w:val="006814DB"/>
    <w:rsid w:val="006816B6"/>
    <w:rsid w:val="0068183C"/>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6DBC"/>
    <w:rsid w:val="006871D0"/>
    <w:rsid w:val="0068751F"/>
    <w:rsid w:val="006900D1"/>
    <w:rsid w:val="00690297"/>
    <w:rsid w:val="00690D36"/>
    <w:rsid w:val="00690D99"/>
    <w:rsid w:val="0069115A"/>
    <w:rsid w:val="006912F1"/>
    <w:rsid w:val="00691387"/>
    <w:rsid w:val="006927F2"/>
    <w:rsid w:val="006931E1"/>
    <w:rsid w:val="00694310"/>
    <w:rsid w:val="00694700"/>
    <w:rsid w:val="00694803"/>
    <w:rsid w:val="00694CE8"/>
    <w:rsid w:val="0069569E"/>
    <w:rsid w:val="006956C6"/>
    <w:rsid w:val="00695E1F"/>
    <w:rsid w:val="00696EE3"/>
    <w:rsid w:val="0069715D"/>
    <w:rsid w:val="00697392"/>
    <w:rsid w:val="006973E5"/>
    <w:rsid w:val="00697664"/>
    <w:rsid w:val="00697681"/>
    <w:rsid w:val="0069770C"/>
    <w:rsid w:val="006A08F2"/>
    <w:rsid w:val="006A14FE"/>
    <w:rsid w:val="006A151A"/>
    <w:rsid w:val="006A1E62"/>
    <w:rsid w:val="006A2A12"/>
    <w:rsid w:val="006A2E20"/>
    <w:rsid w:val="006A2E9C"/>
    <w:rsid w:val="006A35E0"/>
    <w:rsid w:val="006A377F"/>
    <w:rsid w:val="006A384A"/>
    <w:rsid w:val="006A3875"/>
    <w:rsid w:val="006A3D40"/>
    <w:rsid w:val="006A561D"/>
    <w:rsid w:val="006A5A0C"/>
    <w:rsid w:val="006A5BA0"/>
    <w:rsid w:val="006A5BB1"/>
    <w:rsid w:val="006A5F88"/>
    <w:rsid w:val="006A7D95"/>
    <w:rsid w:val="006B0BFD"/>
    <w:rsid w:val="006B120D"/>
    <w:rsid w:val="006B13C1"/>
    <w:rsid w:val="006B2CC7"/>
    <w:rsid w:val="006B3AF9"/>
    <w:rsid w:val="006B40EA"/>
    <w:rsid w:val="006B44C5"/>
    <w:rsid w:val="006B509B"/>
    <w:rsid w:val="006B555F"/>
    <w:rsid w:val="006B6242"/>
    <w:rsid w:val="006B6C7C"/>
    <w:rsid w:val="006B6EA4"/>
    <w:rsid w:val="006B77BB"/>
    <w:rsid w:val="006B7D77"/>
    <w:rsid w:val="006B7F8F"/>
    <w:rsid w:val="006B7FC5"/>
    <w:rsid w:val="006C055E"/>
    <w:rsid w:val="006C0D13"/>
    <w:rsid w:val="006C14D5"/>
    <w:rsid w:val="006C187F"/>
    <w:rsid w:val="006C19BC"/>
    <w:rsid w:val="006C19D5"/>
    <w:rsid w:val="006C1B44"/>
    <w:rsid w:val="006C1F77"/>
    <w:rsid w:val="006C2211"/>
    <w:rsid w:val="006C3031"/>
    <w:rsid w:val="006C3607"/>
    <w:rsid w:val="006C3752"/>
    <w:rsid w:val="006C3990"/>
    <w:rsid w:val="006C3ED2"/>
    <w:rsid w:val="006C4233"/>
    <w:rsid w:val="006C42E7"/>
    <w:rsid w:val="006C4422"/>
    <w:rsid w:val="006C5A5E"/>
    <w:rsid w:val="006C5CCA"/>
    <w:rsid w:val="006C625F"/>
    <w:rsid w:val="006C6560"/>
    <w:rsid w:val="006C6EAB"/>
    <w:rsid w:val="006C78A6"/>
    <w:rsid w:val="006C7AB4"/>
    <w:rsid w:val="006D006B"/>
    <w:rsid w:val="006D105C"/>
    <w:rsid w:val="006D18B7"/>
    <w:rsid w:val="006D30E7"/>
    <w:rsid w:val="006D384C"/>
    <w:rsid w:val="006D48E7"/>
    <w:rsid w:val="006D4947"/>
    <w:rsid w:val="006D4B00"/>
    <w:rsid w:val="006D5E23"/>
    <w:rsid w:val="006D5F16"/>
    <w:rsid w:val="006D63AD"/>
    <w:rsid w:val="006D66DD"/>
    <w:rsid w:val="006D6764"/>
    <w:rsid w:val="006D67D9"/>
    <w:rsid w:val="006D6C93"/>
    <w:rsid w:val="006D7573"/>
    <w:rsid w:val="006E0340"/>
    <w:rsid w:val="006E06F9"/>
    <w:rsid w:val="006E07A9"/>
    <w:rsid w:val="006E0D91"/>
    <w:rsid w:val="006E1706"/>
    <w:rsid w:val="006E3CB2"/>
    <w:rsid w:val="006E3DA8"/>
    <w:rsid w:val="006E5A8A"/>
    <w:rsid w:val="006E5DAA"/>
    <w:rsid w:val="006E6A07"/>
    <w:rsid w:val="006E7006"/>
    <w:rsid w:val="006F00E7"/>
    <w:rsid w:val="006F0561"/>
    <w:rsid w:val="006F0F6E"/>
    <w:rsid w:val="006F1B22"/>
    <w:rsid w:val="006F1BA4"/>
    <w:rsid w:val="006F2259"/>
    <w:rsid w:val="006F23E1"/>
    <w:rsid w:val="006F2F8F"/>
    <w:rsid w:val="006F2FDA"/>
    <w:rsid w:val="006F2FE5"/>
    <w:rsid w:val="006F3460"/>
    <w:rsid w:val="006F34FE"/>
    <w:rsid w:val="006F3615"/>
    <w:rsid w:val="006F3FA3"/>
    <w:rsid w:val="006F4172"/>
    <w:rsid w:val="006F48BA"/>
    <w:rsid w:val="006F4AF9"/>
    <w:rsid w:val="006F54EB"/>
    <w:rsid w:val="006F5B82"/>
    <w:rsid w:val="006F5C3C"/>
    <w:rsid w:val="006F5CC1"/>
    <w:rsid w:val="006F61BA"/>
    <w:rsid w:val="006F67A5"/>
    <w:rsid w:val="006F762D"/>
    <w:rsid w:val="00700492"/>
    <w:rsid w:val="007013EC"/>
    <w:rsid w:val="0070167E"/>
    <w:rsid w:val="00701E1B"/>
    <w:rsid w:val="00702ED0"/>
    <w:rsid w:val="00703C09"/>
    <w:rsid w:val="0070434A"/>
    <w:rsid w:val="007048C4"/>
    <w:rsid w:val="00704CC4"/>
    <w:rsid w:val="00705345"/>
    <w:rsid w:val="0070638D"/>
    <w:rsid w:val="00706DBF"/>
    <w:rsid w:val="007078D3"/>
    <w:rsid w:val="00707A59"/>
    <w:rsid w:val="00707BE2"/>
    <w:rsid w:val="0071046B"/>
    <w:rsid w:val="00710AC6"/>
    <w:rsid w:val="00710C1D"/>
    <w:rsid w:val="00710C7B"/>
    <w:rsid w:val="007110A3"/>
    <w:rsid w:val="00711108"/>
    <w:rsid w:val="00711213"/>
    <w:rsid w:val="007112A1"/>
    <w:rsid w:val="00711996"/>
    <w:rsid w:val="00711B3B"/>
    <w:rsid w:val="00711BA3"/>
    <w:rsid w:val="00711C9D"/>
    <w:rsid w:val="00712B71"/>
    <w:rsid w:val="00712E55"/>
    <w:rsid w:val="00713023"/>
    <w:rsid w:val="0071322C"/>
    <w:rsid w:val="00713779"/>
    <w:rsid w:val="00713922"/>
    <w:rsid w:val="00713989"/>
    <w:rsid w:val="00713BAB"/>
    <w:rsid w:val="00713DCF"/>
    <w:rsid w:val="00714004"/>
    <w:rsid w:val="0071458E"/>
    <w:rsid w:val="007145C9"/>
    <w:rsid w:val="00714631"/>
    <w:rsid w:val="00714B6E"/>
    <w:rsid w:val="007150B9"/>
    <w:rsid w:val="0071512F"/>
    <w:rsid w:val="0071651C"/>
    <w:rsid w:val="007169AC"/>
    <w:rsid w:val="007169DD"/>
    <w:rsid w:val="0071762B"/>
    <w:rsid w:val="00717679"/>
    <w:rsid w:val="0071778A"/>
    <w:rsid w:val="00717B67"/>
    <w:rsid w:val="007206A2"/>
    <w:rsid w:val="00720B38"/>
    <w:rsid w:val="00720CA7"/>
    <w:rsid w:val="0072147B"/>
    <w:rsid w:val="0072181E"/>
    <w:rsid w:val="00721FBE"/>
    <w:rsid w:val="00722219"/>
    <w:rsid w:val="00722267"/>
    <w:rsid w:val="0072285E"/>
    <w:rsid w:val="00722C62"/>
    <w:rsid w:val="00722F48"/>
    <w:rsid w:val="0072321F"/>
    <w:rsid w:val="00723295"/>
    <w:rsid w:val="007238E2"/>
    <w:rsid w:val="0072395F"/>
    <w:rsid w:val="007239B4"/>
    <w:rsid w:val="00724446"/>
    <w:rsid w:val="00724584"/>
    <w:rsid w:val="00724AA1"/>
    <w:rsid w:val="00724D39"/>
    <w:rsid w:val="007257DF"/>
    <w:rsid w:val="00725989"/>
    <w:rsid w:val="00725A19"/>
    <w:rsid w:val="00725BC3"/>
    <w:rsid w:val="00726356"/>
    <w:rsid w:val="007268C7"/>
    <w:rsid w:val="00726AAB"/>
    <w:rsid w:val="00727077"/>
    <w:rsid w:val="00730EA6"/>
    <w:rsid w:val="00731C15"/>
    <w:rsid w:val="00732045"/>
    <w:rsid w:val="007322A0"/>
    <w:rsid w:val="00732C1A"/>
    <w:rsid w:val="00733CDC"/>
    <w:rsid w:val="0073408A"/>
    <w:rsid w:val="00734B9A"/>
    <w:rsid w:val="00735695"/>
    <w:rsid w:val="007360CB"/>
    <w:rsid w:val="00737566"/>
    <w:rsid w:val="00737961"/>
    <w:rsid w:val="007401B3"/>
    <w:rsid w:val="00741BA2"/>
    <w:rsid w:val="00741CF4"/>
    <w:rsid w:val="00741DCC"/>
    <w:rsid w:val="00741DE2"/>
    <w:rsid w:val="007421A1"/>
    <w:rsid w:val="007427FE"/>
    <w:rsid w:val="00742C51"/>
    <w:rsid w:val="00743445"/>
    <w:rsid w:val="007434C2"/>
    <w:rsid w:val="00745E01"/>
    <w:rsid w:val="0074666B"/>
    <w:rsid w:val="007466E9"/>
    <w:rsid w:val="007468D6"/>
    <w:rsid w:val="00746BFF"/>
    <w:rsid w:val="007473E1"/>
    <w:rsid w:val="0074783E"/>
    <w:rsid w:val="00747897"/>
    <w:rsid w:val="00747E47"/>
    <w:rsid w:val="00750192"/>
    <w:rsid w:val="007504E1"/>
    <w:rsid w:val="00750544"/>
    <w:rsid w:val="00750804"/>
    <w:rsid w:val="007509AB"/>
    <w:rsid w:val="00751689"/>
    <w:rsid w:val="007524AA"/>
    <w:rsid w:val="00753744"/>
    <w:rsid w:val="00753A93"/>
    <w:rsid w:val="00754FE4"/>
    <w:rsid w:val="00755049"/>
    <w:rsid w:val="00755663"/>
    <w:rsid w:val="00756386"/>
    <w:rsid w:val="007563E7"/>
    <w:rsid w:val="00756418"/>
    <w:rsid w:val="00756603"/>
    <w:rsid w:val="007570DC"/>
    <w:rsid w:val="007575C0"/>
    <w:rsid w:val="0075765B"/>
    <w:rsid w:val="00757D2F"/>
    <w:rsid w:val="0076000E"/>
    <w:rsid w:val="00760C00"/>
    <w:rsid w:val="007610E9"/>
    <w:rsid w:val="00761728"/>
    <w:rsid w:val="00761BFD"/>
    <w:rsid w:val="00761C6C"/>
    <w:rsid w:val="00762B72"/>
    <w:rsid w:val="0076327A"/>
    <w:rsid w:val="0076330E"/>
    <w:rsid w:val="0076379C"/>
    <w:rsid w:val="00763CCB"/>
    <w:rsid w:val="007642B4"/>
    <w:rsid w:val="00764C45"/>
    <w:rsid w:val="00766277"/>
    <w:rsid w:val="0076628B"/>
    <w:rsid w:val="0076656A"/>
    <w:rsid w:val="00766701"/>
    <w:rsid w:val="00766911"/>
    <w:rsid w:val="00767765"/>
    <w:rsid w:val="00767793"/>
    <w:rsid w:val="007679D8"/>
    <w:rsid w:val="00770803"/>
    <w:rsid w:val="00771319"/>
    <w:rsid w:val="007713E8"/>
    <w:rsid w:val="00771794"/>
    <w:rsid w:val="00771CCF"/>
    <w:rsid w:val="00771F7D"/>
    <w:rsid w:val="00772C3E"/>
    <w:rsid w:val="007736E8"/>
    <w:rsid w:val="0077370C"/>
    <w:rsid w:val="007741D7"/>
    <w:rsid w:val="007743CC"/>
    <w:rsid w:val="00774ACE"/>
    <w:rsid w:val="00774C72"/>
    <w:rsid w:val="00775823"/>
    <w:rsid w:val="00775F57"/>
    <w:rsid w:val="00776584"/>
    <w:rsid w:val="007769EF"/>
    <w:rsid w:val="00776D4F"/>
    <w:rsid w:val="00776DDC"/>
    <w:rsid w:val="007770F9"/>
    <w:rsid w:val="00777179"/>
    <w:rsid w:val="00777945"/>
    <w:rsid w:val="00777D40"/>
    <w:rsid w:val="00777F01"/>
    <w:rsid w:val="007807DE"/>
    <w:rsid w:val="00780B8D"/>
    <w:rsid w:val="00780B8E"/>
    <w:rsid w:val="00781649"/>
    <w:rsid w:val="007823D6"/>
    <w:rsid w:val="0078254E"/>
    <w:rsid w:val="00782628"/>
    <w:rsid w:val="007826AB"/>
    <w:rsid w:val="007829B2"/>
    <w:rsid w:val="007833CA"/>
    <w:rsid w:val="00783B78"/>
    <w:rsid w:val="007840E2"/>
    <w:rsid w:val="00784E32"/>
    <w:rsid w:val="007854F5"/>
    <w:rsid w:val="0078569F"/>
    <w:rsid w:val="00785803"/>
    <w:rsid w:val="00785EB4"/>
    <w:rsid w:val="0078609A"/>
    <w:rsid w:val="00786103"/>
    <w:rsid w:val="00786307"/>
    <w:rsid w:val="00786F85"/>
    <w:rsid w:val="0078731A"/>
    <w:rsid w:val="00787487"/>
    <w:rsid w:val="00790305"/>
    <w:rsid w:val="007906F1"/>
    <w:rsid w:val="0079093C"/>
    <w:rsid w:val="00790EDA"/>
    <w:rsid w:val="00791349"/>
    <w:rsid w:val="00791D85"/>
    <w:rsid w:val="00791DAF"/>
    <w:rsid w:val="00792054"/>
    <w:rsid w:val="007924CA"/>
    <w:rsid w:val="00793952"/>
    <w:rsid w:val="00794CBF"/>
    <w:rsid w:val="0079512C"/>
    <w:rsid w:val="00795365"/>
    <w:rsid w:val="0079567E"/>
    <w:rsid w:val="00795B19"/>
    <w:rsid w:val="007961D5"/>
    <w:rsid w:val="00796A6F"/>
    <w:rsid w:val="00796C5D"/>
    <w:rsid w:val="00797B06"/>
    <w:rsid w:val="00797B9C"/>
    <w:rsid w:val="007A0483"/>
    <w:rsid w:val="007A0877"/>
    <w:rsid w:val="007A1065"/>
    <w:rsid w:val="007A18DC"/>
    <w:rsid w:val="007A1D86"/>
    <w:rsid w:val="007A2A97"/>
    <w:rsid w:val="007A2CDC"/>
    <w:rsid w:val="007A371B"/>
    <w:rsid w:val="007A3832"/>
    <w:rsid w:val="007A3A0F"/>
    <w:rsid w:val="007A3E60"/>
    <w:rsid w:val="007A407D"/>
    <w:rsid w:val="007A464F"/>
    <w:rsid w:val="007A58EA"/>
    <w:rsid w:val="007A6196"/>
    <w:rsid w:val="007A63D5"/>
    <w:rsid w:val="007A661B"/>
    <w:rsid w:val="007A6875"/>
    <w:rsid w:val="007A689A"/>
    <w:rsid w:val="007A68EA"/>
    <w:rsid w:val="007A6B14"/>
    <w:rsid w:val="007A6B7D"/>
    <w:rsid w:val="007A7629"/>
    <w:rsid w:val="007A7F81"/>
    <w:rsid w:val="007B1027"/>
    <w:rsid w:val="007B1691"/>
    <w:rsid w:val="007B174F"/>
    <w:rsid w:val="007B1863"/>
    <w:rsid w:val="007B22E0"/>
    <w:rsid w:val="007B238A"/>
    <w:rsid w:val="007B28CA"/>
    <w:rsid w:val="007B358D"/>
    <w:rsid w:val="007B37A9"/>
    <w:rsid w:val="007B3B67"/>
    <w:rsid w:val="007B5401"/>
    <w:rsid w:val="007B5FB4"/>
    <w:rsid w:val="007B6738"/>
    <w:rsid w:val="007B6B2B"/>
    <w:rsid w:val="007B741F"/>
    <w:rsid w:val="007B760D"/>
    <w:rsid w:val="007B7949"/>
    <w:rsid w:val="007B7D30"/>
    <w:rsid w:val="007C0FA9"/>
    <w:rsid w:val="007C1A5A"/>
    <w:rsid w:val="007C2413"/>
    <w:rsid w:val="007C25AE"/>
    <w:rsid w:val="007C2AB5"/>
    <w:rsid w:val="007C3152"/>
    <w:rsid w:val="007C333B"/>
    <w:rsid w:val="007C3476"/>
    <w:rsid w:val="007C351E"/>
    <w:rsid w:val="007C3914"/>
    <w:rsid w:val="007C3CEA"/>
    <w:rsid w:val="007C3D92"/>
    <w:rsid w:val="007C3E98"/>
    <w:rsid w:val="007C42A6"/>
    <w:rsid w:val="007C52A5"/>
    <w:rsid w:val="007C5A8F"/>
    <w:rsid w:val="007C5B38"/>
    <w:rsid w:val="007C74DF"/>
    <w:rsid w:val="007C76E8"/>
    <w:rsid w:val="007C7E28"/>
    <w:rsid w:val="007D01E6"/>
    <w:rsid w:val="007D035E"/>
    <w:rsid w:val="007D0396"/>
    <w:rsid w:val="007D0644"/>
    <w:rsid w:val="007D077F"/>
    <w:rsid w:val="007D0E4B"/>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2251"/>
    <w:rsid w:val="007E3882"/>
    <w:rsid w:val="007E3EE3"/>
    <w:rsid w:val="007E51FE"/>
    <w:rsid w:val="007E57DE"/>
    <w:rsid w:val="007E5902"/>
    <w:rsid w:val="007E6719"/>
    <w:rsid w:val="007E68ED"/>
    <w:rsid w:val="007E69ED"/>
    <w:rsid w:val="007E7B2D"/>
    <w:rsid w:val="007F01CE"/>
    <w:rsid w:val="007F0221"/>
    <w:rsid w:val="007F034B"/>
    <w:rsid w:val="007F07B9"/>
    <w:rsid w:val="007F0928"/>
    <w:rsid w:val="007F15CE"/>
    <w:rsid w:val="007F1E88"/>
    <w:rsid w:val="007F25BA"/>
    <w:rsid w:val="007F2CD7"/>
    <w:rsid w:val="007F3204"/>
    <w:rsid w:val="007F3568"/>
    <w:rsid w:val="007F3985"/>
    <w:rsid w:val="007F422D"/>
    <w:rsid w:val="007F4DBA"/>
    <w:rsid w:val="007F519C"/>
    <w:rsid w:val="007F534D"/>
    <w:rsid w:val="007F54A2"/>
    <w:rsid w:val="007F54FE"/>
    <w:rsid w:val="007F5535"/>
    <w:rsid w:val="007F5D32"/>
    <w:rsid w:val="007F6523"/>
    <w:rsid w:val="007F72DC"/>
    <w:rsid w:val="007F77E5"/>
    <w:rsid w:val="007F795F"/>
    <w:rsid w:val="0080069C"/>
    <w:rsid w:val="008006FD"/>
    <w:rsid w:val="008011C5"/>
    <w:rsid w:val="0080148D"/>
    <w:rsid w:val="0080156B"/>
    <w:rsid w:val="00801A3A"/>
    <w:rsid w:val="00802CDD"/>
    <w:rsid w:val="008040DB"/>
    <w:rsid w:val="00804114"/>
    <w:rsid w:val="008042A7"/>
    <w:rsid w:val="00804634"/>
    <w:rsid w:val="008047E8"/>
    <w:rsid w:val="0080531E"/>
    <w:rsid w:val="00805C3D"/>
    <w:rsid w:val="00806C82"/>
    <w:rsid w:val="00806F1D"/>
    <w:rsid w:val="008077ED"/>
    <w:rsid w:val="00807B6F"/>
    <w:rsid w:val="00807D7D"/>
    <w:rsid w:val="00807E93"/>
    <w:rsid w:val="00810172"/>
    <w:rsid w:val="00810762"/>
    <w:rsid w:val="00810858"/>
    <w:rsid w:val="00810EFF"/>
    <w:rsid w:val="00811314"/>
    <w:rsid w:val="0081151A"/>
    <w:rsid w:val="00811A39"/>
    <w:rsid w:val="0081291B"/>
    <w:rsid w:val="00813622"/>
    <w:rsid w:val="00813DCF"/>
    <w:rsid w:val="00813FAB"/>
    <w:rsid w:val="008144A0"/>
    <w:rsid w:val="0081498C"/>
    <w:rsid w:val="00814AE1"/>
    <w:rsid w:val="00815D31"/>
    <w:rsid w:val="0081601F"/>
    <w:rsid w:val="00816064"/>
    <w:rsid w:val="00816E7A"/>
    <w:rsid w:val="008174B2"/>
    <w:rsid w:val="00817CFF"/>
    <w:rsid w:val="00817F11"/>
    <w:rsid w:val="0082000D"/>
    <w:rsid w:val="0082037E"/>
    <w:rsid w:val="00820986"/>
    <w:rsid w:val="00820C9C"/>
    <w:rsid w:val="00820E6A"/>
    <w:rsid w:val="00820F55"/>
    <w:rsid w:val="00821572"/>
    <w:rsid w:val="008215D0"/>
    <w:rsid w:val="00822310"/>
    <w:rsid w:val="00823794"/>
    <w:rsid w:val="008237F4"/>
    <w:rsid w:val="00823F67"/>
    <w:rsid w:val="00824022"/>
    <w:rsid w:val="0082483A"/>
    <w:rsid w:val="00824A81"/>
    <w:rsid w:val="008253C2"/>
    <w:rsid w:val="008257B8"/>
    <w:rsid w:val="008260ED"/>
    <w:rsid w:val="0082699D"/>
    <w:rsid w:val="00826E6B"/>
    <w:rsid w:val="008275FD"/>
    <w:rsid w:val="00827F2D"/>
    <w:rsid w:val="00830BA1"/>
    <w:rsid w:val="00830EB2"/>
    <w:rsid w:val="00830EE3"/>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4B9"/>
    <w:rsid w:val="008409BB"/>
    <w:rsid w:val="0084184A"/>
    <w:rsid w:val="008423F2"/>
    <w:rsid w:val="00842A30"/>
    <w:rsid w:val="00842F71"/>
    <w:rsid w:val="00843179"/>
    <w:rsid w:val="008436B5"/>
    <w:rsid w:val="0084386A"/>
    <w:rsid w:val="00843E0E"/>
    <w:rsid w:val="008442EA"/>
    <w:rsid w:val="0084455C"/>
    <w:rsid w:val="00844589"/>
    <w:rsid w:val="00844794"/>
    <w:rsid w:val="00844FE7"/>
    <w:rsid w:val="00845969"/>
    <w:rsid w:val="00845F37"/>
    <w:rsid w:val="00845FF5"/>
    <w:rsid w:val="00846001"/>
    <w:rsid w:val="0084615D"/>
    <w:rsid w:val="0084642A"/>
    <w:rsid w:val="008465C4"/>
    <w:rsid w:val="00846710"/>
    <w:rsid w:val="0084685E"/>
    <w:rsid w:val="008478ED"/>
    <w:rsid w:val="00851728"/>
    <w:rsid w:val="00851DFF"/>
    <w:rsid w:val="00853084"/>
    <w:rsid w:val="00853142"/>
    <w:rsid w:val="008540A6"/>
    <w:rsid w:val="00854411"/>
    <w:rsid w:val="00854420"/>
    <w:rsid w:val="00854481"/>
    <w:rsid w:val="00855A22"/>
    <w:rsid w:val="00857591"/>
    <w:rsid w:val="00857E88"/>
    <w:rsid w:val="00860B4A"/>
    <w:rsid w:val="00860F10"/>
    <w:rsid w:val="00860F47"/>
    <w:rsid w:val="008611EB"/>
    <w:rsid w:val="008612DB"/>
    <w:rsid w:val="00861B57"/>
    <w:rsid w:val="00861DFB"/>
    <w:rsid w:val="00862AC4"/>
    <w:rsid w:val="00862E37"/>
    <w:rsid w:val="008633AC"/>
    <w:rsid w:val="008634E3"/>
    <w:rsid w:val="0086427C"/>
    <w:rsid w:val="0086458F"/>
    <w:rsid w:val="00864627"/>
    <w:rsid w:val="00864635"/>
    <w:rsid w:val="00864678"/>
    <w:rsid w:val="00864C1A"/>
    <w:rsid w:val="00865217"/>
    <w:rsid w:val="0086531B"/>
    <w:rsid w:val="008658AA"/>
    <w:rsid w:val="00865CBD"/>
    <w:rsid w:val="00865EA9"/>
    <w:rsid w:val="00866E37"/>
    <w:rsid w:val="00866F9E"/>
    <w:rsid w:val="008672E2"/>
    <w:rsid w:val="00867729"/>
    <w:rsid w:val="0086793D"/>
    <w:rsid w:val="00867B1C"/>
    <w:rsid w:val="00870949"/>
    <w:rsid w:val="008713D6"/>
    <w:rsid w:val="00871643"/>
    <w:rsid w:val="0087281D"/>
    <w:rsid w:val="008732A3"/>
    <w:rsid w:val="008732D8"/>
    <w:rsid w:val="00873377"/>
    <w:rsid w:val="00873577"/>
    <w:rsid w:val="0087409F"/>
    <w:rsid w:val="00874657"/>
    <w:rsid w:val="00874D58"/>
    <w:rsid w:val="008750D2"/>
    <w:rsid w:val="00875AB5"/>
    <w:rsid w:val="00875C91"/>
    <w:rsid w:val="00875F85"/>
    <w:rsid w:val="00876C6B"/>
    <w:rsid w:val="00876DC9"/>
    <w:rsid w:val="00877125"/>
    <w:rsid w:val="008777C2"/>
    <w:rsid w:val="00880782"/>
    <w:rsid w:val="00881511"/>
    <w:rsid w:val="00882448"/>
    <w:rsid w:val="00882F1D"/>
    <w:rsid w:val="00883A4D"/>
    <w:rsid w:val="00883B21"/>
    <w:rsid w:val="00883F8F"/>
    <w:rsid w:val="00884235"/>
    <w:rsid w:val="00885285"/>
    <w:rsid w:val="00885985"/>
    <w:rsid w:val="00886309"/>
    <w:rsid w:val="00886699"/>
    <w:rsid w:val="00886C85"/>
    <w:rsid w:val="0088709A"/>
    <w:rsid w:val="00890258"/>
    <w:rsid w:val="0089199F"/>
    <w:rsid w:val="00891C32"/>
    <w:rsid w:val="00891D7F"/>
    <w:rsid w:val="00892265"/>
    <w:rsid w:val="0089233E"/>
    <w:rsid w:val="00892918"/>
    <w:rsid w:val="0089330E"/>
    <w:rsid w:val="00893A73"/>
    <w:rsid w:val="00893A8E"/>
    <w:rsid w:val="00893E27"/>
    <w:rsid w:val="008945F7"/>
    <w:rsid w:val="0089463D"/>
    <w:rsid w:val="0089554F"/>
    <w:rsid w:val="008955E6"/>
    <w:rsid w:val="00895B5F"/>
    <w:rsid w:val="0089637C"/>
    <w:rsid w:val="00896712"/>
    <w:rsid w:val="00896757"/>
    <w:rsid w:val="008967B6"/>
    <w:rsid w:val="00896870"/>
    <w:rsid w:val="008969BD"/>
    <w:rsid w:val="008A13BD"/>
    <w:rsid w:val="008A1596"/>
    <w:rsid w:val="008A1EDF"/>
    <w:rsid w:val="008A2695"/>
    <w:rsid w:val="008A2AA0"/>
    <w:rsid w:val="008A2DC9"/>
    <w:rsid w:val="008A2FF1"/>
    <w:rsid w:val="008A32D4"/>
    <w:rsid w:val="008A367F"/>
    <w:rsid w:val="008A37AF"/>
    <w:rsid w:val="008A3D62"/>
    <w:rsid w:val="008A448D"/>
    <w:rsid w:val="008A4A55"/>
    <w:rsid w:val="008A506F"/>
    <w:rsid w:val="008A528A"/>
    <w:rsid w:val="008A5298"/>
    <w:rsid w:val="008A535A"/>
    <w:rsid w:val="008A6ABE"/>
    <w:rsid w:val="008A720F"/>
    <w:rsid w:val="008A7C72"/>
    <w:rsid w:val="008B04F2"/>
    <w:rsid w:val="008B0D0E"/>
    <w:rsid w:val="008B12BB"/>
    <w:rsid w:val="008B1411"/>
    <w:rsid w:val="008B17A2"/>
    <w:rsid w:val="008B25F2"/>
    <w:rsid w:val="008B2643"/>
    <w:rsid w:val="008B2FAE"/>
    <w:rsid w:val="008B3317"/>
    <w:rsid w:val="008B414B"/>
    <w:rsid w:val="008B44C8"/>
    <w:rsid w:val="008B4E0E"/>
    <w:rsid w:val="008B4E7E"/>
    <w:rsid w:val="008B4FB9"/>
    <w:rsid w:val="008B5715"/>
    <w:rsid w:val="008B5A2D"/>
    <w:rsid w:val="008B5BC2"/>
    <w:rsid w:val="008B60BB"/>
    <w:rsid w:val="008B6732"/>
    <w:rsid w:val="008B68EC"/>
    <w:rsid w:val="008B711E"/>
    <w:rsid w:val="008C042F"/>
    <w:rsid w:val="008C057B"/>
    <w:rsid w:val="008C0CAC"/>
    <w:rsid w:val="008C13B4"/>
    <w:rsid w:val="008C1557"/>
    <w:rsid w:val="008C1B3A"/>
    <w:rsid w:val="008C1B8C"/>
    <w:rsid w:val="008C2306"/>
    <w:rsid w:val="008C26D1"/>
    <w:rsid w:val="008C2B7F"/>
    <w:rsid w:val="008C36AC"/>
    <w:rsid w:val="008C3818"/>
    <w:rsid w:val="008C449D"/>
    <w:rsid w:val="008C4953"/>
    <w:rsid w:val="008C4E44"/>
    <w:rsid w:val="008C602F"/>
    <w:rsid w:val="008C6255"/>
    <w:rsid w:val="008C684B"/>
    <w:rsid w:val="008C6ABD"/>
    <w:rsid w:val="008C6CF0"/>
    <w:rsid w:val="008C6F18"/>
    <w:rsid w:val="008C7685"/>
    <w:rsid w:val="008D007A"/>
    <w:rsid w:val="008D0315"/>
    <w:rsid w:val="008D07DE"/>
    <w:rsid w:val="008D0831"/>
    <w:rsid w:val="008D0E40"/>
    <w:rsid w:val="008D0FD5"/>
    <w:rsid w:val="008D1E7F"/>
    <w:rsid w:val="008D2367"/>
    <w:rsid w:val="008D26B9"/>
    <w:rsid w:val="008D329D"/>
    <w:rsid w:val="008D40D8"/>
    <w:rsid w:val="008D427A"/>
    <w:rsid w:val="008D4DD5"/>
    <w:rsid w:val="008D5657"/>
    <w:rsid w:val="008D6752"/>
    <w:rsid w:val="008D69E7"/>
    <w:rsid w:val="008D6FC1"/>
    <w:rsid w:val="008D79B2"/>
    <w:rsid w:val="008E0140"/>
    <w:rsid w:val="008E0316"/>
    <w:rsid w:val="008E0688"/>
    <w:rsid w:val="008E0BEF"/>
    <w:rsid w:val="008E1167"/>
    <w:rsid w:val="008E266D"/>
    <w:rsid w:val="008E2EF7"/>
    <w:rsid w:val="008E2F0C"/>
    <w:rsid w:val="008E39B7"/>
    <w:rsid w:val="008E3E23"/>
    <w:rsid w:val="008E4FD4"/>
    <w:rsid w:val="008E5146"/>
    <w:rsid w:val="008E547B"/>
    <w:rsid w:val="008E5DF8"/>
    <w:rsid w:val="008E7011"/>
    <w:rsid w:val="008E7708"/>
    <w:rsid w:val="008F0250"/>
    <w:rsid w:val="008F11F4"/>
    <w:rsid w:val="008F18B9"/>
    <w:rsid w:val="008F1952"/>
    <w:rsid w:val="008F24F2"/>
    <w:rsid w:val="008F254D"/>
    <w:rsid w:val="008F310B"/>
    <w:rsid w:val="008F322B"/>
    <w:rsid w:val="008F34CB"/>
    <w:rsid w:val="008F3519"/>
    <w:rsid w:val="008F3AD3"/>
    <w:rsid w:val="008F3CA7"/>
    <w:rsid w:val="008F443F"/>
    <w:rsid w:val="008F5DE5"/>
    <w:rsid w:val="008F5E42"/>
    <w:rsid w:val="008F63B1"/>
    <w:rsid w:val="008F6973"/>
    <w:rsid w:val="008F6E28"/>
    <w:rsid w:val="008F6E6A"/>
    <w:rsid w:val="008F7AA7"/>
    <w:rsid w:val="00900947"/>
    <w:rsid w:val="00900EB8"/>
    <w:rsid w:val="00900FBA"/>
    <w:rsid w:val="00901092"/>
    <w:rsid w:val="00902E5B"/>
    <w:rsid w:val="00903FD9"/>
    <w:rsid w:val="00904CF5"/>
    <w:rsid w:val="00905259"/>
    <w:rsid w:val="0090556C"/>
    <w:rsid w:val="00905633"/>
    <w:rsid w:val="00905979"/>
    <w:rsid w:val="009059BA"/>
    <w:rsid w:val="00905EAE"/>
    <w:rsid w:val="009060C4"/>
    <w:rsid w:val="00906694"/>
    <w:rsid w:val="00906961"/>
    <w:rsid w:val="00906C91"/>
    <w:rsid w:val="00906C95"/>
    <w:rsid w:val="00906D2D"/>
    <w:rsid w:val="00906F9C"/>
    <w:rsid w:val="00907656"/>
    <w:rsid w:val="00907E47"/>
    <w:rsid w:val="009115EF"/>
    <w:rsid w:val="009116DD"/>
    <w:rsid w:val="00912D1C"/>
    <w:rsid w:val="00913019"/>
    <w:rsid w:val="00913F1E"/>
    <w:rsid w:val="00913FB2"/>
    <w:rsid w:val="009140C4"/>
    <w:rsid w:val="009144A9"/>
    <w:rsid w:val="0091468B"/>
    <w:rsid w:val="0091526F"/>
    <w:rsid w:val="00915300"/>
    <w:rsid w:val="009153D2"/>
    <w:rsid w:val="00916286"/>
    <w:rsid w:val="00916595"/>
    <w:rsid w:val="00916C47"/>
    <w:rsid w:val="009171AD"/>
    <w:rsid w:val="00917569"/>
    <w:rsid w:val="00920174"/>
    <w:rsid w:val="00920631"/>
    <w:rsid w:val="00920A62"/>
    <w:rsid w:val="009212E4"/>
    <w:rsid w:val="009219D2"/>
    <w:rsid w:val="00921A4E"/>
    <w:rsid w:val="00921E37"/>
    <w:rsid w:val="00922511"/>
    <w:rsid w:val="009229B7"/>
    <w:rsid w:val="00922F07"/>
    <w:rsid w:val="00923463"/>
    <w:rsid w:val="009238F3"/>
    <w:rsid w:val="00925238"/>
    <w:rsid w:val="00925780"/>
    <w:rsid w:val="00925ACF"/>
    <w:rsid w:val="00925BC2"/>
    <w:rsid w:val="0092615D"/>
    <w:rsid w:val="00926546"/>
    <w:rsid w:val="009265A1"/>
    <w:rsid w:val="00927177"/>
    <w:rsid w:val="0092736E"/>
    <w:rsid w:val="00927700"/>
    <w:rsid w:val="0093036E"/>
    <w:rsid w:val="009307C8"/>
    <w:rsid w:val="00930E2A"/>
    <w:rsid w:val="00930EA9"/>
    <w:rsid w:val="00931224"/>
    <w:rsid w:val="00932035"/>
    <w:rsid w:val="00932873"/>
    <w:rsid w:val="009333D3"/>
    <w:rsid w:val="009339B6"/>
    <w:rsid w:val="00933B4C"/>
    <w:rsid w:val="00933DC4"/>
    <w:rsid w:val="0093431B"/>
    <w:rsid w:val="009346D6"/>
    <w:rsid w:val="00934743"/>
    <w:rsid w:val="0093487E"/>
    <w:rsid w:val="00934FFE"/>
    <w:rsid w:val="00935140"/>
    <w:rsid w:val="00936405"/>
    <w:rsid w:val="00936486"/>
    <w:rsid w:val="009365C7"/>
    <w:rsid w:val="00936B64"/>
    <w:rsid w:val="009374D5"/>
    <w:rsid w:val="009379C4"/>
    <w:rsid w:val="0094041A"/>
    <w:rsid w:val="00940D32"/>
    <w:rsid w:val="00940DCF"/>
    <w:rsid w:val="0094190D"/>
    <w:rsid w:val="00942354"/>
    <w:rsid w:val="009424B5"/>
    <w:rsid w:val="00942681"/>
    <w:rsid w:val="00943420"/>
    <w:rsid w:val="00943A7E"/>
    <w:rsid w:val="00943AEA"/>
    <w:rsid w:val="00943E42"/>
    <w:rsid w:val="00943E5D"/>
    <w:rsid w:val="00944728"/>
    <w:rsid w:val="009448BD"/>
    <w:rsid w:val="00944950"/>
    <w:rsid w:val="00944A88"/>
    <w:rsid w:val="009453E8"/>
    <w:rsid w:val="0094555C"/>
    <w:rsid w:val="00945664"/>
    <w:rsid w:val="00945AD1"/>
    <w:rsid w:val="00946ECB"/>
    <w:rsid w:val="00947268"/>
    <w:rsid w:val="0094750E"/>
    <w:rsid w:val="00947C94"/>
    <w:rsid w:val="009507C8"/>
    <w:rsid w:val="0095115E"/>
    <w:rsid w:val="0095118A"/>
    <w:rsid w:val="00952468"/>
    <w:rsid w:val="0095247D"/>
    <w:rsid w:val="00954767"/>
    <w:rsid w:val="0095487A"/>
    <w:rsid w:val="009548FB"/>
    <w:rsid w:val="0095538B"/>
    <w:rsid w:val="00956B4E"/>
    <w:rsid w:val="00957AF7"/>
    <w:rsid w:val="00957F42"/>
    <w:rsid w:val="00960ACA"/>
    <w:rsid w:val="00960C4F"/>
    <w:rsid w:val="00961CF6"/>
    <w:rsid w:val="0096217C"/>
    <w:rsid w:val="00962441"/>
    <w:rsid w:val="00962463"/>
    <w:rsid w:val="00962ADB"/>
    <w:rsid w:val="00962E7C"/>
    <w:rsid w:val="00963277"/>
    <w:rsid w:val="0096429D"/>
    <w:rsid w:val="00964B53"/>
    <w:rsid w:val="00964C3F"/>
    <w:rsid w:val="00964C6C"/>
    <w:rsid w:val="00965176"/>
    <w:rsid w:val="00965240"/>
    <w:rsid w:val="00965847"/>
    <w:rsid w:val="00965A3E"/>
    <w:rsid w:val="00965C48"/>
    <w:rsid w:val="00966D9D"/>
    <w:rsid w:val="00966E4A"/>
    <w:rsid w:val="00967041"/>
    <w:rsid w:val="00967389"/>
    <w:rsid w:val="00970918"/>
    <w:rsid w:val="0097099E"/>
    <w:rsid w:val="00971761"/>
    <w:rsid w:val="00971825"/>
    <w:rsid w:val="0097216F"/>
    <w:rsid w:val="00972C3B"/>
    <w:rsid w:val="00973057"/>
    <w:rsid w:val="00974385"/>
    <w:rsid w:val="00974D50"/>
    <w:rsid w:val="009751AF"/>
    <w:rsid w:val="00975326"/>
    <w:rsid w:val="00975DEA"/>
    <w:rsid w:val="00977CDF"/>
    <w:rsid w:val="00977D98"/>
    <w:rsid w:val="0098043F"/>
    <w:rsid w:val="00981038"/>
    <w:rsid w:val="0098106E"/>
    <w:rsid w:val="00981511"/>
    <w:rsid w:val="00981D1C"/>
    <w:rsid w:val="00981E1C"/>
    <w:rsid w:val="00982118"/>
    <w:rsid w:val="00982C62"/>
    <w:rsid w:val="00982C91"/>
    <w:rsid w:val="00982F76"/>
    <w:rsid w:val="00982FA3"/>
    <w:rsid w:val="00983238"/>
    <w:rsid w:val="009840FD"/>
    <w:rsid w:val="0098451A"/>
    <w:rsid w:val="00984701"/>
    <w:rsid w:val="00984847"/>
    <w:rsid w:val="00984BEC"/>
    <w:rsid w:val="00985EB8"/>
    <w:rsid w:val="00985FB3"/>
    <w:rsid w:val="00986566"/>
    <w:rsid w:val="00986CC1"/>
    <w:rsid w:val="00986F4E"/>
    <w:rsid w:val="00987191"/>
    <w:rsid w:val="00987A5A"/>
    <w:rsid w:val="00987CB4"/>
    <w:rsid w:val="00987DF9"/>
    <w:rsid w:val="0099097E"/>
    <w:rsid w:val="009921FC"/>
    <w:rsid w:val="0099229D"/>
    <w:rsid w:val="0099272B"/>
    <w:rsid w:val="00992A0E"/>
    <w:rsid w:val="00993289"/>
    <w:rsid w:val="0099399E"/>
    <w:rsid w:val="0099413C"/>
    <w:rsid w:val="00994230"/>
    <w:rsid w:val="0099479E"/>
    <w:rsid w:val="009951D8"/>
    <w:rsid w:val="00995355"/>
    <w:rsid w:val="0099586F"/>
    <w:rsid w:val="00996174"/>
    <w:rsid w:val="00996508"/>
    <w:rsid w:val="0099719E"/>
    <w:rsid w:val="00997DB7"/>
    <w:rsid w:val="009A0169"/>
    <w:rsid w:val="009A0389"/>
    <w:rsid w:val="009A03A4"/>
    <w:rsid w:val="009A08A3"/>
    <w:rsid w:val="009A0DE9"/>
    <w:rsid w:val="009A1B56"/>
    <w:rsid w:val="009A24E5"/>
    <w:rsid w:val="009A3C93"/>
    <w:rsid w:val="009A3DE5"/>
    <w:rsid w:val="009A3FD0"/>
    <w:rsid w:val="009A51C7"/>
    <w:rsid w:val="009A541F"/>
    <w:rsid w:val="009A59EC"/>
    <w:rsid w:val="009A5AB4"/>
    <w:rsid w:val="009A5C56"/>
    <w:rsid w:val="009A5CA8"/>
    <w:rsid w:val="009A6319"/>
    <w:rsid w:val="009A69CC"/>
    <w:rsid w:val="009A6ED0"/>
    <w:rsid w:val="009A706A"/>
    <w:rsid w:val="009A71AB"/>
    <w:rsid w:val="009A7745"/>
    <w:rsid w:val="009A7C3D"/>
    <w:rsid w:val="009B0156"/>
    <w:rsid w:val="009B0295"/>
    <w:rsid w:val="009B05BA"/>
    <w:rsid w:val="009B0BCF"/>
    <w:rsid w:val="009B1B0E"/>
    <w:rsid w:val="009B217E"/>
    <w:rsid w:val="009B2596"/>
    <w:rsid w:val="009B33D3"/>
    <w:rsid w:val="009B3D79"/>
    <w:rsid w:val="009B42B6"/>
    <w:rsid w:val="009B42CC"/>
    <w:rsid w:val="009B43D6"/>
    <w:rsid w:val="009B5081"/>
    <w:rsid w:val="009B6985"/>
    <w:rsid w:val="009B69B3"/>
    <w:rsid w:val="009B6F00"/>
    <w:rsid w:val="009B7011"/>
    <w:rsid w:val="009B7074"/>
    <w:rsid w:val="009B71E4"/>
    <w:rsid w:val="009C014B"/>
    <w:rsid w:val="009C04EE"/>
    <w:rsid w:val="009C0BCC"/>
    <w:rsid w:val="009C0CD4"/>
    <w:rsid w:val="009C15E7"/>
    <w:rsid w:val="009C17C8"/>
    <w:rsid w:val="009C197F"/>
    <w:rsid w:val="009C24DF"/>
    <w:rsid w:val="009C385B"/>
    <w:rsid w:val="009C3E3C"/>
    <w:rsid w:val="009C4353"/>
    <w:rsid w:val="009C49C2"/>
    <w:rsid w:val="009C4E2D"/>
    <w:rsid w:val="009C58BE"/>
    <w:rsid w:val="009C62C0"/>
    <w:rsid w:val="009C641D"/>
    <w:rsid w:val="009C6A88"/>
    <w:rsid w:val="009C6BBB"/>
    <w:rsid w:val="009C765D"/>
    <w:rsid w:val="009C7ADA"/>
    <w:rsid w:val="009D000A"/>
    <w:rsid w:val="009D06EA"/>
    <w:rsid w:val="009D10AF"/>
    <w:rsid w:val="009D133D"/>
    <w:rsid w:val="009D1A86"/>
    <w:rsid w:val="009D1E12"/>
    <w:rsid w:val="009D2DA9"/>
    <w:rsid w:val="009D2E93"/>
    <w:rsid w:val="009D2EA9"/>
    <w:rsid w:val="009D3038"/>
    <w:rsid w:val="009D34C0"/>
    <w:rsid w:val="009D35FB"/>
    <w:rsid w:val="009D4BBE"/>
    <w:rsid w:val="009D4E16"/>
    <w:rsid w:val="009D5893"/>
    <w:rsid w:val="009D6246"/>
    <w:rsid w:val="009D6620"/>
    <w:rsid w:val="009D6B23"/>
    <w:rsid w:val="009D6C54"/>
    <w:rsid w:val="009D72B0"/>
    <w:rsid w:val="009D77CE"/>
    <w:rsid w:val="009D7BA7"/>
    <w:rsid w:val="009D7DE3"/>
    <w:rsid w:val="009E004A"/>
    <w:rsid w:val="009E066B"/>
    <w:rsid w:val="009E137A"/>
    <w:rsid w:val="009E1515"/>
    <w:rsid w:val="009E1CFF"/>
    <w:rsid w:val="009E1FEE"/>
    <w:rsid w:val="009E23EA"/>
    <w:rsid w:val="009E2D24"/>
    <w:rsid w:val="009E2EA0"/>
    <w:rsid w:val="009E305F"/>
    <w:rsid w:val="009E36FF"/>
    <w:rsid w:val="009E37D3"/>
    <w:rsid w:val="009E5028"/>
    <w:rsid w:val="009E50FB"/>
    <w:rsid w:val="009E5280"/>
    <w:rsid w:val="009E5386"/>
    <w:rsid w:val="009E5745"/>
    <w:rsid w:val="009E5DD1"/>
    <w:rsid w:val="009E60AD"/>
    <w:rsid w:val="009E68C8"/>
    <w:rsid w:val="009E6AB5"/>
    <w:rsid w:val="009E6DAB"/>
    <w:rsid w:val="009E6F4B"/>
    <w:rsid w:val="009E703C"/>
    <w:rsid w:val="009E7E4C"/>
    <w:rsid w:val="009F08F5"/>
    <w:rsid w:val="009F0956"/>
    <w:rsid w:val="009F0EE5"/>
    <w:rsid w:val="009F1264"/>
    <w:rsid w:val="009F1DCE"/>
    <w:rsid w:val="009F245B"/>
    <w:rsid w:val="009F25E6"/>
    <w:rsid w:val="009F2BE8"/>
    <w:rsid w:val="009F2F09"/>
    <w:rsid w:val="009F34DC"/>
    <w:rsid w:val="009F39A7"/>
    <w:rsid w:val="009F40B7"/>
    <w:rsid w:val="009F4188"/>
    <w:rsid w:val="009F4302"/>
    <w:rsid w:val="009F4393"/>
    <w:rsid w:val="009F4BE9"/>
    <w:rsid w:val="009F5039"/>
    <w:rsid w:val="009F57D6"/>
    <w:rsid w:val="009F5FE0"/>
    <w:rsid w:val="009F62D3"/>
    <w:rsid w:val="009F6447"/>
    <w:rsid w:val="009F72A8"/>
    <w:rsid w:val="009F7516"/>
    <w:rsid w:val="009F76F3"/>
    <w:rsid w:val="00A00112"/>
    <w:rsid w:val="00A008B5"/>
    <w:rsid w:val="00A0111C"/>
    <w:rsid w:val="00A017B4"/>
    <w:rsid w:val="00A01C53"/>
    <w:rsid w:val="00A01D38"/>
    <w:rsid w:val="00A02414"/>
    <w:rsid w:val="00A025B9"/>
    <w:rsid w:val="00A027BD"/>
    <w:rsid w:val="00A03555"/>
    <w:rsid w:val="00A0355C"/>
    <w:rsid w:val="00A03A13"/>
    <w:rsid w:val="00A040CD"/>
    <w:rsid w:val="00A04399"/>
    <w:rsid w:val="00A04429"/>
    <w:rsid w:val="00A05065"/>
    <w:rsid w:val="00A05B85"/>
    <w:rsid w:val="00A06446"/>
    <w:rsid w:val="00A06697"/>
    <w:rsid w:val="00A06C40"/>
    <w:rsid w:val="00A07AE0"/>
    <w:rsid w:val="00A10586"/>
    <w:rsid w:val="00A10A48"/>
    <w:rsid w:val="00A110DA"/>
    <w:rsid w:val="00A1132B"/>
    <w:rsid w:val="00A11930"/>
    <w:rsid w:val="00A11B54"/>
    <w:rsid w:val="00A11CDC"/>
    <w:rsid w:val="00A1238C"/>
    <w:rsid w:val="00A1263D"/>
    <w:rsid w:val="00A12AF2"/>
    <w:rsid w:val="00A12D8A"/>
    <w:rsid w:val="00A12E6C"/>
    <w:rsid w:val="00A13135"/>
    <w:rsid w:val="00A136D0"/>
    <w:rsid w:val="00A13D1A"/>
    <w:rsid w:val="00A14DC2"/>
    <w:rsid w:val="00A14DD6"/>
    <w:rsid w:val="00A15D5E"/>
    <w:rsid w:val="00A161F8"/>
    <w:rsid w:val="00A169FA"/>
    <w:rsid w:val="00A1766A"/>
    <w:rsid w:val="00A200F4"/>
    <w:rsid w:val="00A206C9"/>
    <w:rsid w:val="00A20B52"/>
    <w:rsid w:val="00A20C27"/>
    <w:rsid w:val="00A20E7D"/>
    <w:rsid w:val="00A216BC"/>
    <w:rsid w:val="00A220AF"/>
    <w:rsid w:val="00A23066"/>
    <w:rsid w:val="00A23193"/>
    <w:rsid w:val="00A23931"/>
    <w:rsid w:val="00A23E42"/>
    <w:rsid w:val="00A23FD6"/>
    <w:rsid w:val="00A25317"/>
    <w:rsid w:val="00A25706"/>
    <w:rsid w:val="00A25D84"/>
    <w:rsid w:val="00A26029"/>
    <w:rsid w:val="00A262E4"/>
    <w:rsid w:val="00A268EA"/>
    <w:rsid w:val="00A30675"/>
    <w:rsid w:val="00A30CEA"/>
    <w:rsid w:val="00A31CE0"/>
    <w:rsid w:val="00A31FA9"/>
    <w:rsid w:val="00A321B9"/>
    <w:rsid w:val="00A333BF"/>
    <w:rsid w:val="00A33825"/>
    <w:rsid w:val="00A3398F"/>
    <w:rsid w:val="00A35583"/>
    <w:rsid w:val="00A363EF"/>
    <w:rsid w:val="00A36DFE"/>
    <w:rsid w:val="00A370FD"/>
    <w:rsid w:val="00A3798C"/>
    <w:rsid w:val="00A37DD9"/>
    <w:rsid w:val="00A40CE2"/>
    <w:rsid w:val="00A40ED7"/>
    <w:rsid w:val="00A40F83"/>
    <w:rsid w:val="00A412BA"/>
    <w:rsid w:val="00A41416"/>
    <w:rsid w:val="00A4200D"/>
    <w:rsid w:val="00A424BF"/>
    <w:rsid w:val="00A4258E"/>
    <w:rsid w:val="00A432D1"/>
    <w:rsid w:val="00A43716"/>
    <w:rsid w:val="00A442C5"/>
    <w:rsid w:val="00A44712"/>
    <w:rsid w:val="00A44720"/>
    <w:rsid w:val="00A448DF"/>
    <w:rsid w:val="00A44AF5"/>
    <w:rsid w:val="00A44B8B"/>
    <w:rsid w:val="00A4597D"/>
    <w:rsid w:val="00A45EC4"/>
    <w:rsid w:val="00A47212"/>
    <w:rsid w:val="00A474EA"/>
    <w:rsid w:val="00A476B2"/>
    <w:rsid w:val="00A501B2"/>
    <w:rsid w:val="00A5034A"/>
    <w:rsid w:val="00A50F32"/>
    <w:rsid w:val="00A50FFA"/>
    <w:rsid w:val="00A539D1"/>
    <w:rsid w:val="00A54304"/>
    <w:rsid w:val="00A54DAE"/>
    <w:rsid w:val="00A56D3B"/>
    <w:rsid w:val="00A57450"/>
    <w:rsid w:val="00A57479"/>
    <w:rsid w:val="00A57C08"/>
    <w:rsid w:val="00A600D9"/>
    <w:rsid w:val="00A604CD"/>
    <w:rsid w:val="00A637A0"/>
    <w:rsid w:val="00A63ECD"/>
    <w:rsid w:val="00A64093"/>
    <w:rsid w:val="00A640EB"/>
    <w:rsid w:val="00A644BA"/>
    <w:rsid w:val="00A64815"/>
    <w:rsid w:val="00A65043"/>
    <w:rsid w:val="00A65423"/>
    <w:rsid w:val="00A65BF0"/>
    <w:rsid w:val="00A66DF9"/>
    <w:rsid w:val="00A7041A"/>
    <w:rsid w:val="00A704E4"/>
    <w:rsid w:val="00A7136A"/>
    <w:rsid w:val="00A71684"/>
    <w:rsid w:val="00A71C44"/>
    <w:rsid w:val="00A72296"/>
    <w:rsid w:val="00A725F7"/>
    <w:rsid w:val="00A7388E"/>
    <w:rsid w:val="00A74544"/>
    <w:rsid w:val="00A74548"/>
    <w:rsid w:val="00A74DF2"/>
    <w:rsid w:val="00A74E4D"/>
    <w:rsid w:val="00A75232"/>
    <w:rsid w:val="00A7592E"/>
    <w:rsid w:val="00A76C1F"/>
    <w:rsid w:val="00A77761"/>
    <w:rsid w:val="00A8039E"/>
    <w:rsid w:val="00A803FC"/>
    <w:rsid w:val="00A8071A"/>
    <w:rsid w:val="00A80D40"/>
    <w:rsid w:val="00A80DD9"/>
    <w:rsid w:val="00A80FCA"/>
    <w:rsid w:val="00A81CBC"/>
    <w:rsid w:val="00A82506"/>
    <w:rsid w:val="00A837CE"/>
    <w:rsid w:val="00A83DB5"/>
    <w:rsid w:val="00A83FBA"/>
    <w:rsid w:val="00A84636"/>
    <w:rsid w:val="00A84FE1"/>
    <w:rsid w:val="00A85080"/>
    <w:rsid w:val="00A850F6"/>
    <w:rsid w:val="00A8516B"/>
    <w:rsid w:val="00A86406"/>
    <w:rsid w:val="00A86853"/>
    <w:rsid w:val="00A86B75"/>
    <w:rsid w:val="00A86E75"/>
    <w:rsid w:val="00A86F33"/>
    <w:rsid w:val="00A9065F"/>
    <w:rsid w:val="00A908B9"/>
    <w:rsid w:val="00A90937"/>
    <w:rsid w:val="00A90B0E"/>
    <w:rsid w:val="00A913A7"/>
    <w:rsid w:val="00A91AA1"/>
    <w:rsid w:val="00A91C8C"/>
    <w:rsid w:val="00A91F0D"/>
    <w:rsid w:val="00A9235A"/>
    <w:rsid w:val="00A92FF7"/>
    <w:rsid w:val="00A93069"/>
    <w:rsid w:val="00A9318A"/>
    <w:rsid w:val="00A93DD5"/>
    <w:rsid w:val="00A9440E"/>
    <w:rsid w:val="00A9468F"/>
    <w:rsid w:val="00A9498D"/>
    <w:rsid w:val="00A95335"/>
    <w:rsid w:val="00A9566B"/>
    <w:rsid w:val="00A9657F"/>
    <w:rsid w:val="00A9797D"/>
    <w:rsid w:val="00AA015F"/>
    <w:rsid w:val="00AA0180"/>
    <w:rsid w:val="00AA0263"/>
    <w:rsid w:val="00AA0C3A"/>
    <w:rsid w:val="00AA1723"/>
    <w:rsid w:val="00AA190D"/>
    <w:rsid w:val="00AA1C25"/>
    <w:rsid w:val="00AA1FDD"/>
    <w:rsid w:val="00AA22C3"/>
    <w:rsid w:val="00AA22F5"/>
    <w:rsid w:val="00AA230D"/>
    <w:rsid w:val="00AA4409"/>
    <w:rsid w:val="00AA4941"/>
    <w:rsid w:val="00AA49E9"/>
    <w:rsid w:val="00AA5475"/>
    <w:rsid w:val="00AA5548"/>
    <w:rsid w:val="00AA5876"/>
    <w:rsid w:val="00AA5C7D"/>
    <w:rsid w:val="00AA6A8A"/>
    <w:rsid w:val="00AA6DD8"/>
    <w:rsid w:val="00AA6FA3"/>
    <w:rsid w:val="00AA70BB"/>
    <w:rsid w:val="00AA757C"/>
    <w:rsid w:val="00AA7F10"/>
    <w:rsid w:val="00AB0391"/>
    <w:rsid w:val="00AB06A0"/>
    <w:rsid w:val="00AB0DF0"/>
    <w:rsid w:val="00AB1DFB"/>
    <w:rsid w:val="00AB2151"/>
    <w:rsid w:val="00AB2C59"/>
    <w:rsid w:val="00AB2C8A"/>
    <w:rsid w:val="00AB3322"/>
    <w:rsid w:val="00AB42B6"/>
    <w:rsid w:val="00AB4A6D"/>
    <w:rsid w:val="00AB4D67"/>
    <w:rsid w:val="00AB545D"/>
    <w:rsid w:val="00AB54D7"/>
    <w:rsid w:val="00AB57D3"/>
    <w:rsid w:val="00AB6886"/>
    <w:rsid w:val="00AB6AE4"/>
    <w:rsid w:val="00AB6D1E"/>
    <w:rsid w:val="00AB6E00"/>
    <w:rsid w:val="00AB6F37"/>
    <w:rsid w:val="00AB73B0"/>
    <w:rsid w:val="00AB769E"/>
    <w:rsid w:val="00AB7D55"/>
    <w:rsid w:val="00AC0681"/>
    <w:rsid w:val="00AC154B"/>
    <w:rsid w:val="00AC15C5"/>
    <w:rsid w:val="00AC1B72"/>
    <w:rsid w:val="00AC26FE"/>
    <w:rsid w:val="00AC350D"/>
    <w:rsid w:val="00AC3568"/>
    <w:rsid w:val="00AC3CF2"/>
    <w:rsid w:val="00AC47EC"/>
    <w:rsid w:val="00AC4E5D"/>
    <w:rsid w:val="00AC4EAF"/>
    <w:rsid w:val="00AC676B"/>
    <w:rsid w:val="00AC6C53"/>
    <w:rsid w:val="00AC6E85"/>
    <w:rsid w:val="00AC7284"/>
    <w:rsid w:val="00AC72DC"/>
    <w:rsid w:val="00AC7945"/>
    <w:rsid w:val="00AC7A15"/>
    <w:rsid w:val="00AC7CE6"/>
    <w:rsid w:val="00AD0828"/>
    <w:rsid w:val="00AD0B13"/>
    <w:rsid w:val="00AD0E69"/>
    <w:rsid w:val="00AD103D"/>
    <w:rsid w:val="00AD159C"/>
    <w:rsid w:val="00AD17FA"/>
    <w:rsid w:val="00AD194C"/>
    <w:rsid w:val="00AD19EC"/>
    <w:rsid w:val="00AD2717"/>
    <w:rsid w:val="00AD272E"/>
    <w:rsid w:val="00AD2D82"/>
    <w:rsid w:val="00AD3DC4"/>
    <w:rsid w:val="00AD4FF4"/>
    <w:rsid w:val="00AD531D"/>
    <w:rsid w:val="00AD600C"/>
    <w:rsid w:val="00AD63D6"/>
    <w:rsid w:val="00AD6489"/>
    <w:rsid w:val="00AD6CD5"/>
    <w:rsid w:val="00AD733B"/>
    <w:rsid w:val="00AD7A4D"/>
    <w:rsid w:val="00AD7CA7"/>
    <w:rsid w:val="00AE0040"/>
    <w:rsid w:val="00AE184D"/>
    <w:rsid w:val="00AE1C03"/>
    <w:rsid w:val="00AE23E3"/>
    <w:rsid w:val="00AE25C8"/>
    <w:rsid w:val="00AE2F65"/>
    <w:rsid w:val="00AE317E"/>
    <w:rsid w:val="00AE35A5"/>
    <w:rsid w:val="00AE3B56"/>
    <w:rsid w:val="00AE3F95"/>
    <w:rsid w:val="00AE4E2A"/>
    <w:rsid w:val="00AE5CF9"/>
    <w:rsid w:val="00AE5DB6"/>
    <w:rsid w:val="00AE6C3C"/>
    <w:rsid w:val="00AE702E"/>
    <w:rsid w:val="00AE7382"/>
    <w:rsid w:val="00AE73E0"/>
    <w:rsid w:val="00AF03C0"/>
    <w:rsid w:val="00AF0D39"/>
    <w:rsid w:val="00AF166F"/>
    <w:rsid w:val="00AF1C03"/>
    <w:rsid w:val="00AF21E1"/>
    <w:rsid w:val="00AF39AF"/>
    <w:rsid w:val="00AF3E3B"/>
    <w:rsid w:val="00AF3E5A"/>
    <w:rsid w:val="00AF46FE"/>
    <w:rsid w:val="00AF486F"/>
    <w:rsid w:val="00AF548B"/>
    <w:rsid w:val="00AF55E0"/>
    <w:rsid w:val="00AF5666"/>
    <w:rsid w:val="00AF5870"/>
    <w:rsid w:val="00AF5D9D"/>
    <w:rsid w:val="00AF6499"/>
    <w:rsid w:val="00AF6619"/>
    <w:rsid w:val="00AF6B6C"/>
    <w:rsid w:val="00AF6CFD"/>
    <w:rsid w:val="00AF713E"/>
    <w:rsid w:val="00AF7D82"/>
    <w:rsid w:val="00AF7DC1"/>
    <w:rsid w:val="00B000AE"/>
    <w:rsid w:val="00B0040B"/>
    <w:rsid w:val="00B00830"/>
    <w:rsid w:val="00B00AB5"/>
    <w:rsid w:val="00B00CC0"/>
    <w:rsid w:val="00B00F5C"/>
    <w:rsid w:val="00B019C1"/>
    <w:rsid w:val="00B0236E"/>
    <w:rsid w:val="00B02506"/>
    <w:rsid w:val="00B02ACE"/>
    <w:rsid w:val="00B03913"/>
    <w:rsid w:val="00B04871"/>
    <w:rsid w:val="00B04CEA"/>
    <w:rsid w:val="00B05607"/>
    <w:rsid w:val="00B05A08"/>
    <w:rsid w:val="00B05F14"/>
    <w:rsid w:val="00B06737"/>
    <w:rsid w:val="00B0784C"/>
    <w:rsid w:val="00B07CE9"/>
    <w:rsid w:val="00B101D5"/>
    <w:rsid w:val="00B1037F"/>
    <w:rsid w:val="00B10633"/>
    <w:rsid w:val="00B10859"/>
    <w:rsid w:val="00B10B08"/>
    <w:rsid w:val="00B11A78"/>
    <w:rsid w:val="00B11CFB"/>
    <w:rsid w:val="00B11F21"/>
    <w:rsid w:val="00B12111"/>
    <w:rsid w:val="00B13E18"/>
    <w:rsid w:val="00B14109"/>
    <w:rsid w:val="00B14410"/>
    <w:rsid w:val="00B1486D"/>
    <w:rsid w:val="00B14A02"/>
    <w:rsid w:val="00B150D6"/>
    <w:rsid w:val="00B15373"/>
    <w:rsid w:val="00B15449"/>
    <w:rsid w:val="00B15639"/>
    <w:rsid w:val="00B15D15"/>
    <w:rsid w:val="00B15E42"/>
    <w:rsid w:val="00B15EEE"/>
    <w:rsid w:val="00B16198"/>
    <w:rsid w:val="00B16A2C"/>
    <w:rsid w:val="00B16A5B"/>
    <w:rsid w:val="00B16FB6"/>
    <w:rsid w:val="00B17022"/>
    <w:rsid w:val="00B178E7"/>
    <w:rsid w:val="00B21736"/>
    <w:rsid w:val="00B218B1"/>
    <w:rsid w:val="00B21A33"/>
    <w:rsid w:val="00B224AA"/>
    <w:rsid w:val="00B22628"/>
    <w:rsid w:val="00B22998"/>
    <w:rsid w:val="00B229FE"/>
    <w:rsid w:val="00B2302B"/>
    <w:rsid w:val="00B24363"/>
    <w:rsid w:val="00B2456E"/>
    <w:rsid w:val="00B24979"/>
    <w:rsid w:val="00B24A2F"/>
    <w:rsid w:val="00B250A5"/>
    <w:rsid w:val="00B25651"/>
    <w:rsid w:val="00B26937"/>
    <w:rsid w:val="00B27D90"/>
    <w:rsid w:val="00B27E45"/>
    <w:rsid w:val="00B30243"/>
    <w:rsid w:val="00B30421"/>
    <w:rsid w:val="00B30DC8"/>
    <w:rsid w:val="00B315BB"/>
    <w:rsid w:val="00B31977"/>
    <w:rsid w:val="00B31CD2"/>
    <w:rsid w:val="00B3235A"/>
    <w:rsid w:val="00B333FE"/>
    <w:rsid w:val="00B336E6"/>
    <w:rsid w:val="00B3382B"/>
    <w:rsid w:val="00B33CEF"/>
    <w:rsid w:val="00B34552"/>
    <w:rsid w:val="00B35094"/>
    <w:rsid w:val="00B350F0"/>
    <w:rsid w:val="00B357AC"/>
    <w:rsid w:val="00B35992"/>
    <w:rsid w:val="00B35BE1"/>
    <w:rsid w:val="00B35D42"/>
    <w:rsid w:val="00B35E4B"/>
    <w:rsid w:val="00B35FCC"/>
    <w:rsid w:val="00B36518"/>
    <w:rsid w:val="00B378CC"/>
    <w:rsid w:val="00B37A0F"/>
    <w:rsid w:val="00B41615"/>
    <w:rsid w:val="00B41FD8"/>
    <w:rsid w:val="00B420DF"/>
    <w:rsid w:val="00B428E2"/>
    <w:rsid w:val="00B42A2C"/>
    <w:rsid w:val="00B42A5C"/>
    <w:rsid w:val="00B42A98"/>
    <w:rsid w:val="00B42C64"/>
    <w:rsid w:val="00B43570"/>
    <w:rsid w:val="00B4372F"/>
    <w:rsid w:val="00B448EF"/>
    <w:rsid w:val="00B465FD"/>
    <w:rsid w:val="00B47493"/>
    <w:rsid w:val="00B474C8"/>
    <w:rsid w:val="00B474DF"/>
    <w:rsid w:val="00B47915"/>
    <w:rsid w:val="00B47DAE"/>
    <w:rsid w:val="00B50E18"/>
    <w:rsid w:val="00B513A9"/>
    <w:rsid w:val="00B51568"/>
    <w:rsid w:val="00B51610"/>
    <w:rsid w:val="00B5167B"/>
    <w:rsid w:val="00B51E47"/>
    <w:rsid w:val="00B520E3"/>
    <w:rsid w:val="00B52138"/>
    <w:rsid w:val="00B52336"/>
    <w:rsid w:val="00B52607"/>
    <w:rsid w:val="00B52A44"/>
    <w:rsid w:val="00B5369F"/>
    <w:rsid w:val="00B5388C"/>
    <w:rsid w:val="00B54313"/>
    <w:rsid w:val="00B55CED"/>
    <w:rsid w:val="00B55D57"/>
    <w:rsid w:val="00B55F80"/>
    <w:rsid w:val="00B56480"/>
    <w:rsid w:val="00B565D6"/>
    <w:rsid w:val="00B576A4"/>
    <w:rsid w:val="00B57998"/>
    <w:rsid w:val="00B57CD0"/>
    <w:rsid w:val="00B57DA9"/>
    <w:rsid w:val="00B60177"/>
    <w:rsid w:val="00B60639"/>
    <w:rsid w:val="00B6308E"/>
    <w:rsid w:val="00B6389F"/>
    <w:rsid w:val="00B6398A"/>
    <w:rsid w:val="00B63D58"/>
    <w:rsid w:val="00B64CFC"/>
    <w:rsid w:val="00B64E8A"/>
    <w:rsid w:val="00B65588"/>
    <w:rsid w:val="00B658D1"/>
    <w:rsid w:val="00B66064"/>
    <w:rsid w:val="00B663D2"/>
    <w:rsid w:val="00B66995"/>
    <w:rsid w:val="00B671A1"/>
    <w:rsid w:val="00B675A6"/>
    <w:rsid w:val="00B6794D"/>
    <w:rsid w:val="00B67B55"/>
    <w:rsid w:val="00B67C6C"/>
    <w:rsid w:val="00B70C61"/>
    <w:rsid w:val="00B70C93"/>
    <w:rsid w:val="00B70E5A"/>
    <w:rsid w:val="00B7220D"/>
    <w:rsid w:val="00B749B6"/>
    <w:rsid w:val="00B74E50"/>
    <w:rsid w:val="00B7509A"/>
    <w:rsid w:val="00B75D48"/>
    <w:rsid w:val="00B7613E"/>
    <w:rsid w:val="00B766C1"/>
    <w:rsid w:val="00B76966"/>
    <w:rsid w:val="00B76B96"/>
    <w:rsid w:val="00B76EFB"/>
    <w:rsid w:val="00B77129"/>
    <w:rsid w:val="00B77C37"/>
    <w:rsid w:val="00B80346"/>
    <w:rsid w:val="00B80561"/>
    <w:rsid w:val="00B807BF"/>
    <w:rsid w:val="00B809B1"/>
    <w:rsid w:val="00B822A5"/>
    <w:rsid w:val="00B82543"/>
    <w:rsid w:val="00B82998"/>
    <w:rsid w:val="00B83496"/>
    <w:rsid w:val="00B834B0"/>
    <w:rsid w:val="00B837F6"/>
    <w:rsid w:val="00B83B8C"/>
    <w:rsid w:val="00B83DAE"/>
    <w:rsid w:val="00B84FB4"/>
    <w:rsid w:val="00B85ACE"/>
    <w:rsid w:val="00B8756E"/>
    <w:rsid w:val="00B87DF9"/>
    <w:rsid w:val="00B917F6"/>
    <w:rsid w:val="00B91951"/>
    <w:rsid w:val="00B91A58"/>
    <w:rsid w:val="00B91EAD"/>
    <w:rsid w:val="00B920B9"/>
    <w:rsid w:val="00B92C6D"/>
    <w:rsid w:val="00B930D2"/>
    <w:rsid w:val="00B937CD"/>
    <w:rsid w:val="00B938BC"/>
    <w:rsid w:val="00B93997"/>
    <w:rsid w:val="00B93C98"/>
    <w:rsid w:val="00B944B5"/>
    <w:rsid w:val="00B949C1"/>
    <w:rsid w:val="00B95AA8"/>
    <w:rsid w:val="00B96CF8"/>
    <w:rsid w:val="00B96F68"/>
    <w:rsid w:val="00B976BB"/>
    <w:rsid w:val="00B9789F"/>
    <w:rsid w:val="00BA01A7"/>
    <w:rsid w:val="00BA0224"/>
    <w:rsid w:val="00BA05C8"/>
    <w:rsid w:val="00BA09AA"/>
    <w:rsid w:val="00BA0AD5"/>
    <w:rsid w:val="00BA0CA0"/>
    <w:rsid w:val="00BA0E3C"/>
    <w:rsid w:val="00BA1F74"/>
    <w:rsid w:val="00BA1FE7"/>
    <w:rsid w:val="00BA2B1D"/>
    <w:rsid w:val="00BA2C2F"/>
    <w:rsid w:val="00BA3D14"/>
    <w:rsid w:val="00BA435A"/>
    <w:rsid w:val="00BA54BA"/>
    <w:rsid w:val="00BA5603"/>
    <w:rsid w:val="00BA56D9"/>
    <w:rsid w:val="00BA5B8E"/>
    <w:rsid w:val="00BA6194"/>
    <w:rsid w:val="00BA7EEE"/>
    <w:rsid w:val="00BB0A02"/>
    <w:rsid w:val="00BB13F6"/>
    <w:rsid w:val="00BB2008"/>
    <w:rsid w:val="00BB29DF"/>
    <w:rsid w:val="00BB2CFC"/>
    <w:rsid w:val="00BB2FD8"/>
    <w:rsid w:val="00BB300F"/>
    <w:rsid w:val="00BB34DC"/>
    <w:rsid w:val="00BB35D0"/>
    <w:rsid w:val="00BB3AC4"/>
    <w:rsid w:val="00BB4999"/>
    <w:rsid w:val="00BB4BCD"/>
    <w:rsid w:val="00BB54DB"/>
    <w:rsid w:val="00BB56C7"/>
    <w:rsid w:val="00BB5B62"/>
    <w:rsid w:val="00BB6404"/>
    <w:rsid w:val="00BB6502"/>
    <w:rsid w:val="00BB6BCD"/>
    <w:rsid w:val="00BB70F9"/>
    <w:rsid w:val="00BB7C9B"/>
    <w:rsid w:val="00BC09F0"/>
    <w:rsid w:val="00BC1527"/>
    <w:rsid w:val="00BC21B8"/>
    <w:rsid w:val="00BC2306"/>
    <w:rsid w:val="00BC2AC4"/>
    <w:rsid w:val="00BC2B81"/>
    <w:rsid w:val="00BC2F13"/>
    <w:rsid w:val="00BC2F31"/>
    <w:rsid w:val="00BC3C8E"/>
    <w:rsid w:val="00BC4036"/>
    <w:rsid w:val="00BC4766"/>
    <w:rsid w:val="00BC4F0A"/>
    <w:rsid w:val="00BC509F"/>
    <w:rsid w:val="00BC51D2"/>
    <w:rsid w:val="00BC5BD2"/>
    <w:rsid w:val="00BC64BE"/>
    <w:rsid w:val="00BC6903"/>
    <w:rsid w:val="00BC7155"/>
    <w:rsid w:val="00BC72FB"/>
    <w:rsid w:val="00BC7550"/>
    <w:rsid w:val="00BD0B72"/>
    <w:rsid w:val="00BD2668"/>
    <w:rsid w:val="00BD2D2B"/>
    <w:rsid w:val="00BD32B5"/>
    <w:rsid w:val="00BD3924"/>
    <w:rsid w:val="00BD3DE6"/>
    <w:rsid w:val="00BD450F"/>
    <w:rsid w:val="00BD4512"/>
    <w:rsid w:val="00BD52AA"/>
    <w:rsid w:val="00BD6ACF"/>
    <w:rsid w:val="00BE0168"/>
    <w:rsid w:val="00BE03E6"/>
    <w:rsid w:val="00BE0A32"/>
    <w:rsid w:val="00BE0B8D"/>
    <w:rsid w:val="00BE1061"/>
    <w:rsid w:val="00BE1321"/>
    <w:rsid w:val="00BE1A9C"/>
    <w:rsid w:val="00BE1BAF"/>
    <w:rsid w:val="00BE23EE"/>
    <w:rsid w:val="00BE2893"/>
    <w:rsid w:val="00BE2EB4"/>
    <w:rsid w:val="00BE2F5A"/>
    <w:rsid w:val="00BE37D3"/>
    <w:rsid w:val="00BE37D8"/>
    <w:rsid w:val="00BE3AA6"/>
    <w:rsid w:val="00BE47E1"/>
    <w:rsid w:val="00BE522A"/>
    <w:rsid w:val="00BE57B5"/>
    <w:rsid w:val="00BE632A"/>
    <w:rsid w:val="00BE6E61"/>
    <w:rsid w:val="00BE6F2A"/>
    <w:rsid w:val="00BE7717"/>
    <w:rsid w:val="00BE7A7C"/>
    <w:rsid w:val="00BF0A44"/>
    <w:rsid w:val="00BF0CEC"/>
    <w:rsid w:val="00BF108E"/>
    <w:rsid w:val="00BF17E7"/>
    <w:rsid w:val="00BF1A44"/>
    <w:rsid w:val="00BF1EDF"/>
    <w:rsid w:val="00BF1F99"/>
    <w:rsid w:val="00BF232E"/>
    <w:rsid w:val="00BF319E"/>
    <w:rsid w:val="00BF3239"/>
    <w:rsid w:val="00BF4D3D"/>
    <w:rsid w:val="00BF5480"/>
    <w:rsid w:val="00BF5B8C"/>
    <w:rsid w:val="00BF66B7"/>
    <w:rsid w:val="00BF6A68"/>
    <w:rsid w:val="00BF7152"/>
    <w:rsid w:val="00BF72DB"/>
    <w:rsid w:val="00BF73F0"/>
    <w:rsid w:val="00BF75B1"/>
    <w:rsid w:val="00BF75C9"/>
    <w:rsid w:val="00BF7BD3"/>
    <w:rsid w:val="00C00352"/>
    <w:rsid w:val="00C007CE"/>
    <w:rsid w:val="00C00A22"/>
    <w:rsid w:val="00C00F18"/>
    <w:rsid w:val="00C01043"/>
    <w:rsid w:val="00C01233"/>
    <w:rsid w:val="00C01D39"/>
    <w:rsid w:val="00C0200C"/>
    <w:rsid w:val="00C020A8"/>
    <w:rsid w:val="00C02EAF"/>
    <w:rsid w:val="00C03174"/>
    <w:rsid w:val="00C034A4"/>
    <w:rsid w:val="00C0357E"/>
    <w:rsid w:val="00C03DD0"/>
    <w:rsid w:val="00C03EE0"/>
    <w:rsid w:val="00C04445"/>
    <w:rsid w:val="00C04705"/>
    <w:rsid w:val="00C04A7F"/>
    <w:rsid w:val="00C04E2B"/>
    <w:rsid w:val="00C051AA"/>
    <w:rsid w:val="00C060A0"/>
    <w:rsid w:val="00C067B8"/>
    <w:rsid w:val="00C07187"/>
    <w:rsid w:val="00C0749D"/>
    <w:rsid w:val="00C075C9"/>
    <w:rsid w:val="00C07FAD"/>
    <w:rsid w:val="00C1040F"/>
    <w:rsid w:val="00C106C4"/>
    <w:rsid w:val="00C111EA"/>
    <w:rsid w:val="00C119AD"/>
    <w:rsid w:val="00C1228D"/>
    <w:rsid w:val="00C1287B"/>
    <w:rsid w:val="00C13F1D"/>
    <w:rsid w:val="00C13FED"/>
    <w:rsid w:val="00C14E7D"/>
    <w:rsid w:val="00C156A8"/>
    <w:rsid w:val="00C15722"/>
    <w:rsid w:val="00C16897"/>
    <w:rsid w:val="00C174F6"/>
    <w:rsid w:val="00C200AC"/>
    <w:rsid w:val="00C200C9"/>
    <w:rsid w:val="00C20ADC"/>
    <w:rsid w:val="00C21AA6"/>
    <w:rsid w:val="00C21D8E"/>
    <w:rsid w:val="00C22525"/>
    <w:rsid w:val="00C23DBB"/>
    <w:rsid w:val="00C23FE1"/>
    <w:rsid w:val="00C2410D"/>
    <w:rsid w:val="00C24BAF"/>
    <w:rsid w:val="00C25F8B"/>
    <w:rsid w:val="00C265C0"/>
    <w:rsid w:val="00C26B9E"/>
    <w:rsid w:val="00C2707E"/>
    <w:rsid w:val="00C27276"/>
    <w:rsid w:val="00C272EF"/>
    <w:rsid w:val="00C2732B"/>
    <w:rsid w:val="00C2753F"/>
    <w:rsid w:val="00C276A8"/>
    <w:rsid w:val="00C27975"/>
    <w:rsid w:val="00C300BC"/>
    <w:rsid w:val="00C318F7"/>
    <w:rsid w:val="00C319D2"/>
    <w:rsid w:val="00C31F85"/>
    <w:rsid w:val="00C32534"/>
    <w:rsid w:val="00C326EE"/>
    <w:rsid w:val="00C32951"/>
    <w:rsid w:val="00C32C02"/>
    <w:rsid w:val="00C32E98"/>
    <w:rsid w:val="00C33235"/>
    <w:rsid w:val="00C3332D"/>
    <w:rsid w:val="00C33677"/>
    <w:rsid w:val="00C34137"/>
    <w:rsid w:val="00C3476B"/>
    <w:rsid w:val="00C35240"/>
    <w:rsid w:val="00C368B3"/>
    <w:rsid w:val="00C36F07"/>
    <w:rsid w:val="00C37214"/>
    <w:rsid w:val="00C372E8"/>
    <w:rsid w:val="00C37BAA"/>
    <w:rsid w:val="00C409DC"/>
    <w:rsid w:val="00C40B1B"/>
    <w:rsid w:val="00C40E88"/>
    <w:rsid w:val="00C41390"/>
    <w:rsid w:val="00C4166C"/>
    <w:rsid w:val="00C416A3"/>
    <w:rsid w:val="00C41785"/>
    <w:rsid w:val="00C41F43"/>
    <w:rsid w:val="00C41FC1"/>
    <w:rsid w:val="00C42F9A"/>
    <w:rsid w:val="00C434C2"/>
    <w:rsid w:val="00C43940"/>
    <w:rsid w:val="00C44342"/>
    <w:rsid w:val="00C44452"/>
    <w:rsid w:val="00C44694"/>
    <w:rsid w:val="00C44744"/>
    <w:rsid w:val="00C45354"/>
    <w:rsid w:val="00C457C1"/>
    <w:rsid w:val="00C46625"/>
    <w:rsid w:val="00C46870"/>
    <w:rsid w:val="00C47119"/>
    <w:rsid w:val="00C47545"/>
    <w:rsid w:val="00C47593"/>
    <w:rsid w:val="00C479D8"/>
    <w:rsid w:val="00C5044B"/>
    <w:rsid w:val="00C506BD"/>
    <w:rsid w:val="00C50E55"/>
    <w:rsid w:val="00C51426"/>
    <w:rsid w:val="00C51622"/>
    <w:rsid w:val="00C51B13"/>
    <w:rsid w:val="00C51FB3"/>
    <w:rsid w:val="00C5223C"/>
    <w:rsid w:val="00C52A35"/>
    <w:rsid w:val="00C53213"/>
    <w:rsid w:val="00C53917"/>
    <w:rsid w:val="00C541DE"/>
    <w:rsid w:val="00C54C11"/>
    <w:rsid w:val="00C54C67"/>
    <w:rsid w:val="00C54E65"/>
    <w:rsid w:val="00C56042"/>
    <w:rsid w:val="00C56324"/>
    <w:rsid w:val="00C5653B"/>
    <w:rsid w:val="00C565A3"/>
    <w:rsid w:val="00C577F7"/>
    <w:rsid w:val="00C60667"/>
    <w:rsid w:val="00C60ABB"/>
    <w:rsid w:val="00C61AB9"/>
    <w:rsid w:val="00C61F84"/>
    <w:rsid w:val="00C625E5"/>
    <w:rsid w:val="00C62FF7"/>
    <w:rsid w:val="00C63135"/>
    <w:rsid w:val="00C63282"/>
    <w:rsid w:val="00C637DC"/>
    <w:rsid w:val="00C63EE8"/>
    <w:rsid w:val="00C6432E"/>
    <w:rsid w:val="00C65718"/>
    <w:rsid w:val="00C65C81"/>
    <w:rsid w:val="00C66772"/>
    <w:rsid w:val="00C66D2B"/>
    <w:rsid w:val="00C67580"/>
    <w:rsid w:val="00C6781C"/>
    <w:rsid w:val="00C67EA1"/>
    <w:rsid w:val="00C70AEE"/>
    <w:rsid w:val="00C71D15"/>
    <w:rsid w:val="00C71D53"/>
    <w:rsid w:val="00C7234D"/>
    <w:rsid w:val="00C7244E"/>
    <w:rsid w:val="00C726C9"/>
    <w:rsid w:val="00C72801"/>
    <w:rsid w:val="00C72C0A"/>
    <w:rsid w:val="00C7336B"/>
    <w:rsid w:val="00C73953"/>
    <w:rsid w:val="00C73E67"/>
    <w:rsid w:val="00C73FAD"/>
    <w:rsid w:val="00C740EA"/>
    <w:rsid w:val="00C7466F"/>
    <w:rsid w:val="00C74AE1"/>
    <w:rsid w:val="00C757B8"/>
    <w:rsid w:val="00C76906"/>
    <w:rsid w:val="00C76B7C"/>
    <w:rsid w:val="00C76CC7"/>
    <w:rsid w:val="00C76F81"/>
    <w:rsid w:val="00C776A4"/>
    <w:rsid w:val="00C800DD"/>
    <w:rsid w:val="00C80920"/>
    <w:rsid w:val="00C80B03"/>
    <w:rsid w:val="00C80EC5"/>
    <w:rsid w:val="00C81B5E"/>
    <w:rsid w:val="00C8243F"/>
    <w:rsid w:val="00C8289B"/>
    <w:rsid w:val="00C82A22"/>
    <w:rsid w:val="00C82D54"/>
    <w:rsid w:val="00C82F3B"/>
    <w:rsid w:val="00C836DC"/>
    <w:rsid w:val="00C837A0"/>
    <w:rsid w:val="00C837C4"/>
    <w:rsid w:val="00C83829"/>
    <w:rsid w:val="00C839EF"/>
    <w:rsid w:val="00C83C5E"/>
    <w:rsid w:val="00C83EDD"/>
    <w:rsid w:val="00C84BF1"/>
    <w:rsid w:val="00C84CA2"/>
    <w:rsid w:val="00C85A36"/>
    <w:rsid w:val="00C85C4C"/>
    <w:rsid w:val="00C85CD1"/>
    <w:rsid w:val="00C85F50"/>
    <w:rsid w:val="00C8648E"/>
    <w:rsid w:val="00C867FB"/>
    <w:rsid w:val="00C86C56"/>
    <w:rsid w:val="00C86F93"/>
    <w:rsid w:val="00C8773E"/>
    <w:rsid w:val="00C90601"/>
    <w:rsid w:val="00C90D16"/>
    <w:rsid w:val="00C9116A"/>
    <w:rsid w:val="00C91A98"/>
    <w:rsid w:val="00C92105"/>
    <w:rsid w:val="00C9265D"/>
    <w:rsid w:val="00C92824"/>
    <w:rsid w:val="00C92B8E"/>
    <w:rsid w:val="00C92D65"/>
    <w:rsid w:val="00C937BA"/>
    <w:rsid w:val="00C949FC"/>
    <w:rsid w:val="00C960CF"/>
    <w:rsid w:val="00C96672"/>
    <w:rsid w:val="00C96678"/>
    <w:rsid w:val="00C96772"/>
    <w:rsid w:val="00C96CFA"/>
    <w:rsid w:val="00C96E5A"/>
    <w:rsid w:val="00C96EB5"/>
    <w:rsid w:val="00C97CF6"/>
    <w:rsid w:val="00CA0257"/>
    <w:rsid w:val="00CA0917"/>
    <w:rsid w:val="00CA102B"/>
    <w:rsid w:val="00CA283D"/>
    <w:rsid w:val="00CA29D1"/>
    <w:rsid w:val="00CA2DD6"/>
    <w:rsid w:val="00CA3247"/>
    <w:rsid w:val="00CA337B"/>
    <w:rsid w:val="00CA3752"/>
    <w:rsid w:val="00CA3999"/>
    <w:rsid w:val="00CA39C0"/>
    <w:rsid w:val="00CA4916"/>
    <w:rsid w:val="00CA5AD3"/>
    <w:rsid w:val="00CA5E4F"/>
    <w:rsid w:val="00CA62DD"/>
    <w:rsid w:val="00CA69BA"/>
    <w:rsid w:val="00CA7DE6"/>
    <w:rsid w:val="00CB0339"/>
    <w:rsid w:val="00CB05DA"/>
    <w:rsid w:val="00CB110E"/>
    <w:rsid w:val="00CB11F8"/>
    <w:rsid w:val="00CB225B"/>
    <w:rsid w:val="00CB2EF5"/>
    <w:rsid w:val="00CB33E4"/>
    <w:rsid w:val="00CB3926"/>
    <w:rsid w:val="00CB3E9A"/>
    <w:rsid w:val="00CB4230"/>
    <w:rsid w:val="00CB431B"/>
    <w:rsid w:val="00CB4A77"/>
    <w:rsid w:val="00CB4EA5"/>
    <w:rsid w:val="00CB557F"/>
    <w:rsid w:val="00CB592B"/>
    <w:rsid w:val="00CB5C5F"/>
    <w:rsid w:val="00CB600E"/>
    <w:rsid w:val="00CB6414"/>
    <w:rsid w:val="00CB65B8"/>
    <w:rsid w:val="00CB6B16"/>
    <w:rsid w:val="00CB6CDF"/>
    <w:rsid w:val="00CB7264"/>
    <w:rsid w:val="00CB730F"/>
    <w:rsid w:val="00CB7577"/>
    <w:rsid w:val="00CB761C"/>
    <w:rsid w:val="00CB76B5"/>
    <w:rsid w:val="00CB7AD6"/>
    <w:rsid w:val="00CB7D95"/>
    <w:rsid w:val="00CC0495"/>
    <w:rsid w:val="00CC110F"/>
    <w:rsid w:val="00CC11B8"/>
    <w:rsid w:val="00CC17BA"/>
    <w:rsid w:val="00CC1AF9"/>
    <w:rsid w:val="00CC1DBF"/>
    <w:rsid w:val="00CC20E0"/>
    <w:rsid w:val="00CC2818"/>
    <w:rsid w:val="00CC2F7A"/>
    <w:rsid w:val="00CC3A70"/>
    <w:rsid w:val="00CC4033"/>
    <w:rsid w:val="00CC40B8"/>
    <w:rsid w:val="00CC4A00"/>
    <w:rsid w:val="00CC5444"/>
    <w:rsid w:val="00CC55B4"/>
    <w:rsid w:val="00CC5631"/>
    <w:rsid w:val="00CC62A6"/>
    <w:rsid w:val="00CC676C"/>
    <w:rsid w:val="00CC7A11"/>
    <w:rsid w:val="00CD04A8"/>
    <w:rsid w:val="00CD051B"/>
    <w:rsid w:val="00CD0EC2"/>
    <w:rsid w:val="00CD13FE"/>
    <w:rsid w:val="00CD1DB1"/>
    <w:rsid w:val="00CD1FD8"/>
    <w:rsid w:val="00CD22B5"/>
    <w:rsid w:val="00CD22F4"/>
    <w:rsid w:val="00CD25E1"/>
    <w:rsid w:val="00CD367C"/>
    <w:rsid w:val="00CD3B50"/>
    <w:rsid w:val="00CD454A"/>
    <w:rsid w:val="00CD4F54"/>
    <w:rsid w:val="00CD4FFE"/>
    <w:rsid w:val="00CD53CF"/>
    <w:rsid w:val="00CD57FA"/>
    <w:rsid w:val="00CD5A6E"/>
    <w:rsid w:val="00CD6901"/>
    <w:rsid w:val="00CD711F"/>
    <w:rsid w:val="00CD74A7"/>
    <w:rsid w:val="00CD777E"/>
    <w:rsid w:val="00CD780D"/>
    <w:rsid w:val="00CD79B2"/>
    <w:rsid w:val="00CE0F66"/>
    <w:rsid w:val="00CE157C"/>
    <w:rsid w:val="00CE1AF6"/>
    <w:rsid w:val="00CE2298"/>
    <w:rsid w:val="00CE3064"/>
    <w:rsid w:val="00CE39E4"/>
    <w:rsid w:val="00CE4282"/>
    <w:rsid w:val="00CE54E1"/>
    <w:rsid w:val="00CE55B6"/>
    <w:rsid w:val="00CE57BF"/>
    <w:rsid w:val="00CE5856"/>
    <w:rsid w:val="00CE5BDE"/>
    <w:rsid w:val="00CE6A6D"/>
    <w:rsid w:val="00CE774C"/>
    <w:rsid w:val="00CF012E"/>
    <w:rsid w:val="00CF04D4"/>
    <w:rsid w:val="00CF0B4C"/>
    <w:rsid w:val="00CF1680"/>
    <w:rsid w:val="00CF1BD7"/>
    <w:rsid w:val="00CF21A5"/>
    <w:rsid w:val="00CF2518"/>
    <w:rsid w:val="00CF28DF"/>
    <w:rsid w:val="00CF2D12"/>
    <w:rsid w:val="00CF2DDE"/>
    <w:rsid w:val="00CF344A"/>
    <w:rsid w:val="00CF39A0"/>
    <w:rsid w:val="00CF3D1C"/>
    <w:rsid w:val="00CF4713"/>
    <w:rsid w:val="00CF481D"/>
    <w:rsid w:val="00CF4B12"/>
    <w:rsid w:val="00CF58FE"/>
    <w:rsid w:val="00CF5EBE"/>
    <w:rsid w:val="00CF783B"/>
    <w:rsid w:val="00CF7D97"/>
    <w:rsid w:val="00CF7EEC"/>
    <w:rsid w:val="00D001C2"/>
    <w:rsid w:val="00D00779"/>
    <w:rsid w:val="00D009D8"/>
    <w:rsid w:val="00D012E1"/>
    <w:rsid w:val="00D01318"/>
    <w:rsid w:val="00D01665"/>
    <w:rsid w:val="00D017D6"/>
    <w:rsid w:val="00D01D1E"/>
    <w:rsid w:val="00D0213D"/>
    <w:rsid w:val="00D02580"/>
    <w:rsid w:val="00D03BF7"/>
    <w:rsid w:val="00D03F1E"/>
    <w:rsid w:val="00D0428E"/>
    <w:rsid w:val="00D04426"/>
    <w:rsid w:val="00D0482F"/>
    <w:rsid w:val="00D04A33"/>
    <w:rsid w:val="00D04F93"/>
    <w:rsid w:val="00D05892"/>
    <w:rsid w:val="00D061EB"/>
    <w:rsid w:val="00D06824"/>
    <w:rsid w:val="00D06C03"/>
    <w:rsid w:val="00D1037A"/>
    <w:rsid w:val="00D10D09"/>
    <w:rsid w:val="00D1163E"/>
    <w:rsid w:val="00D12362"/>
    <w:rsid w:val="00D127E6"/>
    <w:rsid w:val="00D12A4F"/>
    <w:rsid w:val="00D14A3B"/>
    <w:rsid w:val="00D14C15"/>
    <w:rsid w:val="00D14F85"/>
    <w:rsid w:val="00D155E3"/>
    <w:rsid w:val="00D15CB3"/>
    <w:rsid w:val="00D15F51"/>
    <w:rsid w:val="00D1636A"/>
    <w:rsid w:val="00D1665F"/>
    <w:rsid w:val="00D16E96"/>
    <w:rsid w:val="00D16ED5"/>
    <w:rsid w:val="00D202B1"/>
    <w:rsid w:val="00D20662"/>
    <w:rsid w:val="00D21291"/>
    <w:rsid w:val="00D21C8A"/>
    <w:rsid w:val="00D2297E"/>
    <w:rsid w:val="00D22DE5"/>
    <w:rsid w:val="00D233BD"/>
    <w:rsid w:val="00D233D7"/>
    <w:rsid w:val="00D23CBB"/>
    <w:rsid w:val="00D255D4"/>
    <w:rsid w:val="00D25806"/>
    <w:rsid w:val="00D25E9D"/>
    <w:rsid w:val="00D25F1C"/>
    <w:rsid w:val="00D268A0"/>
    <w:rsid w:val="00D268E4"/>
    <w:rsid w:val="00D26DE6"/>
    <w:rsid w:val="00D26EE7"/>
    <w:rsid w:val="00D271B3"/>
    <w:rsid w:val="00D27F16"/>
    <w:rsid w:val="00D30718"/>
    <w:rsid w:val="00D322FB"/>
    <w:rsid w:val="00D32475"/>
    <w:rsid w:val="00D32EF4"/>
    <w:rsid w:val="00D33608"/>
    <w:rsid w:val="00D33F81"/>
    <w:rsid w:val="00D34850"/>
    <w:rsid w:val="00D35060"/>
    <w:rsid w:val="00D369D4"/>
    <w:rsid w:val="00D36AD7"/>
    <w:rsid w:val="00D373E9"/>
    <w:rsid w:val="00D37C61"/>
    <w:rsid w:val="00D403FF"/>
    <w:rsid w:val="00D404C4"/>
    <w:rsid w:val="00D4057E"/>
    <w:rsid w:val="00D40830"/>
    <w:rsid w:val="00D40CE9"/>
    <w:rsid w:val="00D42115"/>
    <w:rsid w:val="00D42EFD"/>
    <w:rsid w:val="00D457D1"/>
    <w:rsid w:val="00D458AA"/>
    <w:rsid w:val="00D46338"/>
    <w:rsid w:val="00D46BA2"/>
    <w:rsid w:val="00D47234"/>
    <w:rsid w:val="00D47281"/>
    <w:rsid w:val="00D47581"/>
    <w:rsid w:val="00D47AEF"/>
    <w:rsid w:val="00D50295"/>
    <w:rsid w:val="00D5069A"/>
    <w:rsid w:val="00D508AF"/>
    <w:rsid w:val="00D50E43"/>
    <w:rsid w:val="00D51469"/>
    <w:rsid w:val="00D516C7"/>
    <w:rsid w:val="00D52B45"/>
    <w:rsid w:val="00D530EB"/>
    <w:rsid w:val="00D53393"/>
    <w:rsid w:val="00D535B6"/>
    <w:rsid w:val="00D54911"/>
    <w:rsid w:val="00D55235"/>
    <w:rsid w:val="00D55D78"/>
    <w:rsid w:val="00D5719C"/>
    <w:rsid w:val="00D57273"/>
    <w:rsid w:val="00D572B2"/>
    <w:rsid w:val="00D57F53"/>
    <w:rsid w:val="00D60CAB"/>
    <w:rsid w:val="00D610FD"/>
    <w:rsid w:val="00D612AF"/>
    <w:rsid w:val="00D619F3"/>
    <w:rsid w:val="00D61AEB"/>
    <w:rsid w:val="00D61B5D"/>
    <w:rsid w:val="00D62A5B"/>
    <w:rsid w:val="00D62B43"/>
    <w:rsid w:val="00D62ECD"/>
    <w:rsid w:val="00D63748"/>
    <w:rsid w:val="00D639F0"/>
    <w:rsid w:val="00D63C1B"/>
    <w:rsid w:val="00D63D76"/>
    <w:rsid w:val="00D64BFF"/>
    <w:rsid w:val="00D64DE1"/>
    <w:rsid w:val="00D64E3F"/>
    <w:rsid w:val="00D653D0"/>
    <w:rsid w:val="00D6562A"/>
    <w:rsid w:val="00D65F09"/>
    <w:rsid w:val="00D6662A"/>
    <w:rsid w:val="00D6692A"/>
    <w:rsid w:val="00D66E55"/>
    <w:rsid w:val="00D674E9"/>
    <w:rsid w:val="00D67899"/>
    <w:rsid w:val="00D6799A"/>
    <w:rsid w:val="00D7009C"/>
    <w:rsid w:val="00D70F17"/>
    <w:rsid w:val="00D712DA"/>
    <w:rsid w:val="00D719EF"/>
    <w:rsid w:val="00D721FF"/>
    <w:rsid w:val="00D72327"/>
    <w:rsid w:val="00D727E0"/>
    <w:rsid w:val="00D72B87"/>
    <w:rsid w:val="00D72C72"/>
    <w:rsid w:val="00D7328A"/>
    <w:rsid w:val="00D74160"/>
    <w:rsid w:val="00D75D22"/>
    <w:rsid w:val="00D75DA5"/>
    <w:rsid w:val="00D764FA"/>
    <w:rsid w:val="00D76C58"/>
    <w:rsid w:val="00D76CF2"/>
    <w:rsid w:val="00D76E7C"/>
    <w:rsid w:val="00D77187"/>
    <w:rsid w:val="00D771D1"/>
    <w:rsid w:val="00D80193"/>
    <w:rsid w:val="00D80B40"/>
    <w:rsid w:val="00D80BC9"/>
    <w:rsid w:val="00D8155B"/>
    <w:rsid w:val="00D81E79"/>
    <w:rsid w:val="00D821CC"/>
    <w:rsid w:val="00D825A5"/>
    <w:rsid w:val="00D825B7"/>
    <w:rsid w:val="00D8290E"/>
    <w:rsid w:val="00D82AD1"/>
    <w:rsid w:val="00D82E6E"/>
    <w:rsid w:val="00D83040"/>
    <w:rsid w:val="00D8323B"/>
    <w:rsid w:val="00D83489"/>
    <w:rsid w:val="00D834F0"/>
    <w:rsid w:val="00D83D13"/>
    <w:rsid w:val="00D841AC"/>
    <w:rsid w:val="00D8589D"/>
    <w:rsid w:val="00D85A81"/>
    <w:rsid w:val="00D862E4"/>
    <w:rsid w:val="00D86466"/>
    <w:rsid w:val="00D870E8"/>
    <w:rsid w:val="00D87423"/>
    <w:rsid w:val="00D87452"/>
    <w:rsid w:val="00D87485"/>
    <w:rsid w:val="00D907CB"/>
    <w:rsid w:val="00D912B0"/>
    <w:rsid w:val="00D91343"/>
    <w:rsid w:val="00D91BF2"/>
    <w:rsid w:val="00D933CE"/>
    <w:rsid w:val="00D93532"/>
    <w:rsid w:val="00D93C1C"/>
    <w:rsid w:val="00D94026"/>
    <w:rsid w:val="00D94120"/>
    <w:rsid w:val="00D951DD"/>
    <w:rsid w:val="00D952ED"/>
    <w:rsid w:val="00D957FA"/>
    <w:rsid w:val="00D9664C"/>
    <w:rsid w:val="00D97404"/>
    <w:rsid w:val="00D975A3"/>
    <w:rsid w:val="00D979D0"/>
    <w:rsid w:val="00DA032E"/>
    <w:rsid w:val="00DA05C6"/>
    <w:rsid w:val="00DA08CA"/>
    <w:rsid w:val="00DA0F37"/>
    <w:rsid w:val="00DA101A"/>
    <w:rsid w:val="00DA122C"/>
    <w:rsid w:val="00DA17A7"/>
    <w:rsid w:val="00DA2587"/>
    <w:rsid w:val="00DA2FD5"/>
    <w:rsid w:val="00DA42A3"/>
    <w:rsid w:val="00DA4838"/>
    <w:rsid w:val="00DA4989"/>
    <w:rsid w:val="00DA5721"/>
    <w:rsid w:val="00DA5AA4"/>
    <w:rsid w:val="00DA6173"/>
    <w:rsid w:val="00DA7477"/>
    <w:rsid w:val="00DA7573"/>
    <w:rsid w:val="00DA7BD4"/>
    <w:rsid w:val="00DB0191"/>
    <w:rsid w:val="00DB0359"/>
    <w:rsid w:val="00DB0EF6"/>
    <w:rsid w:val="00DB0F8A"/>
    <w:rsid w:val="00DB26A8"/>
    <w:rsid w:val="00DB27CF"/>
    <w:rsid w:val="00DB323B"/>
    <w:rsid w:val="00DB324C"/>
    <w:rsid w:val="00DB3FD3"/>
    <w:rsid w:val="00DB4B71"/>
    <w:rsid w:val="00DB5CB8"/>
    <w:rsid w:val="00DB5F2A"/>
    <w:rsid w:val="00DB66F3"/>
    <w:rsid w:val="00DB6F27"/>
    <w:rsid w:val="00DB6F45"/>
    <w:rsid w:val="00DB72B7"/>
    <w:rsid w:val="00DB7546"/>
    <w:rsid w:val="00DB75D0"/>
    <w:rsid w:val="00DC0624"/>
    <w:rsid w:val="00DC0FC3"/>
    <w:rsid w:val="00DC1A58"/>
    <w:rsid w:val="00DC1AC0"/>
    <w:rsid w:val="00DC1CDD"/>
    <w:rsid w:val="00DC1D8E"/>
    <w:rsid w:val="00DC20C3"/>
    <w:rsid w:val="00DC227A"/>
    <w:rsid w:val="00DC2360"/>
    <w:rsid w:val="00DC26E4"/>
    <w:rsid w:val="00DC2956"/>
    <w:rsid w:val="00DC2BAE"/>
    <w:rsid w:val="00DC2CEE"/>
    <w:rsid w:val="00DC3257"/>
    <w:rsid w:val="00DC3279"/>
    <w:rsid w:val="00DC3BF1"/>
    <w:rsid w:val="00DC4883"/>
    <w:rsid w:val="00DC4D1D"/>
    <w:rsid w:val="00DC4D87"/>
    <w:rsid w:val="00DC54EB"/>
    <w:rsid w:val="00DC580A"/>
    <w:rsid w:val="00DC5B50"/>
    <w:rsid w:val="00DC66BC"/>
    <w:rsid w:val="00DC69CA"/>
    <w:rsid w:val="00DC727F"/>
    <w:rsid w:val="00DC7E78"/>
    <w:rsid w:val="00DD0493"/>
    <w:rsid w:val="00DD0924"/>
    <w:rsid w:val="00DD0CBF"/>
    <w:rsid w:val="00DD1071"/>
    <w:rsid w:val="00DD12FD"/>
    <w:rsid w:val="00DD1576"/>
    <w:rsid w:val="00DD2893"/>
    <w:rsid w:val="00DD2BBC"/>
    <w:rsid w:val="00DD412B"/>
    <w:rsid w:val="00DD4659"/>
    <w:rsid w:val="00DD4717"/>
    <w:rsid w:val="00DD4F74"/>
    <w:rsid w:val="00DD531F"/>
    <w:rsid w:val="00DD556C"/>
    <w:rsid w:val="00DD5737"/>
    <w:rsid w:val="00DD5E81"/>
    <w:rsid w:val="00DD5F10"/>
    <w:rsid w:val="00DD630D"/>
    <w:rsid w:val="00DD6C46"/>
    <w:rsid w:val="00DD6C7A"/>
    <w:rsid w:val="00DD6F44"/>
    <w:rsid w:val="00DD7CCA"/>
    <w:rsid w:val="00DE0BDE"/>
    <w:rsid w:val="00DE10CF"/>
    <w:rsid w:val="00DE1270"/>
    <w:rsid w:val="00DE1E1E"/>
    <w:rsid w:val="00DE223E"/>
    <w:rsid w:val="00DE289F"/>
    <w:rsid w:val="00DE2D33"/>
    <w:rsid w:val="00DE34EB"/>
    <w:rsid w:val="00DE3592"/>
    <w:rsid w:val="00DE3E78"/>
    <w:rsid w:val="00DE41F8"/>
    <w:rsid w:val="00DE4B9D"/>
    <w:rsid w:val="00DE50EA"/>
    <w:rsid w:val="00DE51C7"/>
    <w:rsid w:val="00DE5234"/>
    <w:rsid w:val="00DE545C"/>
    <w:rsid w:val="00DE5C9F"/>
    <w:rsid w:val="00DE5ED3"/>
    <w:rsid w:val="00DE621A"/>
    <w:rsid w:val="00DE65D5"/>
    <w:rsid w:val="00DE670E"/>
    <w:rsid w:val="00DE734E"/>
    <w:rsid w:val="00DE7887"/>
    <w:rsid w:val="00DE7BF8"/>
    <w:rsid w:val="00DF00F1"/>
    <w:rsid w:val="00DF0982"/>
    <w:rsid w:val="00DF0DC3"/>
    <w:rsid w:val="00DF12D9"/>
    <w:rsid w:val="00DF14F9"/>
    <w:rsid w:val="00DF161A"/>
    <w:rsid w:val="00DF1C2D"/>
    <w:rsid w:val="00DF1FAE"/>
    <w:rsid w:val="00DF2AD9"/>
    <w:rsid w:val="00DF54D0"/>
    <w:rsid w:val="00DF580C"/>
    <w:rsid w:val="00DF5C1A"/>
    <w:rsid w:val="00DF60CE"/>
    <w:rsid w:val="00DF6BCB"/>
    <w:rsid w:val="00DF6D45"/>
    <w:rsid w:val="00DF7025"/>
    <w:rsid w:val="00DF7042"/>
    <w:rsid w:val="00DF78FD"/>
    <w:rsid w:val="00DF7922"/>
    <w:rsid w:val="00DF7EFE"/>
    <w:rsid w:val="00E00E15"/>
    <w:rsid w:val="00E00F63"/>
    <w:rsid w:val="00E01210"/>
    <w:rsid w:val="00E01957"/>
    <w:rsid w:val="00E01B8E"/>
    <w:rsid w:val="00E01D50"/>
    <w:rsid w:val="00E01D90"/>
    <w:rsid w:val="00E02664"/>
    <w:rsid w:val="00E02C4D"/>
    <w:rsid w:val="00E031A5"/>
    <w:rsid w:val="00E0341B"/>
    <w:rsid w:val="00E0348F"/>
    <w:rsid w:val="00E035A6"/>
    <w:rsid w:val="00E038F5"/>
    <w:rsid w:val="00E03D67"/>
    <w:rsid w:val="00E04510"/>
    <w:rsid w:val="00E04784"/>
    <w:rsid w:val="00E05569"/>
    <w:rsid w:val="00E05A6C"/>
    <w:rsid w:val="00E05B1F"/>
    <w:rsid w:val="00E05F59"/>
    <w:rsid w:val="00E0642B"/>
    <w:rsid w:val="00E0655D"/>
    <w:rsid w:val="00E0777F"/>
    <w:rsid w:val="00E1024A"/>
    <w:rsid w:val="00E10373"/>
    <w:rsid w:val="00E10376"/>
    <w:rsid w:val="00E10B17"/>
    <w:rsid w:val="00E10B67"/>
    <w:rsid w:val="00E113FA"/>
    <w:rsid w:val="00E12742"/>
    <w:rsid w:val="00E12AB9"/>
    <w:rsid w:val="00E12B67"/>
    <w:rsid w:val="00E1360D"/>
    <w:rsid w:val="00E141D3"/>
    <w:rsid w:val="00E14941"/>
    <w:rsid w:val="00E14D47"/>
    <w:rsid w:val="00E1526B"/>
    <w:rsid w:val="00E1534B"/>
    <w:rsid w:val="00E15408"/>
    <w:rsid w:val="00E15743"/>
    <w:rsid w:val="00E15C52"/>
    <w:rsid w:val="00E15EDA"/>
    <w:rsid w:val="00E15F0B"/>
    <w:rsid w:val="00E160E8"/>
    <w:rsid w:val="00E16199"/>
    <w:rsid w:val="00E16311"/>
    <w:rsid w:val="00E1702C"/>
    <w:rsid w:val="00E20CC5"/>
    <w:rsid w:val="00E211B5"/>
    <w:rsid w:val="00E21ACA"/>
    <w:rsid w:val="00E229D0"/>
    <w:rsid w:val="00E22B80"/>
    <w:rsid w:val="00E22C0E"/>
    <w:rsid w:val="00E22CFF"/>
    <w:rsid w:val="00E231CD"/>
    <w:rsid w:val="00E231E1"/>
    <w:rsid w:val="00E23888"/>
    <w:rsid w:val="00E23A03"/>
    <w:rsid w:val="00E23B9C"/>
    <w:rsid w:val="00E23CE3"/>
    <w:rsid w:val="00E23CF7"/>
    <w:rsid w:val="00E23E76"/>
    <w:rsid w:val="00E249DB"/>
    <w:rsid w:val="00E253A3"/>
    <w:rsid w:val="00E25402"/>
    <w:rsid w:val="00E259B0"/>
    <w:rsid w:val="00E25AF8"/>
    <w:rsid w:val="00E265F4"/>
    <w:rsid w:val="00E26AEC"/>
    <w:rsid w:val="00E26F94"/>
    <w:rsid w:val="00E27510"/>
    <w:rsid w:val="00E2757B"/>
    <w:rsid w:val="00E2792D"/>
    <w:rsid w:val="00E30828"/>
    <w:rsid w:val="00E30B37"/>
    <w:rsid w:val="00E31032"/>
    <w:rsid w:val="00E3109C"/>
    <w:rsid w:val="00E311D1"/>
    <w:rsid w:val="00E31C2D"/>
    <w:rsid w:val="00E32155"/>
    <w:rsid w:val="00E32432"/>
    <w:rsid w:val="00E32905"/>
    <w:rsid w:val="00E33A21"/>
    <w:rsid w:val="00E33B1E"/>
    <w:rsid w:val="00E33FF9"/>
    <w:rsid w:val="00E34277"/>
    <w:rsid w:val="00E35276"/>
    <w:rsid w:val="00E3621B"/>
    <w:rsid w:val="00E365CE"/>
    <w:rsid w:val="00E3692A"/>
    <w:rsid w:val="00E36F43"/>
    <w:rsid w:val="00E37F0C"/>
    <w:rsid w:val="00E4018C"/>
    <w:rsid w:val="00E40ADF"/>
    <w:rsid w:val="00E418E3"/>
    <w:rsid w:val="00E423DE"/>
    <w:rsid w:val="00E42F07"/>
    <w:rsid w:val="00E4370F"/>
    <w:rsid w:val="00E4441D"/>
    <w:rsid w:val="00E453AB"/>
    <w:rsid w:val="00E462E6"/>
    <w:rsid w:val="00E46311"/>
    <w:rsid w:val="00E463A0"/>
    <w:rsid w:val="00E47839"/>
    <w:rsid w:val="00E50955"/>
    <w:rsid w:val="00E51CDE"/>
    <w:rsid w:val="00E5210B"/>
    <w:rsid w:val="00E5295D"/>
    <w:rsid w:val="00E53631"/>
    <w:rsid w:val="00E5388F"/>
    <w:rsid w:val="00E54239"/>
    <w:rsid w:val="00E54272"/>
    <w:rsid w:val="00E542BC"/>
    <w:rsid w:val="00E54521"/>
    <w:rsid w:val="00E54617"/>
    <w:rsid w:val="00E5484B"/>
    <w:rsid w:val="00E5496D"/>
    <w:rsid w:val="00E55947"/>
    <w:rsid w:val="00E56023"/>
    <w:rsid w:val="00E56D6E"/>
    <w:rsid w:val="00E56FEF"/>
    <w:rsid w:val="00E577F9"/>
    <w:rsid w:val="00E57FB5"/>
    <w:rsid w:val="00E6000B"/>
    <w:rsid w:val="00E6071B"/>
    <w:rsid w:val="00E60E7C"/>
    <w:rsid w:val="00E60F14"/>
    <w:rsid w:val="00E61B23"/>
    <w:rsid w:val="00E625BE"/>
    <w:rsid w:val="00E6284B"/>
    <w:rsid w:val="00E62D07"/>
    <w:rsid w:val="00E62DF6"/>
    <w:rsid w:val="00E63A22"/>
    <w:rsid w:val="00E63B8F"/>
    <w:rsid w:val="00E646B5"/>
    <w:rsid w:val="00E65106"/>
    <w:rsid w:val="00E65427"/>
    <w:rsid w:val="00E6543F"/>
    <w:rsid w:val="00E661C0"/>
    <w:rsid w:val="00E663F5"/>
    <w:rsid w:val="00E666E6"/>
    <w:rsid w:val="00E66E0F"/>
    <w:rsid w:val="00E66E97"/>
    <w:rsid w:val="00E66FC3"/>
    <w:rsid w:val="00E70BD6"/>
    <w:rsid w:val="00E7108B"/>
    <w:rsid w:val="00E71305"/>
    <w:rsid w:val="00E7168C"/>
    <w:rsid w:val="00E72383"/>
    <w:rsid w:val="00E724D2"/>
    <w:rsid w:val="00E72D9F"/>
    <w:rsid w:val="00E73C41"/>
    <w:rsid w:val="00E74933"/>
    <w:rsid w:val="00E74EDC"/>
    <w:rsid w:val="00E751CE"/>
    <w:rsid w:val="00E75737"/>
    <w:rsid w:val="00E7584F"/>
    <w:rsid w:val="00E75875"/>
    <w:rsid w:val="00E75886"/>
    <w:rsid w:val="00E75ABC"/>
    <w:rsid w:val="00E75D6E"/>
    <w:rsid w:val="00E76007"/>
    <w:rsid w:val="00E76181"/>
    <w:rsid w:val="00E770F2"/>
    <w:rsid w:val="00E77EAC"/>
    <w:rsid w:val="00E81069"/>
    <w:rsid w:val="00E817AD"/>
    <w:rsid w:val="00E817EF"/>
    <w:rsid w:val="00E8184F"/>
    <w:rsid w:val="00E828D5"/>
    <w:rsid w:val="00E82B98"/>
    <w:rsid w:val="00E82D81"/>
    <w:rsid w:val="00E83259"/>
    <w:rsid w:val="00E8333C"/>
    <w:rsid w:val="00E839BE"/>
    <w:rsid w:val="00E83CAC"/>
    <w:rsid w:val="00E84C89"/>
    <w:rsid w:val="00E84EFF"/>
    <w:rsid w:val="00E84F6E"/>
    <w:rsid w:val="00E852FB"/>
    <w:rsid w:val="00E85E03"/>
    <w:rsid w:val="00E85E56"/>
    <w:rsid w:val="00E860DD"/>
    <w:rsid w:val="00E86325"/>
    <w:rsid w:val="00E86ED7"/>
    <w:rsid w:val="00E8713D"/>
    <w:rsid w:val="00E90329"/>
    <w:rsid w:val="00E910D5"/>
    <w:rsid w:val="00E91A63"/>
    <w:rsid w:val="00E922C4"/>
    <w:rsid w:val="00E943AE"/>
    <w:rsid w:val="00E947B0"/>
    <w:rsid w:val="00E9485E"/>
    <w:rsid w:val="00E95D82"/>
    <w:rsid w:val="00E95F21"/>
    <w:rsid w:val="00E96273"/>
    <w:rsid w:val="00E96E97"/>
    <w:rsid w:val="00E97D49"/>
    <w:rsid w:val="00EA0251"/>
    <w:rsid w:val="00EA04DB"/>
    <w:rsid w:val="00EA1065"/>
    <w:rsid w:val="00EA1434"/>
    <w:rsid w:val="00EA22F1"/>
    <w:rsid w:val="00EA3648"/>
    <w:rsid w:val="00EA3C3E"/>
    <w:rsid w:val="00EA4694"/>
    <w:rsid w:val="00EA48D3"/>
    <w:rsid w:val="00EA48E8"/>
    <w:rsid w:val="00EA4C20"/>
    <w:rsid w:val="00EA546B"/>
    <w:rsid w:val="00EA57C5"/>
    <w:rsid w:val="00EA5D1D"/>
    <w:rsid w:val="00EA5D7E"/>
    <w:rsid w:val="00EA5F31"/>
    <w:rsid w:val="00EA5F92"/>
    <w:rsid w:val="00EA6297"/>
    <w:rsid w:val="00EA64B4"/>
    <w:rsid w:val="00EA65F1"/>
    <w:rsid w:val="00EA6665"/>
    <w:rsid w:val="00EA6935"/>
    <w:rsid w:val="00EA6967"/>
    <w:rsid w:val="00EA6F44"/>
    <w:rsid w:val="00EA7613"/>
    <w:rsid w:val="00EA793B"/>
    <w:rsid w:val="00EA7A7E"/>
    <w:rsid w:val="00EB0072"/>
    <w:rsid w:val="00EB05DA"/>
    <w:rsid w:val="00EB09EB"/>
    <w:rsid w:val="00EB190F"/>
    <w:rsid w:val="00EB235B"/>
    <w:rsid w:val="00EB31A3"/>
    <w:rsid w:val="00EB325B"/>
    <w:rsid w:val="00EB3E22"/>
    <w:rsid w:val="00EB4D48"/>
    <w:rsid w:val="00EB5155"/>
    <w:rsid w:val="00EB5BA2"/>
    <w:rsid w:val="00EB63C7"/>
    <w:rsid w:val="00EB693B"/>
    <w:rsid w:val="00EB6CA3"/>
    <w:rsid w:val="00EB7634"/>
    <w:rsid w:val="00EB7BA9"/>
    <w:rsid w:val="00EB7D75"/>
    <w:rsid w:val="00EC0B20"/>
    <w:rsid w:val="00EC0CCA"/>
    <w:rsid w:val="00EC0EE7"/>
    <w:rsid w:val="00EC1C3A"/>
    <w:rsid w:val="00EC1F51"/>
    <w:rsid w:val="00EC27F7"/>
    <w:rsid w:val="00EC2B1D"/>
    <w:rsid w:val="00EC3579"/>
    <w:rsid w:val="00EC37A8"/>
    <w:rsid w:val="00EC3FD5"/>
    <w:rsid w:val="00EC4233"/>
    <w:rsid w:val="00EC4544"/>
    <w:rsid w:val="00EC4A85"/>
    <w:rsid w:val="00EC57B2"/>
    <w:rsid w:val="00EC58F4"/>
    <w:rsid w:val="00EC621F"/>
    <w:rsid w:val="00EC650B"/>
    <w:rsid w:val="00EC7025"/>
    <w:rsid w:val="00EC7808"/>
    <w:rsid w:val="00EC7BFA"/>
    <w:rsid w:val="00ED042E"/>
    <w:rsid w:val="00ED1295"/>
    <w:rsid w:val="00ED1EF7"/>
    <w:rsid w:val="00ED22F4"/>
    <w:rsid w:val="00ED2725"/>
    <w:rsid w:val="00ED34D1"/>
    <w:rsid w:val="00ED367F"/>
    <w:rsid w:val="00ED4206"/>
    <w:rsid w:val="00ED5079"/>
    <w:rsid w:val="00ED58A2"/>
    <w:rsid w:val="00ED58C3"/>
    <w:rsid w:val="00ED5C71"/>
    <w:rsid w:val="00ED5EEE"/>
    <w:rsid w:val="00ED667C"/>
    <w:rsid w:val="00ED6814"/>
    <w:rsid w:val="00ED6AB6"/>
    <w:rsid w:val="00ED6B7D"/>
    <w:rsid w:val="00ED76E7"/>
    <w:rsid w:val="00ED7966"/>
    <w:rsid w:val="00EE01CC"/>
    <w:rsid w:val="00EE04EE"/>
    <w:rsid w:val="00EE1760"/>
    <w:rsid w:val="00EE287D"/>
    <w:rsid w:val="00EE3866"/>
    <w:rsid w:val="00EE3B32"/>
    <w:rsid w:val="00EE3CFF"/>
    <w:rsid w:val="00EE3F39"/>
    <w:rsid w:val="00EE414C"/>
    <w:rsid w:val="00EE44FE"/>
    <w:rsid w:val="00EE4841"/>
    <w:rsid w:val="00EE524B"/>
    <w:rsid w:val="00EE5406"/>
    <w:rsid w:val="00EE5E33"/>
    <w:rsid w:val="00EE5EF8"/>
    <w:rsid w:val="00EE62C5"/>
    <w:rsid w:val="00EE6964"/>
    <w:rsid w:val="00EE6A1D"/>
    <w:rsid w:val="00EE6D18"/>
    <w:rsid w:val="00EE7D3B"/>
    <w:rsid w:val="00EE7E7A"/>
    <w:rsid w:val="00EE7FA4"/>
    <w:rsid w:val="00EF1230"/>
    <w:rsid w:val="00EF223B"/>
    <w:rsid w:val="00EF29DE"/>
    <w:rsid w:val="00EF3978"/>
    <w:rsid w:val="00EF3AAC"/>
    <w:rsid w:val="00EF4C18"/>
    <w:rsid w:val="00EF4D42"/>
    <w:rsid w:val="00EF4FD1"/>
    <w:rsid w:val="00EF5318"/>
    <w:rsid w:val="00EF57EF"/>
    <w:rsid w:val="00EF63DE"/>
    <w:rsid w:val="00EF708A"/>
    <w:rsid w:val="00EF72C3"/>
    <w:rsid w:val="00EF7680"/>
    <w:rsid w:val="00EF79CE"/>
    <w:rsid w:val="00F00152"/>
    <w:rsid w:val="00F00352"/>
    <w:rsid w:val="00F00533"/>
    <w:rsid w:val="00F00B1B"/>
    <w:rsid w:val="00F00E37"/>
    <w:rsid w:val="00F010EE"/>
    <w:rsid w:val="00F01383"/>
    <w:rsid w:val="00F0167D"/>
    <w:rsid w:val="00F0177A"/>
    <w:rsid w:val="00F019D5"/>
    <w:rsid w:val="00F021D3"/>
    <w:rsid w:val="00F02500"/>
    <w:rsid w:val="00F032E2"/>
    <w:rsid w:val="00F037E3"/>
    <w:rsid w:val="00F03CA2"/>
    <w:rsid w:val="00F03FF2"/>
    <w:rsid w:val="00F04009"/>
    <w:rsid w:val="00F04F9E"/>
    <w:rsid w:val="00F06A47"/>
    <w:rsid w:val="00F0717F"/>
    <w:rsid w:val="00F0747A"/>
    <w:rsid w:val="00F07849"/>
    <w:rsid w:val="00F07882"/>
    <w:rsid w:val="00F07883"/>
    <w:rsid w:val="00F07E6C"/>
    <w:rsid w:val="00F10177"/>
    <w:rsid w:val="00F105EE"/>
    <w:rsid w:val="00F10D83"/>
    <w:rsid w:val="00F1154E"/>
    <w:rsid w:val="00F116A8"/>
    <w:rsid w:val="00F1196B"/>
    <w:rsid w:val="00F11A6A"/>
    <w:rsid w:val="00F126BD"/>
    <w:rsid w:val="00F13047"/>
    <w:rsid w:val="00F13433"/>
    <w:rsid w:val="00F134FC"/>
    <w:rsid w:val="00F1350E"/>
    <w:rsid w:val="00F13CD3"/>
    <w:rsid w:val="00F13E39"/>
    <w:rsid w:val="00F14419"/>
    <w:rsid w:val="00F1470E"/>
    <w:rsid w:val="00F147A5"/>
    <w:rsid w:val="00F14AA7"/>
    <w:rsid w:val="00F14EF1"/>
    <w:rsid w:val="00F1527E"/>
    <w:rsid w:val="00F157FA"/>
    <w:rsid w:val="00F15884"/>
    <w:rsid w:val="00F15B8E"/>
    <w:rsid w:val="00F16665"/>
    <w:rsid w:val="00F16FB0"/>
    <w:rsid w:val="00F1733B"/>
    <w:rsid w:val="00F173CB"/>
    <w:rsid w:val="00F17474"/>
    <w:rsid w:val="00F201CC"/>
    <w:rsid w:val="00F20487"/>
    <w:rsid w:val="00F20A84"/>
    <w:rsid w:val="00F20F65"/>
    <w:rsid w:val="00F2106D"/>
    <w:rsid w:val="00F21323"/>
    <w:rsid w:val="00F21982"/>
    <w:rsid w:val="00F22337"/>
    <w:rsid w:val="00F22B59"/>
    <w:rsid w:val="00F22D65"/>
    <w:rsid w:val="00F23175"/>
    <w:rsid w:val="00F2379E"/>
    <w:rsid w:val="00F23FB0"/>
    <w:rsid w:val="00F24001"/>
    <w:rsid w:val="00F2480A"/>
    <w:rsid w:val="00F24891"/>
    <w:rsid w:val="00F24B9F"/>
    <w:rsid w:val="00F24CA6"/>
    <w:rsid w:val="00F256AE"/>
    <w:rsid w:val="00F256C2"/>
    <w:rsid w:val="00F25773"/>
    <w:rsid w:val="00F257FA"/>
    <w:rsid w:val="00F26004"/>
    <w:rsid w:val="00F268F2"/>
    <w:rsid w:val="00F26FDE"/>
    <w:rsid w:val="00F270E8"/>
    <w:rsid w:val="00F27EF5"/>
    <w:rsid w:val="00F27FDB"/>
    <w:rsid w:val="00F30251"/>
    <w:rsid w:val="00F305CC"/>
    <w:rsid w:val="00F3179A"/>
    <w:rsid w:val="00F31D54"/>
    <w:rsid w:val="00F32315"/>
    <w:rsid w:val="00F32357"/>
    <w:rsid w:val="00F32C70"/>
    <w:rsid w:val="00F34E02"/>
    <w:rsid w:val="00F3547F"/>
    <w:rsid w:val="00F3549E"/>
    <w:rsid w:val="00F365A7"/>
    <w:rsid w:val="00F3681C"/>
    <w:rsid w:val="00F37331"/>
    <w:rsid w:val="00F3769D"/>
    <w:rsid w:val="00F37861"/>
    <w:rsid w:val="00F404F4"/>
    <w:rsid w:val="00F4143E"/>
    <w:rsid w:val="00F41CC5"/>
    <w:rsid w:val="00F41D25"/>
    <w:rsid w:val="00F423C2"/>
    <w:rsid w:val="00F4285D"/>
    <w:rsid w:val="00F429A0"/>
    <w:rsid w:val="00F433F8"/>
    <w:rsid w:val="00F433FE"/>
    <w:rsid w:val="00F43627"/>
    <w:rsid w:val="00F43781"/>
    <w:rsid w:val="00F4463C"/>
    <w:rsid w:val="00F4724D"/>
    <w:rsid w:val="00F47377"/>
    <w:rsid w:val="00F473A5"/>
    <w:rsid w:val="00F473F3"/>
    <w:rsid w:val="00F4741A"/>
    <w:rsid w:val="00F474B8"/>
    <w:rsid w:val="00F478CA"/>
    <w:rsid w:val="00F47CE2"/>
    <w:rsid w:val="00F501F3"/>
    <w:rsid w:val="00F50A98"/>
    <w:rsid w:val="00F50E5F"/>
    <w:rsid w:val="00F51460"/>
    <w:rsid w:val="00F51667"/>
    <w:rsid w:val="00F521DC"/>
    <w:rsid w:val="00F5314D"/>
    <w:rsid w:val="00F53199"/>
    <w:rsid w:val="00F541A1"/>
    <w:rsid w:val="00F54B09"/>
    <w:rsid w:val="00F54BEA"/>
    <w:rsid w:val="00F54E8A"/>
    <w:rsid w:val="00F54EBA"/>
    <w:rsid w:val="00F559A8"/>
    <w:rsid w:val="00F55C21"/>
    <w:rsid w:val="00F55E5F"/>
    <w:rsid w:val="00F55F6D"/>
    <w:rsid w:val="00F57008"/>
    <w:rsid w:val="00F5736B"/>
    <w:rsid w:val="00F57880"/>
    <w:rsid w:val="00F608AB"/>
    <w:rsid w:val="00F60BE7"/>
    <w:rsid w:val="00F6159C"/>
    <w:rsid w:val="00F61714"/>
    <w:rsid w:val="00F61A1F"/>
    <w:rsid w:val="00F6238F"/>
    <w:rsid w:val="00F63E59"/>
    <w:rsid w:val="00F64BE0"/>
    <w:rsid w:val="00F64E06"/>
    <w:rsid w:val="00F65B68"/>
    <w:rsid w:val="00F6622F"/>
    <w:rsid w:val="00F67846"/>
    <w:rsid w:val="00F67B42"/>
    <w:rsid w:val="00F70787"/>
    <w:rsid w:val="00F70B72"/>
    <w:rsid w:val="00F70DEF"/>
    <w:rsid w:val="00F70EA3"/>
    <w:rsid w:val="00F71398"/>
    <w:rsid w:val="00F7294C"/>
    <w:rsid w:val="00F72C5F"/>
    <w:rsid w:val="00F73549"/>
    <w:rsid w:val="00F73E03"/>
    <w:rsid w:val="00F75782"/>
    <w:rsid w:val="00F76ADC"/>
    <w:rsid w:val="00F76E7C"/>
    <w:rsid w:val="00F80C1D"/>
    <w:rsid w:val="00F80DA1"/>
    <w:rsid w:val="00F81130"/>
    <w:rsid w:val="00F8133F"/>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BBE"/>
    <w:rsid w:val="00F91E4F"/>
    <w:rsid w:val="00F91FDF"/>
    <w:rsid w:val="00F92AA1"/>
    <w:rsid w:val="00F92FDC"/>
    <w:rsid w:val="00F931D2"/>
    <w:rsid w:val="00F9334C"/>
    <w:rsid w:val="00F93431"/>
    <w:rsid w:val="00F93A4A"/>
    <w:rsid w:val="00F93D27"/>
    <w:rsid w:val="00F95DD6"/>
    <w:rsid w:val="00F960AA"/>
    <w:rsid w:val="00F96370"/>
    <w:rsid w:val="00F973A0"/>
    <w:rsid w:val="00F97940"/>
    <w:rsid w:val="00F97BA3"/>
    <w:rsid w:val="00F97EA2"/>
    <w:rsid w:val="00F97F0D"/>
    <w:rsid w:val="00FA0B0A"/>
    <w:rsid w:val="00FA121C"/>
    <w:rsid w:val="00FA1407"/>
    <w:rsid w:val="00FA19C3"/>
    <w:rsid w:val="00FA1A68"/>
    <w:rsid w:val="00FA1B1A"/>
    <w:rsid w:val="00FA1C33"/>
    <w:rsid w:val="00FA2747"/>
    <w:rsid w:val="00FA2A33"/>
    <w:rsid w:val="00FA2C8F"/>
    <w:rsid w:val="00FA2CF7"/>
    <w:rsid w:val="00FA3240"/>
    <w:rsid w:val="00FA3410"/>
    <w:rsid w:val="00FA360B"/>
    <w:rsid w:val="00FA3860"/>
    <w:rsid w:val="00FA3A50"/>
    <w:rsid w:val="00FA4763"/>
    <w:rsid w:val="00FA4830"/>
    <w:rsid w:val="00FA5032"/>
    <w:rsid w:val="00FA584B"/>
    <w:rsid w:val="00FA6980"/>
    <w:rsid w:val="00FA6C67"/>
    <w:rsid w:val="00FA6CDF"/>
    <w:rsid w:val="00FA74A0"/>
    <w:rsid w:val="00FA78F1"/>
    <w:rsid w:val="00FA7BB5"/>
    <w:rsid w:val="00FA7C85"/>
    <w:rsid w:val="00FB12D8"/>
    <w:rsid w:val="00FB1414"/>
    <w:rsid w:val="00FB176A"/>
    <w:rsid w:val="00FB1A3C"/>
    <w:rsid w:val="00FB1CDC"/>
    <w:rsid w:val="00FB238A"/>
    <w:rsid w:val="00FB2446"/>
    <w:rsid w:val="00FB28D1"/>
    <w:rsid w:val="00FB2C81"/>
    <w:rsid w:val="00FB3BC4"/>
    <w:rsid w:val="00FB3F9C"/>
    <w:rsid w:val="00FB3FDE"/>
    <w:rsid w:val="00FB43B9"/>
    <w:rsid w:val="00FB4615"/>
    <w:rsid w:val="00FB4676"/>
    <w:rsid w:val="00FB4CCC"/>
    <w:rsid w:val="00FB4D7E"/>
    <w:rsid w:val="00FB5552"/>
    <w:rsid w:val="00FB5789"/>
    <w:rsid w:val="00FB5B0D"/>
    <w:rsid w:val="00FB5F3A"/>
    <w:rsid w:val="00FB6340"/>
    <w:rsid w:val="00FB6AA9"/>
    <w:rsid w:val="00FB6AD4"/>
    <w:rsid w:val="00FB79B6"/>
    <w:rsid w:val="00FB7F22"/>
    <w:rsid w:val="00FC00F3"/>
    <w:rsid w:val="00FC0A33"/>
    <w:rsid w:val="00FC0B14"/>
    <w:rsid w:val="00FC1416"/>
    <w:rsid w:val="00FC14B2"/>
    <w:rsid w:val="00FC1823"/>
    <w:rsid w:val="00FC1CAA"/>
    <w:rsid w:val="00FC2198"/>
    <w:rsid w:val="00FC26A4"/>
    <w:rsid w:val="00FC2A2A"/>
    <w:rsid w:val="00FC2C93"/>
    <w:rsid w:val="00FC325A"/>
    <w:rsid w:val="00FC33ED"/>
    <w:rsid w:val="00FC43AD"/>
    <w:rsid w:val="00FC4A36"/>
    <w:rsid w:val="00FC4B96"/>
    <w:rsid w:val="00FC5585"/>
    <w:rsid w:val="00FC5876"/>
    <w:rsid w:val="00FC62F5"/>
    <w:rsid w:val="00FC731E"/>
    <w:rsid w:val="00FD035A"/>
    <w:rsid w:val="00FD19F1"/>
    <w:rsid w:val="00FD1A7E"/>
    <w:rsid w:val="00FD20A6"/>
    <w:rsid w:val="00FD2CC3"/>
    <w:rsid w:val="00FD31BF"/>
    <w:rsid w:val="00FD3960"/>
    <w:rsid w:val="00FD3CC7"/>
    <w:rsid w:val="00FD4148"/>
    <w:rsid w:val="00FD4665"/>
    <w:rsid w:val="00FD4D5B"/>
    <w:rsid w:val="00FD52DD"/>
    <w:rsid w:val="00FD6074"/>
    <w:rsid w:val="00FD6453"/>
    <w:rsid w:val="00FD67FD"/>
    <w:rsid w:val="00FD7CB2"/>
    <w:rsid w:val="00FD7D46"/>
    <w:rsid w:val="00FD7D8B"/>
    <w:rsid w:val="00FD7EB9"/>
    <w:rsid w:val="00FE0AF2"/>
    <w:rsid w:val="00FE1089"/>
    <w:rsid w:val="00FE1C47"/>
    <w:rsid w:val="00FE22DD"/>
    <w:rsid w:val="00FE2965"/>
    <w:rsid w:val="00FE2CFB"/>
    <w:rsid w:val="00FE421E"/>
    <w:rsid w:val="00FE427A"/>
    <w:rsid w:val="00FE47F8"/>
    <w:rsid w:val="00FE4A60"/>
    <w:rsid w:val="00FE506D"/>
    <w:rsid w:val="00FE54E0"/>
    <w:rsid w:val="00FE55F0"/>
    <w:rsid w:val="00FE6331"/>
    <w:rsid w:val="00FE671F"/>
    <w:rsid w:val="00FE685B"/>
    <w:rsid w:val="00FE6C12"/>
    <w:rsid w:val="00FE6D37"/>
    <w:rsid w:val="00FE7894"/>
    <w:rsid w:val="00FF01FA"/>
    <w:rsid w:val="00FF21B5"/>
    <w:rsid w:val="00FF21C3"/>
    <w:rsid w:val="00FF2A11"/>
    <w:rsid w:val="00FF2AA0"/>
    <w:rsid w:val="00FF3DAF"/>
    <w:rsid w:val="00FF3F6C"/>
    <w:rsid w:val="00FF4603"/>
    <w:rsid w:val="00FF4B07"/>
    <w:rsid w:val="00FF4BFC"/>
    <w:rsid w:val="00FF4C11"/>
    <w:rsid w:val="00FF56B9"/>
    <w:rsid w:val="00FF57E8"/>
    <w:rsid w:val="00FF58C0"/>
    <w:rsid w:val="00FF5948"/>
    <w:rsid w:val="00FF6B71"/>
    <w:rsid w:val="00FF6EDF"/>
    <w:rsid w:val="00FF6EEA"/>
    <w:rsid w:val="00FF7043"/>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716411"/>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uiPriority="0" w:qFormat="1"/>
    <w:lsdException w:name="List Number" w:semiHidden="1"/>
    <w:lsdException w:name="List 2" w:semiHidden="1"/>
    <w:lsdException w:name="List 3" w:semiHidden="1"/>
    <w:lsdException w:name="List 4" w:semiHidden="1"/>
    <w:lsdException w:name="List 5" w:semiHidden="1"/>
    <w:lsdException w:name="List Bullet 2" w:semiHidden="1" w:uiPriority="1"/>
    <w:lsdException w:name="List Bullet 3" w:semiHidden="1" w:uiPriority="1" w:qFormat="1"/>
    <w:lsdException w:name="List Bullet 4" w:semiHidden="1" w:uiPriority="1"/>
    <w:lsdException w:name="List Bullet 5" w:semiHidden="1" w:uiPriority="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3"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A3648"/>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EA3648"/>
    <w:pPr>
      <w:spacing w:before="24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B51610"/>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B68EC"/>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EA3648"/>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3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EB0072"/>
    <w:pPr>
      <w:spacing w:before="60" w:after="60" w:line="260" w:lineRule="atLeast"/>
      <w:ind w:left="567" w:right="567"/>
      <w:jc w:val="left"/>
    </w:pPr>
    <w:rPr>
      <w:sz w:val="20"/>
    </w:rPr>
  </w:style>
  <w:style w:type="character" w:customStyle="1" w:styleId="QuoteChar">
    <w:name w:val="Quote Char"/>
    <w:basedOn w:val="DefaultParagraphFont"/>
    <w:link w:val="Quote"/>
    <w:uiPriority w:val="1"/>
    <w:rsid w:val="00EB0072"/>
    <w:rPr>
      <w:rFonts w:ascii="Calibri" w:eastAsiaTheme="minorEastAsia" w:hAnsi="Calibri"/>
      <w:sz w:val="20"/>
      <w:lang w:eastAsia="en-NZ"/>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semiHidden/>
    <w:qFormat/>
    <w:rsid w:val="00A56D3B"/>
    <w:pPr>
      <w:tabs>
        <w:tab w:val="left" w:pos="680"/>
      </w:tabs>
      <w:spacing w:before="0"/>
      <w:ind w:left="681" w:hanging="397"/>
    </w:pPr>
  </w:style>
  <w:style w:type="paragraph" w:customStyle="1" w:styleId="Boxheading">
    <w:name w:val="Box heading"/>
    <w:basedOn w:val="Box"/>
    <w:next w:val="Box"/>
    <w:uiPriority w:val="1"/>
    <w:semiHidden/>
    <w:qFormat/>
    <w:rsid w:val="001820A3"/>
    <w:pPr>
      <w:keepNext/>
      <w:spacing w:after="0"/>
    </w:pPr>
    <w:rPr>
      <w:b/>
    </w:rPr>
  </w:style>
  <w:style w:type="paragraph" w:customStyle="1" w:styleId="Bullet">
    <w:name w:val="Bullet"/>
    <w:basedOn w:val="Normal"/>
    <w:link w:val="BulletChar"/>
    <w:qFormat/>
    <w:rsid w:val="008B5A2D"/>
    <w:pPr>
      <w:numPr>
        <w:numId w:val="1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89"/>
    <w:rsid w:val="00EA64B4"/>
    <w:pPr>
      <w:jc w:val="left"/>
    </w:pPr>
  </w:style>
  <w:style w:type="paragraph" w:customStyle="1" w:styleId="Note">
    <w:name w:val="Note"/>
    <w:basedOn w:val="BodyText"/>
    <w:next w:val="Normal"/>
    <w:uiPriority w:val="1"/>
    <w:qFormat/>
    <w:rsid w:val="00D93532"/>
    <w:pPr>
      <w:spacing w:line="260" w:lineRule="atLeast"/>
    </w:pPr>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10"/>
    <w:semiHidden/>
    <w:qFormat/>
    <w:rsid w:val="00624018"/>
    <w:pPr>
      <w:spacing w:line="360" w:lineRule="auto"/>
      <w:jc w:val="center"/>
    </w:pPr>
    <w:rPr>
      <w:b/>
      <w:color w:val="17556C"/>
      <w:sz w:val="52"/>
    </w:rPr>
  </w:style>
  <w:style w:type="character" w:customStyle="1" w:styleId="TitleChar">
    <w:name w:val="Title Char"/>
    <w:basedOn w:val="DefaultParagraphFont"/>
    <w:link w:val="Title"/>
    <w:uiPriority w:val="10"/>
    <w:semiHidden/>
    <w:rsid w:val="00A9440E"/>
    <w:rPr>
      <w:rFonts w:ascii="Calibri" w:eastAsiaTheme="minorEastAsia" w:hAnsi="Calibri"/>
      <w:b/>
      <w:color w:val="17556C"/>
      <w:sz w:val="52"/>
      <w:lang w:eastAsia="en-NZ"/>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basedOn w:val="DefaultParagraphFont"/>
    <w:link w:val="Subtitle"/>
    <w:uiPriority w:val="2"/>
    <w:semiHidden/>
    <w:rsid w:val="00A9440E"/>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030A7B"/>
    <w:pPr>
      <w:tabs>
        <w:tab w:val="right" w:pos="8505"/>
      </w:tabs>
      <w:spacing w:before="60" w:after="60" w:line="240" w:lineRule="auto"/>
      <w:ind w:left="567" w:right="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uiPriority w:val="39"/>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3"/>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semiHidden/>
    <w:qFormat/>
    <w:rsid w:val="007823D6"/>
    <w:pPr>
      <w:keepNext/>
      <w:spacing w:before="240" w:after="0"/>
    </w:pPr>
    <w:rPr>
      <w:rFonts w:cs="Times New Roman"/>
      <w:b/>
      <w:szCs w:val="20"/>
    </w:rPr>
  </w:style>
  <w:style w:type="paragraph" w:customStyle="1" w:styleId="Blue-boxsub-bullet">
    <w:name w:val="Blue-box sub-bullet"/>
    <w:basedOn w:val="Blueboxtext"/>
    <w:uiPriority w:val="1"/>
    <w:semiHidden/>
    <w:qFormat/>
    <w:rsid w:val="007823D6"/>
    <w:pPr>
      <w:numPr>
        <w:numId w:val="15"/>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6"/>
      </w:numPr>
      <w:spacing w:before="0"/>
      <w:ind w:left="1077" w:hanging="397"/>
    </w:pPr>
  </w:style>
  <w:style w:type="paragraph" w:customStyle="1" w:styleId="CommentText1">
    <w:name w:val="Comment Text1"/>
    <w:basedOn w:val="Normal"/>
    <w:next w:val="CommentText"/>
    <w:link w:val="CommentTextChar"/>
    <w:uiPriority w:val="99"/>
    <w:semiHidden/>
    <w:rsid w:val="00E23A03"/>
    <w:pPr>
      <w:spacing w:line="240" w:lineRule="auto"/>
    </w:pPr>
    <w:rPr>
      <w:rFonts w:eastAsia="Times New Roman"/>
      <w:sz w:val="20"/>
      <w:szCs w:val="20"/>
    </w:rPr>
  </w:style>
  <w:style w:type="character" w:customStyle="1" w:styleId="CommentTextChar">
    <w:name w:val="Comment Text Char"/>
    <w:basedOn w:val="DefaultParagraphFont"/>
    <w:link w:val="CommentText1"/>
    <w:uiPriority w:val="99"/>
    <w:semiHidden/>
    <w:rsid w:val="00E23A03"/>
    <w:rPr>
      <w:rFonts w:ascii="Calibri" w:eastAsia="Times New Roman" w:hAnsi="Calibri"/>
      <w:sz w:val="20"/>
      <w:szCs w:val="20"/>
      <w:lang w:eastAsia="en-NZ"/>
    </w:rPr>
  </w:style>
  <w:style w:type="paragraph" w:styleId="CommentText">
    <w:name w:val="annotation text"/>
    <w:basedOn w:val="Normal"/>
    <w:link w:val="CommentTextChar1"/>
    <w:uiPriority w:val="99"/>
    <w:semiHidden/>
    <w:rsid w:val="00E23A03"/>
    <w:pPr>
      <w:spacing w:line="240" w:lineRule="auto"/>
    </w:pPr>
    <w:rPr>
      <w:sz w:val="20"/>
      <w:szCs w:val="20"/>
    </w:rPr>
  </w:style>
  <w:style w:type="character" w:customStyle="1" w:styleId="CommentTextChar1">
    <w:name w:val="Comment Text Char1"/>
    <w:basedOn w:val="DefaultParagraphFont"/>
    <w:link w:val="CommentText"/>
    <w:uiPriority w:val="99"/>
    <w:semiHidden/>
    <w:rsid w:val="00E23A03"/>
    <w:rPr>
      <w:rFonts w:ascii="Calibri" w:eastAsiaTheme="minorEastAsia" w:hAnsi="Calibri"/>
      <w:sz w:val="20"/>
      <w:szCs w:val="20"/>
      <w:lang w:eastAsia="en-NZ"/>
    </w:rPr>
  </w:style>
  <w:style w:type="character" w:styleId="FootnoteReference">
    <w:name w:val="footnote reference"/>
    <w:basedOn w:val="DefaultParagraphFont"/>
    <w:uiPriority w:val="99"/>
    <w:rsid w:val="00EA3648"/>
    <w:rPr>
      <w:rFonts w:ascii="Calibri" w:hAnsi="Calibri"/>
      <w:color w:val="auto"/>
      <w:sz w:val="22"/>
      <w:vertAlign w:val="superscript"/>
    </w:rPr>
  </w:style>
  <w:style w:type="paragraph" w:styleId="NoSpacing">
    <w:name w:val="No Spacing"/>
    <w:aliases w:val="Numbered Paragraphs"/>
    <w:uiPriority w:val="1"/>
    <w:semiHidden/>
    <w:qFormat/>
    <w:rsid w:val="00020C19"/>
    <w:pPr>
      <w:numPr>
        <w:numId w:val="17"/>
      </w:numPr>
      <w:spacing w:before="120" w:after="120" w:line="240" w:lineRule="auto"/>
      <w:jc w:val="both"/>
    </w:pPr>
    <w:rPr>
      <w:rFonts w:ascii="Arial" w:eastAsia="Times New Roman" w:hAnsi="Arial" w:cs="Times New Roman"/>
      <w:szCs w:val="20"/>
    </w:rPr>
  </w:style>
  <w:style w:type="paragraph" w:styleId="PlainText">
    <w:name w:val="Plain Text"/>
    <w:basedOn w:val="Normal"/>
    <w:link w:val="PlainTextChar"/>
    <w:uiPriority w:val="99"/>
    <w:semiHidden/>
    <w:rsid w:val="00D04F93"/>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4F93"/>
    <w:rPr>
      <w:rFonts w:ascii="Consolas" w:eastAsiaTheme="minorEastAsia" w:hAnsi="Consolas"/>
      <w:sz w:val="21"/>
      <w:szCs w:val="21"/>
      <w:lang w:eastAsia="en-NZ"/>
    </w:rPr>
  </w:style>
  <w:style w:type="character" w:customStyle="1" w:styleId="UnresolvedMention1">
    <w:name w:val="Unresolved Mention1"/>
    <w:basedOn w:val="DefaultParagraphFont"/>
    <w:uiPriority w:val="99"/>
    <w:semiHidden/>
    <w:unhideWhenUsed/>
    <w:rsid w:val="008732A3"/>
    <w:rPr>
      <w:color w:val="605E5C"/>
      <w:shd w:val="clear" w:color="auto" w:fill="E1DFDD"/>
    </w:rPr>
  </w:style>
  <w:style w:type="paragraph" w:styleId="TOCHeading">
    <w:name w:val="TOC Heading"/>
    <w:basedOn w:val="Heading1"/>
    <w:next w:val="Normal"/>
    <w:uiPriority w:val="39"/>
    <w:unhideWhenUsed/>
    <w:qFormat/>
    <w:rsid w:val="00BE0168"/>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92736E"/>
    <w:rPr>
      <w:color w:val="605E5C"/>
      <w:shd w:val="clear" w:color="auto" w:fill="E1DFDD"/>
    </w:rPr>
  </w:style>
  <w:style w:type="paragraph" w:styleId="ListBullet">
    <w:name w:val="List Bullet"/>
    <w:basedOn w:val="BodyText"/>
    <w:semiHidden/>
    <w:qFormat/>
    <w:rsid w:val="00D47AEF"/>
    <w:pPr>
      <w:numPr>
        <w:numId w:val="24"/>
      </w:numPr>
      <w:spacing w:line="240" w:lineRule="auto"/>
    </w:pPr>
    <w:rPr>
      <w:rFonts w:eastAsia="Times New Roman" w:cs="Times New Roman"/>
      <w:lang w:eastAsia="en-AU"/>
    </w:rPr>
  </w:style>
  <w:style w:type="paragraph" w:styleId="ListBullet2">
    <w:name w:val="List Bullet 2"/>
    <w:basedOn w:val="ListBullet"/>
    <w:uiPriority w:val="1"/>
    <w:semiHidden/>
    <w:rsid w:val="00D47AEF"/>
    <w:pPr>
      <w:numPr>
        <w:ilvl w:val="1"/>
      </w:numPr>
    </w:pPr>
  </w:style>
  <w:style w:type="paragraph" w:styleId="ListBullet3">
    <w:name w:val="List Bullet 3"/>
    <w:basedOn w:val="ListBullet"/>
    <w:uiPriority w:val="1"/>
    <w:qFormat/>
    <w:rsid w:val="00D47AEF"/>
    <w:pPr>
      <w:numPr>
        <w:ilvl w:val="2"/>
      </w:numPr>
    </w:pPr>
  </w:style>
  <w:style w:type="paragraph" w:styleId="ListBullet4">
    <w:name w:val="List Bullet 4"/>
    <w:basedOn w:val="ListBullet"/>
    <w:uiPriority w:val="1"/>
    <w:semiHidden/>
    <w:rsid w:val="00D47AEF"/>
    <w:pPr>
      <w:numPr>
        <w:ilvl w:val="3"/>
      </w:numPr>
    </w:pPr>
  </w:style>
  <w:style w:type="paragraph" w:styleId="ListBullet5">
    <w:name w:val="List Bullet 5"/>
    <w:basedOn w:val="ListBullet4"/>
    <w:uiPriority w:val="1"/>
    <w:semiHidden/>
    <w:rsid w:val="00D47AEF"/>
    <w:pPr>
      <w:numPr>
        <w:ilvl w:val="4"/>
      </w:numPr>
    </w:pPr>
  </w:style>
  <w:style w:type="paragraph" w:customStyle="1" w:styleId="Bullets">
    <w:name w:val="Bullets"/>
    <w:basedOn w:val="ListBullet"/>
    <w:qFormat/>
    <w:rsid w:val="00D47AE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2949">
      <w:bodyDiv w:val="1"/>
      <w:marLeft w:val="0"/>
      <w:marRight w:val="0"/>
      <w:marTop w:val="0"/>
      <w:marBottom w:val="0"/>
      <w:divBdr>
        <w:top w:val="none" w:sz="0" w:space="0" w:color="auto"/>
        <w:left w:val="none" w:sz="0" w:space="0" w:color="auto"/>
        <w:bottom w:val="none" w:sz="0" w:space="0" w:color="auto"/>
        <w:right w:val="none" w:sz="0" w:space="0" w:color="auto"/>
      </w:divBdr>
    </w:div>
    <w:div w:id="62067267">
      <w:bodyDiv w:val="1"/>
      <w:marLeft w:val="0"/>
      <w:marRight w:val="0"/>
      <w:marTop w:val="0"/>
      <w:marBottom w:val="0"/>
      <w:divBdr>
        <w:top w:val="none" w:sz="0" w:space="0" w:color="auto"/>
        <w:left w:val="none" w:sz="0" w:space="0" w:color="auto"/>
        <w:bottom w:val="none" w:sz="0" w:space="0" w:color="auto"/>
        <w:right w:val="none" w:sz="0" w:space="0" w:color="auto"/>
      </w:divBdr>
    </w:div>
    <w:div w:id="67192824">
      <w:bodyDiv w:val="1"/>
      <w:marLeft w:val="0"/>
      <w:marRight w:val="0"/>
      <w:marTop w:val="0"/>
      <w:marBottom w:val="0"/>
      <w:divBdr>
        <w:top w:val="none" w:sz="0" w:space="0" w:color="auto"/>
        <w:left w:val="none" w:sz="0" w:space="0" w:color="auto"/>
        <w:bottom w:val="none" w:sz="0" w:space="0" w:color="auto"/>
        <w:right w:val="none" w:sz="0" w:space="0" w:color="auto"/>
      </w:divBdr>
    </w:div>
    <w:div w:id="206181685">
      <w:bodyDiv w:val="1"/>
      <w:marLeft w:val="0"/>
      <w:marRight w:val="0"/>
      <w:marTop w:val="0"/>
      <w:marBottom w:val="0"/>
      <w:divBdr>
        <w:top w:val="none" w:sz="0" w:space="0" w:color="auto"/>
        <w:left w:val="none" w:sz="0" w:space="0" w:color="auto"/>
        <w:bottom w:val="none" w:sz="0" w:space="0" w:color="auto"/>
        <w:right w:val="none" w:sz="0" w:space="0" w:color="auto"/>
      </w:divBdr>
    </w:div>
    <w:div w:id="206524962">
      <w:bodyDiv w:val="1"/>
      <w:marLeft w:val="0"/>
      <w:marRight w:val="0"/>
      <w:marTop w:val="0"/>
      <w:marBottom w:val="0"/>
      <w:divBdr>
        <w:top w:val="none" w:sz="0" w:space="0" w:color="auto"/>
        <w:left w:val="none" w:sz="0" w:space="0" w:color="auto"/>
        <w:bottom w:val="none" w:sz="0" w:space="0" w:color="auto"/>
        <w:right w:val="none" w:sz="0" w:space="0" w:color="auto"/>
      </w:divBdr>
    </w:div>
    <w:div w:id="218178610">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42224252">
      <w:bodyDiv w:val="1"/>
      <w:marLeft w:val="0"/>
      <w:marRight w:val="0"/>
      <w:marTop w:val="0"/>
      <w:marBottom w:val="0"/>
      <w:divBdr>
        <w:top w:val="none" w:sz="0" w:space="0" w:color="auto"/>
        <w:left w:val="none" w:sz="0" w:space="0" w:color="auto"/>
        <w:bottom w:val="none" w:sz="0" w:space="0" w:color="auto"/>
        <w:right w:val="none" w:sz="0" w:space="0" w:color="auto"/>
      </w:divBdr>
    </w:div>
    <w:div w:id="242302641">
      <w:bodyDiv w:val="1"/>
      <w:marLeft w:val="0"/>
      <w:marRight w:val="0"/>
      <w:marTop w:val="0"/>
      <w:marBottom w:val="0"/>
      <w:divBdr>
        <w:top w:val="none" w:sz="0" w:space="0" w:color="auto"/>
        <w:left w:val="none" w:sz="0" w:space="0" w:color="auto"/>
        <w:bottom w:val="none" w:sz="0" w:space="0" w:color="auto"/>
        <w:right w:val="none" w:sz="0" w:space="0" w:color="auto"/>
      </w:divBdr>
    </w:div>
    <w:div w:id="385880424">
      <w:bodyDiv w:val="1"/>
      <w:marLeft w:val="0"/>
      <w:marRight w:val="0"/>
      <w:marTop w:val="0"/>
      <w:marBottom w:val="0"/>
      <w:divBdr>
        <w:top w:val="none" w:sz="0" w:space="0" w:color="auto"/>
        <w:left w:val="none" w:sz="0" w:space="0" w:color="auto"/>
        <w:bottom w:val="none" w:sz="0" w:space="0" w:color="auto"/>
        <w:right w:val="none" w:sz="0" w:space="0" w:color="auto"/>
      </w:divBdr>
    </w:div>
    <w:div w:id="394738197">
      <w:bodyDiv w:val="1"/>
      <w:marLeft w:val="0"/>
      <w:marRight w:val="0"/>
      <w:marTop w:val="0"/>
      <w:marBottom w:val="0"/>
      <w:divBdr>
        <w:top w:val="none" w:sz="0" w:space="0" w:color="auto"/>
        <w:left w:val="none" w:sz="0" w:space="0" w:color="auto"/>
        <w:bottom w:val="none" w:sz="0" w:space="0" w:color="auto"/>
        <w:right w:val="none" w:sz="0" w:space="0" w:color="auto"/>
      </w:divBdr>
    </w:div>
    <w:div w:id="588200072">
      <w:bodyDiv w:val="1"/>
      <w:marLeft w:val="0"/>
      <w:marRight w:val="0"/>
      <w:marTop w:val="0"/>
      <w:marBottom w:val="0"/>
      <w:divBdr>
        <w:top w:val="none" w:sz="0" w:space="0" w:color="auto"/>
        <w:left w:val="none" w:sz="0" w:space="0" w:color="auto"/>
        <w:bottom w:val="none" w:sz="0" w:space="0" w:color="auto"/>
        <w:right w:val="none" w:sz="0" w:space="0" w:color="auto"/>
      </w:divBdr>
    </w:div>
    <w:div w:id="682442182">
      <w:bodyDiv w:val="1"/>
      <w:marLeft w:val="0"/>
      <w:marRight w:val="0"/>
      <w:marTop w:val="0"/>
      <w:marBottom w:val="0"/>
      <w:divBdr>
        <w:top w:val="none" w:sz="0" w:space="0" w:color="auto"/>
        <w:left w:val="none" w:sz="0" w:space="0" w:color="auto"/>
        <w:bottom w:val="none" w:sz="0" w:space="0" w:color="auto"/>
        <w:right w:val="none" w:sz="0" w:space="0" w:color="auto"/>
      </w:divBdr>
    </w:div>
    <w:div w:id="730234439">
      <w:bodyDiv w:val="1"/>
      <w:marLeft w:val="0"/>
      <w:marRight w:val="0"/>
      <w:marTop w:val="0"/>
      <w:marBottom w:val="0"/>
      <w:divBdr>
        <w:top w:val="none" w:sz="0" w:space="0" w:color="auto"/>
        <w:left w:val="none" w:sz="0" w:space="0" w:color="auto"/>
        <w:bottom w:val="none" w:sz="0" w:space="0" w:color="auto"/>
        <w:right w:val="none" w:sz="0" w:space="0" w:color="auto"/>
      </w:divBdr>
    </w:div>
    <w:div w:id="747189193">
      <w:bodyDiv w:val="1"/>
      <w:marLeft w:val="0"/>
      <w:marRight w:val="0"/>
      <w:marTop w:val="0"/>
      <w:marBottom w:val="0"/>
      <w:divBdr>
        <w:top w:val="none" w:sz="0" w:space="0" w:color="auto"/>
        <w:left w:val="none" w:sz="0" w:space="0" w:color="auto"/>
        <w:bottom w:val="none" w:sz="0" w:space="0" w:color="auto"/>
        <w:right w:val="none" w:sz="0" w:space="0" w:color="auto"/>
      </w:divBdr>
    </w:div>
    <w:div w:id="761026423">
      <w:bodyDiv w:val="1"/>
      <w:marLeft w:val="0"/>
      <w:marRight w:val="0"/>
      <w:marTop w:val="0"/>
      <w:marBottom w:val="0"/>
      <w:divBdr>
        <w:top w:val="none" w:sz="0" w:space="0" w:color="auto"/>
        <w:left w:val="none" w:sz="0" w:space="0" w:color="auto"/>
        <w:bottom w:val="none" w:sz="0" w:space="0" w:color="auto"/>
        <w:right w:val="none" w:sz="0" w:space="0" w:color="auto"/>
      </w:divBdr>
    </w:div>
    <w:div w:id="832721911">
      <w:bodyDiv w:val="1"/>
      <w:marLeft w:val="0"/>
      <w:marRight w:val="0"/>
      <w:marTop w:val="0"/>
      <w:marBottom w:val="0"/>
      <w:divBdr>
        <w:top w:val="none" w:sz="0" w:space="0" w:color="auto"/>
        <w:left w:val="none" w:sz="0" w:space="0" w:color="auto"/>
        <w:bottom w:val="none" w:sz="0" w:space="0" w:color="auto"/>
        <w:right w:val="none" w:sz="0" w:space="0" w:color="auto"/>
      </w:divBdr>
    </w:div>
    <w:div w:id="843979121">
      <w:bodyDiv w:val="1"/>
      <w:marLeft w:val="0"/>
      <w:marRight w:val="0"/>
      <w:marTop w:val="0"/>
      <w:marBottom w:val="0"/>
      <w:divBdr>
        <w:top w:val="none" w:sz="0" w:space="0" w:color="auto"/>
        <w:left w:val="none" w:sz="0" w:space="0" w:color="auto"/>
        <w:bottom w:val="none" w:sz="0" w:space="0" w:color="auto"/>
        <w:right w:val="none" w:sz="0" w:space="0" w:color="auto"/>
      </w:divBdr>
    </w:div>
    <w:div w:id="844635065">
      <w:bodyDiv w:val="1"/>
      <w:marLeft w:val="0"/>
      <w:marRight w:val="0"/>
      <w:marTop w:val="0"/>
      <w:marBottom w:val="0"/>
      <w:divBdr>
        <w:top w:val="none" w:sz="0" w:space="0" w:color="auto"/>
        <w:left w:val="none" w:sz="0" w:space="0" w:color="auto"/>
        <w:bottom w:val="none" w:sz="0" w:space="0" w:color="auto"/>
        <w:right w:val="none" w:sz="0" w:space="0" w:color="auto"/>
      </w:divBdr>
    </w:div>
    <w:div w:id="863792289">
      <w:bodyDiv w:val="1"/>
      <w:marLeft w:val="0"/>
      <w:marRight w:val="0"/>
      <w:marTop w:val="0"/>
      <w:marBottom w:val="0"/>
      <w:divBdr>
        <w:top w:val="none" w:sz="0" w:space="0" w:color="auto"/>
        <w:left w:val="none" w:sz="0" w:space="0" w:color="auto"/>
        <w:bottom w:val="none" w:sz="0" w:space="0" w:color="auto"/>
        <w:right w:val="none" w:sz="0" w:space="0" w:color="auto"/>
      </w:divBdr>
    </w:div>
    <w:div w:id="939801051">
      <w:bodyDiv w:val="1"/>
      <w:marLeft w:val="0"/>
      <w:marRight w:val="0"/>
      <w:marTop w:val="0"/>
      <w:marBottom w:val="0"/>
      <w:divBdr>
        <w:top w:val="none" w:sz="0" w:space="0" w:color="auto"/>
        <w:left w:val="none" w:sz="0" w:space="0" w:color="auto"/>
        <w:bottom w:val="none" w:sz="0" w:space="0" w:color="auto"/>
        <w:right w:val="none" w:sz="0" w:space="0" w:color="auto"/>
      </w:divBdr>
    </w:div>
    <w:div w:id="984626789">
      <w:bodyDiv w:val="1"/>
      <w:marLeft w:val="0"/>
      <w:marRight w:val="0"/>
      <w:marTop w:val="0"/>
      <w:marBottom w:val="0"/>
      <w:divBdr>
        <w:top w:val="none" w:sz="0" w:space="0" w:color="auto"/>
        <w:left w:val="none" w:sz="0" w:space="0" w:color="auto"/>
        <w:bottom w:val="none" w:sz="0" w:space="0" w:color="auto"/>
        <w:right w:val="none" w:sz="0" w:space="0" w:color="auto"/>
      </w:divBdr>
    </w:div>
    <w:div w:id="1063993108">
      <w:bodyDiv w:val="1"/>
      <w:marLeft w:val="0"/>
      <w:marRight w:val="0"/>
      <w:marTop w:val="0"/>
      <w:marBottom w:val="0"/>
      <w:divBdr>
        <w:top w:val="none" w:sz="0" w:space="0" w:color="auto"/>
        <w:left w:val="none" w:sz="0" w:space="0" w:color="auto"/>
        <w:bottom w:val="none" w:sz="0" w:space="0" w:color="auto"/>
        <w:right w:val="none" w:sz="0" w:space="0" w:color="auto"/>
      </w:divBdr>
    </w:div>
    <w:div w:id="1088960549">
      <w:bodyDiv w:val="1"/>
      <w:marLeft w:val="0"/>
      <w:marRight w:val="0"/>
      <w:marTop w:val="0"/>
      <w:marBottom w:val="0"/>
      <w:divBdr>
        <w:top w:val="none" w:sz="0" w:space="0" w:color="auto"/>
        <w:left w:val="none" w:sz="0" w:space="0" w:color="auto"/>
        <w:bottom w:val="none" w:sz="0" w:space="0" w:color="auto"/>
        <w:right w:val="none" w:sz="0" w:space="0" w:color="auto"/>
      </w:divBdr>
      <w:divsChild>
        <w:div w:id="945304758">
          <w:marLeft w:val="0"/>
          <w:marRight w:val="0"/>
          <w:marTop w:val="0"/>
          <w:marBottom w:val="0"/>
          <w:divBdr>
            <w:top w:val="none" w:sz="0" w:space="0" w:color="auto"/>
            <w:left w:val="none" w:sz="0" w:space="0" w:color="auto"/>
            <w:bottom w:val="none" w:sz="0" w:space="0" w:color="auto"/>
            <w:right w:val="none" w:sz="0" w:space="0" w:color="auto"/>
          </w:divBdr>
        </w:div>
      </w:divsChild>
    </w:div>
    <w:div w:id="1160462615">
      <w:bodyDiv w:val="1"/>
      <w:marLeft w:val="0"/>
      <w:marRight w:val="0"/>
      <w:marTop w:val="0"/>
      <w:marBottom w:val="0"/>
      <w:divBdr>
        <w:top w:val="none" w:sz="0" w:space="0" w:color="auto"/>
        <w:left w:val="none" w:sz="0" w:space="0" w:color="auto"/>
        <w:bottom w:val="none" w:sz="0" w:space="0" w:color="auto"/>
        <w:right w:val="none" w:sz="0" w:space="0" w:color="auto"/>
      </w:divBdr>
    </w:div>
    <w:div w:id="1170482024">
      <w:bodyDiv w:val="1"/>
      <w:marLeft w:val="0"/>
      <w:marRight w:val="0"/>
      <w:marTop w:val="0"/>
      <w:marBottom w:val="0"/>
      <w:divBdr>
        <w:top w:val="none" w:sz="0" w:space="0" w:color="auto"/>
        <w:left w:val="none" w:sz="0" w:space="0" w:color="auto"/>
        <w:bottom w:val="none" w:sz="0" w:space="0" w:color="auto"/>
        <w:right w:val="none" w:sz="0" w:space="0" w:color="auto"/>
      </w:divBdr>
    </w:div>
    <w:div w:id="1195001201">
      <w:bodyDiv w:val="1"/>
      <w:marLeft w:val="0"/>
      <w:marRight w:val="0"/>
      <w:marTop w:val="0"/>
      <w:marBottom w:val="0"/>
      <w:divBdr>
        <w:top w:val="none" w:sz="0" w:space="0" w:color="auto"/>
        <w:left w:val="none" w:sz="0" w:space="0" w:color="auto"/>
        <w:bottom w:val="none" w:sz="0" w:space="0" w:color="auto"/>
        <w:right w:val="none" w:sz="0" w:space="0" w:color="auto"/>
      </w:divBdr>
    </w:div>
    <w:div w:id="1221095449">
      <w:bodyDiv w:val="1"/>
      <w:marLeft w:val="0"/>
      <w:marRight w:val="0"/>
      <w:marTop w:val="0"/>
      <w:marBottom w:val="0"/>
      <w:divBdr>
        <w:top w:val="none" w:sz="0" w:space="0" w:color="auto"/>
        <w:left w:val="none" w:sz="0" w:space="0" w:color="auto"/>
        <w:bottom w:val="none" w:sz="0" w:space="0" w:color="auto"/>
        <w:right w:val="none" w:sz="0" w:space="0" w:color="auto"/>
      </w:divBdr>
    </w:div>
    <w:div w:id="1394936026">
      <w:bodyDiv w:val="1"/>
      <w:marLeft w:val="0"/>
      <w:marRight w:val="0"/>
      <w:marTop w:val="0"/>
      <w:marBottom w:val="0"/>
      <w:divBdr>
        <w:top w:val="none" w:sz="0" w:space="0" w:color="auto"/>
        <w:left w:val="none" w:sz="0" w:space="0" w:color="auto"/>
        <w:bottom w:val="none" w:sz="0" w:space="0" w:color="auto"/>
        <w:right w:val="none" w:sz="0" w:space="0" w:color="auto"/>
      </w:divBdr>
    </w:div>
    <w:div w:id="1406761307">
      <w:bodyDiv w:val="1"/>
      <w:marLeft w:val="0"/>
      <w:marRight w:val="0"/>
      <w:marTop w:val="0"/>
      <w:marBottom w:val="0"/>
      <w:divBdr>
        <w:top w:val="none" w:sz="0" w:space="0" w:color="auto"/>
        <w:left w:val="none" w:sz="0" w:space="0" w:color="auto"/>
        <w:bottom w:val="none" w:sz="0" w:space="0" w:color="auto"/>
        <w:right w:val="none" w:sz="0" w:space="0" w:color="auto"/>
      </w:divBdr>
    </w:div>
    <w:div w:id="1454057883">
      <w:bodyDiv w:val="1"/>
      <w:marLeft w:val="0"/>
      <w:marRight w:val="0"/>
      <w:marTop w:val="0"/>
      <w:marBottom w:val="0"/>
      <w:divBdr>
        <w:top w:val="none" w:sz="0" w:space="0" w:color="auto"/>
        <w:left w:val="none" w:sz="0" w:space="0" w:color="auto"/>
        <w:bottom w:val="none" w:sz="0" w:space="0" w:color="auto"/>
        <w:right w:val="none" w:sz="0" w:space="0" w:color="auto"/>
      </w:divBdr>
    </w:div>
    <w:div w:id="1489395833">
      <w:bodyDiv w:val="1"/>
      <w:marLeft w:val="0"/>
      <w:marRight w:val="0"/>
      <w:marTop w:val="0"/>
      <w:marBottom w:val="0"/>
      <w:divBdr>
        <w:top w:val="none" w:sz="0" w:space="0" w:color="auto"/>
        <w:left w:val="none" w:sz="0" w:space="0" w:color="auto"/>
        <w:bottom w:val="none" w:sz="0" w:space="0" w:color="auto"/>
        <w:right w:val="none" w:sz="0" w:space="0" w:color="auto"/>
      </w:divBdr>
    </w:div>
    <w:div w:id="1512840812">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45673293">
      <w:bodyDiv w:val="1"/>
      <w:marLeft w:val="0"/>
      <w:marRight w:val="0"/>
      <w:marTop w:val="0"/>
      <w:marBottom w:val="0"/>
      <w:divBdr>
        <w:top w:val="none" w:sz="0" w:space="0" w:color="auto"/>
        <w:left w:val="none" w:sz="0" w:space="0" w:color="auto"/>
        <w:bottom w:val="none" w:sz="0" w:space="0" w:color="auto"/>
        <w:right w:val="none" w:sz="0" w:space="0" w:color="auto"/>
      </w:divBdr>
    </w:div>
    <w:div w:id="1614941852">
      <w:bodyDiv w:val="1"/>
      <w:marLeft w:val="0"/>
      <w:marRight w:val="0"/>
      <w:marTop w:val="0"/>
      <w:marBottom w:val="0"/>
      <w:divBdr>
        <w:top w:val="none" w:sz="0" w:space="0" w:color="auto"/>
        <w:left w:val="none" w:sz="0" w:space="0" w:color="auto"/>
        <w:bottom w:val="none" w:sz="0" w:space="0" w:color="auto"/>
        <w:right w:val="none" w:sz="0" w:space="0" w:color="auto"/>
      </w:divBdr>
    </w:div>
    <w:div w:id="1616400115">
      <w:bodyDiv w:val="1"/>
      <w:marLeft w:val="0"/>
      <w:marRight w:val="0"/>
      <w:marTop w:val="0"/>
      <w:marBottom w:val="0"/>
      <w:divBdr>
        <w:top w:val="none" w:sz="0" w:space="0" w:color="auto"/>
        <w:left w:val="none" w:sz="0" w:space="0" w:color="auto"/>
        <w:bottom w:val="none" w:sz="0" w:space="0" w:color="auto"/>
        <w:right w:val="none" w:sz="0" w:space="0" w:color="auto"/>
      </w:divBdr>
    </w:div>
    <w:div w:id="1697996899">
      <w:bodyDiv w:val="1"/>
      <w:marLeft w:val="0"/>
      <w:marRight w:val="0"/>
      <w:marTop w:val="0"/>
      <w:marBottom w:val="0"/>
      <w:divBdr>
        <w:top w:val="none" w:sz="0" w:space="0" w:color="auto"/>
        <w:left w:val="none" w:sz="0" w:space="0" w:color="auto"/>
        <w:bottom w:val="none" w:sz="0" w:space="0" w:color="auto"/>
        <w:right w:val="none" w:sz="0" w:space="0" w:color="auto"/>
      </w:divBdr>
    </w:div>
    <w:div w:id="1698580884">
      <w:bodyDiv w:val="1"/>
      <w:marLeft w:val="0"/>
      <w:marRight w:val="0"/>
      <w:marTop w:val="0"/>
      <w:marBottom w:val="0"/>
      <w:divBdr>
        <w:top w:val="none" w:sz="0" w:space="0" w:color="auto"/>
        <w:left w:val="none" w:sz="0" w:space="0" w:color="auto"/>
        <w:bottom w:val="none" w:sz="0" w:space="0" w:color="auto"/>
        <w:right w:val="none" w:sz="0" w:space="0" w:color="auto"/>
      </w:divBdr>
    </w:div>
    <w:div w:id="1736194695">
      <w:bodyDiv w:val="1"/>
      <w:marLeft w:val="0"/>
      <w:marRight w:val="0"/>
      <w:marTop w:val="0"/>
      <w:marBottom w:val="0"/>
      <w:divBdr>
        <w:top w:val="none" w:sz="0" w:space="0" w:color="auto"/>
        <w:left w:val="none" w:sz="0" w:space="0" w:color="auto"/>
        <w:bottom w:val="none" w:sz="0" w:space="0" w:color="auto"/>
        <w:right w:val="none" w:sz="0" w:space="0" w:color="auto"/>
      </w:divBdr>
    </w:div>
    <w:div w:id="1788892585">
      <w:bodyDiv w:val="1"/>
      <w:marLeft w:val="0"/>
      <w:marRight w:val="0"/>
      <w:marTop w:val="0"/>
      <w:marBottom w:val="0"/>
      <w:divBdr>
        <w:top w:val="none" w:sz="0" w:space="0" w:color="auto"/>
        <w:left w:val="none" w:sz="0" w:space="0" w:color="auto"/>
        <w:bottom w:val="none" w:sz="0" w:space="0" w:color="auto"/>
        <w:right w:val="none" w:sz="0" w:space="0" w:color="auto"/>
      </w:divBdr>
    </w:div>
    <w:div w:id="1813793175">
      <w:bodyDiv w:val="1"/>
      <w:marLeft w:val="0"/>
      <w:marRight w:val="0"/>
      <w:marTop w:val="0"/>
      <w:marBottom w:val="0"/>
      <w:divBdr>
        <w:top w:val="none" w:sz="0" w:space="0" w:color="auto"/>
        <w:left w:val="none" w:sz="0" w:space="0" w:color="auto"/>
        <w:bottom w:val="none" w:sz="0" w:space="0" w:color="auto"/>
        <w:right w:val="none" w:sz="0" w:space="0" w:color="auto"/>
      </w:divBdr>
    </w:div>
    <w:div w:id="1824197688">
      <w:bodyDiv w:val="1"/>
      <w:marLeft w:val="0"/>
      <w:marRight w:val="0"/>
      <w:marTop w:val="0"/>
      <w:marBottom w:val="0"/>
      <w:divBdr>
        <w:top w:val="none" w:sz="0" w:space="0" w:color="auto"/>
        <w:left w:val="none" w:sz="0" w:space="0" w:color="auto"/>
        <w:bottom w:val="none" w:sz="0" w:space="0" w:color="auto"/>
        <w:right w:val="none" w:sz="0" w:space="0" w:color="auto"/>
      </w:divBdr>
    </w:div>
    <w:div w:id="1874808816">
      <w:bodyDiv w:val="1"/>
      <w:marLeft w:val="0"/>
      <w:marRight w:val="0"/>
      <w:marTop w:val="0"/>
      <w:marBottom w:val="0"/>
      <w:divBdr>
        <w:top w:val="none" w:sz="0" w:space="0" w:color="auto"/>
        <w:left w:val="none" w:sz="0" w:space="0" w:color="auto"/>
        <w:bottom w:val="none" w:sz="0" w:space="0" w:color="auto"/>
        <w:right w:val="none" w:sz="0" w:space="0" w:color="auto"/>
      </w:divBdr>
    </w:div>
    <w:div w:id="1944335080">
      <w:bodyDiv w:val="1"/>
      <w:marLeft w:val="0"/>
      <w:marRight w:val="0"/>
      <w:marTop w:val="0"/>
      <w:marBottom w:val="0"/>
      <w:divBdr>
        <w:top w:val="none" w:sz="0" w:space="0" w:color="auto"/>
        <w:left w:val="none" w:sz="0" w:space="0" w:color="auto"/>
        <w:bottom w:val="none" w:sz="0" w:space="0" w:color="auto"/>
        <w:right w:val="none" w:sz="0" w:space="0" w:color="auto"/>
      </w:divBdr>
    </w:div>
    <w:div w:id="1980068019">
      <w:bodyDiv w:val="1"/>
      <w:marLeft w:val="0"/>
      <w:marRight w:val="0"/>
      <w:marTop w:val="0"/>
      <w:marBottom w:val="0"/>
      <w:divBdr>
        <w:top w:val="none" w:sz="0" w:space="0" w:color="auto"/>
        <w:left w:val="none" w:sz="0" w:space="0" w:color="auto"/>
        <w:bottom w:val="none" w:sz="0" w:space="0" w:color="auto"/>
        <w:right w:val="none" w:sz="0" w:space="0" w:color="auto"/>
      </w:divBdr>
    </w:div>
    <w:div w:id="21440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hart" Target="charts/chart3.xml"/><Relationship Id="rId39" Type="http://schemas.openxmlformats.org/officeDocument/2006/relationships/footer" Target="footer7.xml"/><Relationship Id="rId21" Type="http://schemas.openxmlformats.org/officeDocument/2006/relationships/image" Target="media/image3.jpeg"/><Relationship Id="rId34" Type="http://schemas.openxmlformats.org/officeDocument/2006/relationships/chart" Target="charts/chart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chart" Target="charts/chart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hyperlink" Target="https://www.instagram.com/nzenvironment/?hl=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govt.nz" TargetMode="External"/><Relationship Id="rId23" Type="http://schemas.openxmlformats.org/officeDocument/2006/relationships/hyperlink" Target="https://consult.environment.govt.nz/waste/plastics/" TargetMode="External"/><Relationship Id="rId28" Type="http://schemas.openxmlformats.org/officeDocument/2006/relationships/chart" Target="charts/chart5.xml"/><Relationship Id="rId36" Type="http://schemas.openxmlformats.org/officeDocument/2006/relationships/hyperlink" Target="https://www.facebook.com/ministryfortheenvironment/"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mcsa.ac.nz/topics/rethinking-plastics/"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hyperlink" Target="https://environment.govt.nz/what-government-is-doing/areas-of-work/waste/"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consult.environment.govt.nz/waste/plastics/" TargetMode="External"/><Relationship Id="rId1" Type="http://schemas.openxmlformats.org/officeDocument/2006/relationships/hyperlink" Target="https://www.pmcsa.ac.nz/topics/rethinking-pla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tonv\AppData\Local\Microsoft\Windows\INetCache\IE\X5IYNSMW\MfE%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Jacob's%20Workbook%20-%20Plastic%20phase-outs%20-%20data%20and%20tables%20spreadsheet%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mfeprodfps01\costellop$\Desktop\USE%20THIS%20-%20Plastic%20phase-outs%20-%20data%20and%20tables%20spread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USE%20THIS%20-%20Plastic%20phase-outs%20-%20data%20and%20tables%20spreadsheet.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Jacob's%20Workbook%20-%20Plastic%20phase-outs%20-%20data%20and%20tables%20spreadsheet%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Final%20workbook%20-%20Plastic%20phase-outs%20-%20data%20and%20tables%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Final%20workbook%20-%20Plastic%20phase-outs%20-%20data%20and%20tables%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Final%20workbook%20-%20Plastic%20phase-outs%20-%20data%20and%20tables%20spread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Final%20workbook%20-%20Plastic%20phase-outs%20-%20data%20and%20tables%20spread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utcherl\AppData\Roaming\OpenText\OTEdit\EC_tepuna\c20893924\USE%20THIS%20-%20Plastic%20phase-outs%20-%20data%20and%20tables%20spread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73006258833394E-5"/>
          <c:y val="0.14870220707899642"/>
          <c:w val="0.91443704152365568"/>
          <c:h val="0.56096198727137991"/>
        </c:manualLayout>
      </c:layout>
      <c:ofPieChart>
        <c:ofPieType val="bar"/>
        <c:varyColors val="1"/>
        <c:ser>
          <c:idx val="0"/>
          <c:order val="0"/>
          <c:dPt>
            <c:idx val="0"/>
            <c:bubble3D val="0"/>
            <c:explosion val="3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F31-4EB9-AF7C-861A3D32548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F31-4EB9-AF7C-861A3D32548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F31-4EB9-AF7C-861A3D32548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F31-4EB9-AF7C-861A3D32548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F31-4EB9-AF7C-861A3D325483}"/>
              </c:ext>
            </c:extLst>
          </c:dPt>
          <c:dLbls>
            <c:dLbl>
              <c:idx val="0"/>
              <c:layout>
                <c:manualLayout>
                  <c:x val="1.0413675392990505E-2"/>
                  <c:y val="-0.126069317512596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31-4EB9-AF7C-861A3D325483}"/>
                </c:ext>
              </c:extLst>
            </c:dLbl>
            <c:dLbl>
              <c:idx val="1"/>
              <c:layout>
                <c:manualLayout>
                  <c:x val="-4.7119422572178556E-2"/>
                  <c:y val="-6.4772955491381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31-4EB9-AF7C-861A3D325483}"/>
                </c:ext>
              </c:extLst>
            </c:dLbl>
            <c:dLbl>
              <c:idx val="4"/>
              <c:delete val="1"/>
              <c:extLst>
                <c:ext xmlns:c15="http://schemas.microsoft.com/office/drawing/2012/chart" uri="{CE6537A1-D6FC-4f65-9D91-7224C49458BB}"/>
                <c:ext xmlns:c16="http://schemas.microsoft.com/office/drawing/2014/chart" uri="{C3380CC4-5D6E-409C-BE32-E72D297353CC}">
                  <c16:uniqueId val="{00000009-6F31-4EB9-AF7C-861A3D3254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'3'!$B$10:$E$10</c:f>
              <c:strCache>
                <c:ptCount val="4"/>
                <c:pt idx="0">
                  <c:v>Supports</c:v>
                </c:pt>
                <c:pt idx="1">
                  <c:v>Partly Supports</c:v>
                </c:pt>
                <c:pt idx="2">
                  <c:v>Does Not Support</c:v>
                </c:pt>
                <c:pt idx="3">
                  <c:v>No Clear Response </c:v>
                </c:pt>
              </c:strCache>
            </c:strRef>
          </c:cat>
          <c:val>
            <c:numRef>
              <c:f>'3'!$B$11:$E$11</c:f>
              <c:numCache>
                <c:formatCode>General</c:formatCode>
                <c:ptCount val="4"/>
                <c:pt idx="0">
                  <c:v>7675</c:v>
                </c:pt>
                <c:pt idx="1">
                  <c:v>128</c:v>
                </c:pt>
                <c:pt idx="2">
                  <c:v>26</c:v>
                </c:pt>
                <c:pt idx="3">
                  <c:v>49</c:v>
                </c:pt>
              </c:numCache>
            </c:numRef>
          </c:val>
          <c:extLst>
            <c:ext xmlns:c16="http://schemas.microsoft.com/office/drawing/2014/chart" uri="{C3380CC4-5D6E-409C-BE32-E72D297353CC}">
              <c16:uniqueId val="{0000000A-6F31-4EB9-AF7C-861A3D325483}"/>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9.7413856921730962E-2"/>
          <c:y val="0.76747969168761554"/>
          <c:w val="0.67696698970321012"/>
          <c:h val="7.4208962665946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9.8874453193350836E-2"/>
          <c:y val="7.407407407407407E-2"/>
          <c:w val="0.89019685039370078"/>
          <c:h val="0.79081802274715662"/>
        </c:manualLayout>
      </c:layout>
      <c:barChart>
        <c:barDir val="col"/>
        <c:grouping val="stack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'21'!$B$2:$H$2</c:f>
              <c:strCache>
                <c:ptCount val="7"/>
                <c:pt idx="0">
                  <c:v>ASAP</c:v>
                </c:pt>
                <c:pt idx="1">
                  <c:v>12 months</c:v>
                </c:pt>
                <c:pt idx="2">
                  <c:v>18 months</c:v>
                </c:pt>
                <c:pt idx="3">
                  <c:v>2 years</c:v>
                </c:pt>
                <c:pt idx="4">
                  <c:v>3 years</c:v>
                </c:pt>
                <c:pt idx="5">
                  <c:v>Case by case</c:v>
                </c:pt>
                <c:pt idx="6">
                  <c:v>More enagement</c:v>
                </c:pt>
              </c:strCache>
            </c:strRef>
          </c:cat>
          <c:val>
            <c:numRef>
              <c:f>'21'!$B$13:$H$13</c:f>
              <c:numCache>
                <c:formatCode>General</c:formatCode>
                <c:ptCount val="7"/>
                <c:pt idx="0">
                  <c:v>18</c:v>
                </c:pt>
                <c:pt idx="1">
                  <c:v>161</c:v>
                </c:pt>
                <c:pt idx="2">
                  <c:v>68</c:v>
                </c:pt>
                <c:pt idx="3">
                  <c:v>59</c:v>
                </c:pt>
                <c:pt idx="4">
                  <c:v>19</c:v>
                </c:pt>
                <c:pt idx="5">
                  <c:v>479</c:v>
                </c:pt>
                <c:pt idx="6">
                  <c:v>16</c:v>
                </c:pt>
              </c:numCache>
            </c:numRef>
          </c:val>
          <c:extLst>
            <c:ext xmlns:c16="http://schemas.microsoft.com/office/drawing/2014/chart" uri="{C3380CC4-5D6E-409C-BE32-E72D297353CC}">
              <c16:uniqueId val="{00000000-C8BC-433F-B21E-48D12BB6A41D}"/>
            </c:ext>
          </c:extLst>
        </c:ser>
        <c:dLbls>
          <c:dLblPos val="inEnd"/>
          <c:showLegendKey val="0"/>
          <c:showVal val="1"/>
          <c:showCatName val="0"/>
          <c:showSerName val="0"/>
          <c:showPercent val="0"/>
          <c:showBubbleSize val="0"/>
        </c:dLbls>
        <c:gapWidth val="150"/>
        <c:overlap val="100"/>
        <c:axId val="188212767"/>
        <c:axId val="188229407"/>
      </c:barChart>
      <c:catAx>
        <c:axId val="18821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29407"/>
        <c:crosses val="autoZero"/>
        <c:auto val="1"/>
        <c:lblAlgn val="ctr"/>
        <c:lblOffset val="100"/>
        <c:noMultiLvlLbl val="0"/>
      </c:catAx>
      <c:valAx>
        <c:axId val="188229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12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'21'!$B$15</c:f>
              <c:strCache>
                <c:ptCount val="1"/>
                <c:pt idx="0">
                  <c:v>ASAP</c:v>
                </c:pt>
              </c:strCache>
            </c:strRef>
          </c:tx>
          <c:spPr>
            <a:solidFill>
              <a:schemeClr val="accent1"/>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'21'!$B$16:$B$26</c:f>
              <c:numCache>
                <c:formatCode>0.00%</c:formatCode>
                <c:ptCount val="11"/>
                <c:pt idx="1">
                  <c:v>0.04</c:v>
                </c:pt>
                <c:pt idx="2">
                  <c:v>1.646090534979424E-2</c:v>
                </c:pt>
                <c:pt idx="4">
                  <c:v>0.26669999999999999</c:v>
                </c:pt>
                <c:pt idx="6">
                  <c:v>0.25</c:v>
                </c:pt>
                <c:pt idx="10">
                  <c:v>2.1951219512195121E-2</c:v>
                </c:pt>
              </c:numCache>
            </c:numRef>
          </c:val>
          <c:extLst>
            <c:ext xmlns:c16="http://schemas.microsoft.com/office/drawing/2014/chart" uri="{C3380CC4-5D6E-409C-BE32-E72D297353CC}">
              <c16:uniqueId val="{00000000-3936-4A10-8B75-43331DA556CA}"/>
            </c:ext>
          </c:extLst>
        </c:ser>
        <c:ser>
          <c:idx val="1"/>
          <c:order val="1"/>
          <c:tx>
            <c:strRef>
              <c:f>'21'!$C$15</c:f>
              <c:strCache>
                <c:ptCount val="1"/>
                <c:pt idx="0">
                  <c:v>12 months</c:v>
                </c:pt>
              </c:strCache>
            </c:strRef>
          </c:tx>
          <c:spPr>
            <a:solidFill>
              <a:schemeClr val="accent2"/>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'21'!$C$16:$C$26</c:f>
              <c:numCache>
                <c:formatCode>0.00%</c:formatCode>
                <c:ptCount val="11"/>
                <c:pt idx="1">
                  <c:v>0.36</c:v>
                </c:pt>
                <c:pt idx="2">
                  <c:v>0.18930041152263374</c:v>
                </c:pt>
                <c:pt idx="3">
                  <c:v>1</c:v>
                </c:pt>
                <c:pt idx="4">
                  <c:v>0.26669999999999999</c:v>
                </c:pt>
                <c:pt idx="6">
                  <c:v>0.5</c:v>
                </c:pt>
                <c:pt idx="7">
                  <c:v>0.21210000000000001</c:v>
                </c:pt>
                <c:pt idx="10">
                  <c:v>0.19634146341463415</c:v>
                </c:pt>
              </c:numCache>
            </c:numRef>
          </c:val>
          <c:extLst>
            <c:ext xmlns:c16="http://schemas.microsoft.com/office/drawing/2014/chart" uri="{C3380CC4-5D6E-409C-BE32-E72D297353CC}">
              <c16:uniqueId val="{00000001-3936-4A10-8B75-43331DA556CA}"/>
            </c:ext>
          </c:extLst>
        </c:ser>
        <c:ser>
          <c:idx val="2"/>
          <c:order val="2"/>
          <c:tx>
            <c:strRef>
              <c:f>'21'!$D$15</c:f>
              <c:strCache>
                <c:ptCount val="1"/>
                <c:pt idx="0">
                  <c:v>18 months</c:v>
                </c:pt>
              </c:strCache>
            </c:strRef>
          </c:tx>
          <c:spPr>
            <a:solidFill>
              <a:schemeClr val="accent3"/>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'21'!$D$16:$D$26</c:f>
              <c:numCache>
                <c:formatCode>0.00%</c:formatCode>
                <c:ptCount val="11"/>
                <c:pt idx="1">
                  <c:v>0.12</c:v>
                </c:pt>
                <c:pt idx="2">
                  <c:v>8.0932784636488342E-2</c:v>
                </c:pt>
                <c:pt idx="4">
                  <c:v>6.6699999999999995E-2</c:v>
                </c:pt>
                <c:pt idx="7">
                  <c:v>9.0899999999999995E-2</c:v>
                </c:pt>
                <c:pt idx="9">
                  <c:v>1</c:v>
                </c:pt>
                <c:pt idx="10">
                  <c:v>8.2926829268292687E-2</c:v>
                </c:pt>
              </c:numCache>
            </c:numRef>
          </c:val>
          <c:extLst>
            <c:ext xmlns:c16="http://schemas.microsoft.com/office/drawing/2014/chart" uri="{C3380CC4-5D6E-409C-BE32-E72D297353CC}">
              <c16:uniqueId val="{00000002-3936-4A10-8B75-43331DA556CA}"/>
            </c:ext>
          </c:extLst>
        </c:ser>
        <c:ser>
          <c:idx val="3"/>
          <c:order val="3"/>
          <c:tx>
            <c:strRef>
              <c:f>'21'!$E$15</c:f>
              <c:strCache>
                <c:ptCount val="1"/>
                <c:pt idx="0">
                  <c:v>2 years</c:v>
                </c:pt>
              </c:strCache>
            </c:strRef>
          </c:tx>
          <c:spPr>
            <a:solidFill>
              <a:schemeClr val="accent4"/>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'21'!$E$16:$E$26</c:f>
              <c:numCache>
                <c:formatCode>0.00%</c:formatCode>
                <c:ptCount val="11"/>
                <c:pt idx="0">
                  <c:v>0.5</c:v>
                </c:pt>
                <c:pt idx="1">
                  <c:v>0.08</c:v>
                </c:pt>
                <c:pt idx="2">
                  <c:v>6.035665294924554E-2</c:v>
                </c:pt>
                <c:pt idx="4">
                  <c:v>0.2</c:v>
                </c:pt>
                <c:pt idx="7">
                  <c:v>0.2727</c:v>
                </c:pt>
                <c:pt idx="10">
                  <c:v>7.1951219512195116E-2</c:v>
                </c:pt>
              </c:numCache>
            </c:numRef>
          </c:val>
          <c:extLst>
            <c:ext xmlns:c16="http://schemas.microsoft.com/office/drawing/2014/chart" uri="{C3380CC4-5D6E-409C-BE32-E72D297353CC}">
              <c16:uniqueId val="{00000003-3936-4A10-8B75-43331DA556CA}"/>
            </c:ext>
          </c:extLst>
        </c:ser>
        <c:ser>
          <c:idx val="4"/>
          <c:order val="4"/>
          <c:tx>
            <c:strRef>
              <c:f>'21'!$F$15</c:f>
              <c:strCache>
                <c:ptCount val="1"/>
                <c:pt idx="0">
                  <c:v>3 years</c:v>
                </c:pt>
              </c:strCache>
            </c:strRef>
          </c:tx>
          <c:spPr>
            <a:solidFill>
              <a:schemeClr val="accent5"/>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'21'!$F$16:$F$26</c:f>
              <c:numCache>
                <c:formatCode>0.00%</c:formatCode>
                <c:ptCount val="11"/>
                <c:pt idx="0">
                  <c:v>0.5</c:v>
                </c:pt>
                <c:pt idx="1">
                  <c:v>0.04</c:v>
                </c:pt>
                <c:pt idx="2">
                  <c:v>1.5089163237311385E-2</c:v>
                </c:pt>
                <c:pt idx="4">
                  <c:v>0.2</c:v>
                </c:pt>
                <c:pt idx="7">
                  <c:v>9.0899999999999995E-2</c:v>
                </c:pt>
                <c:pt idx="10">
                  <c:v>2.3170731707317073E-2</c:v>
                </c:pt>
              </c:numCache>
            </c:numRef>
          </c:val>
          <c:extLst>
            <c:ext xmlns:c16="http://schemas.microsoft.com/office/drawing/2014/chart" uri="{C3380CC4-5D6E-409C-BE32-E72D297353CC}">
              <c16:uniqueId val="{00000004-3936-4A10-8B75-43331DA556CA}"/>
            </c:ext>
          </c:extLst>
        </c:ser>
        <c:ser>
          <c:idx val="5"/>
          <c:order val="5"/>
          <c:tx>
            <c:strRef>
              <c:f>'21'!$G$15</c:f>
              <c:strCache>
                <c:ptCount val="1"/>
                <c:pt idx="0">
                  <c:v>Case by case</c:v>
                </c:pt>
              </c:strCache>
            </c:strRef>
          </c:tx>
          <c:spPr>
            <a:solidFill>
              <a:schemeClr val="accent6"/>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'21'!$G$16:$G$26</c:f>
              <c:numCache>
                <c:formatCode>0.00%</c:formatCode>
                <c:ptCount val="11"/>
                <c:pt idx="1">
                  <c:v>0.36</c:v>
                </c:pt>
                <c:pt idx="2">
                  <c:v>0.62962962962962965</c:v>
                </c:pt>
                <c:pt idx="4">
                  <c:v>6.6699999999999995E-2</c:v>
                </c:pt>
                <c:pt idx="6">
                  <c:v>0.25</c:v>
                </c:pt>
                <c:pt idx="7">
                  <c:v>0.2727</c:v>
                </c:pt>
                <c:pt idx="10">
                  <c:v>0.5841463414634146</c:v>
                </c:pt>
              </c:numCache>
            </c:numRef>
          </c:val>
          <c:extLst>
            <c:ext xmlns:c16="http://schemas.microsoft.com/office/drawing/2014/chart" uri="{C3380CC4-5D6E-409C-BE32-E72D297353CC}">
              <c16:uniqueId val="{00000005-3936-4A10-8B75-43331DA556CA}"/>
            </c:ext>
          </c:extLst>
        </c:ser>
        <c:ser>
          <c:idx val="6"/>
          <c:order val="6"/>
          <c:tx>
            <c:strRef>
              <c:f>'21'!$H$15</c:f>
              <c:strCache>
                <c:ptCount val="1"/>
                <c:pt idx="0">
                  <c:v>More enagement</c:v>
                </c:pt>
              </c:strCache>
            </c:strRef>
          </c:tx>
          <c:spPr>
            <a:solidFill>
              <a:schemeClr val="accent1">
                <a:lumMod val="60000"/>
              </a:schemeClr>
            </a:solidFill>
            <a:ln>
              <a:noFill/>
            </a:ln>
            <a:effectLst/>
          </c:spPr>
          <c:invertIfNegative val="0"/>
          <c:cat>
            <c:strRef>
              <c:f>'21'!$A$16:$A$26</c:f>
              <c:strCache>
                <c:ptCount val="11"/>
                <c:pt idx="0">
                  <c:v>District Health Board (n=2)</c:v>
                </c:pt>
                <c:pt idx="1">
                  <c:v>NGO (n=27)</c:v>
                </c:pt>
                <c:pt idx="2">
                  <c:v>Individual (n=729)</c:v>
                </c:pt>
                <c:pt idx="3">
                  <c:v>Iwi (n=1)</c:v>
                </c:pt>
                <c:pt idx="4">
                  <c:v>Local Government (n=18)</c:v>
                </c:pt>
                <c:pt idx="5">
                  <c:v>Manufacturer/packaging supplier (n=0)</c:v>
                </c:pt>
                <c:pt idx="6">
                  <c:v>Other (n=4)</c:v>
                </c:pt>
                <c:pt idx="7">
                  <c:v>Other Industry/Business (n=36)</c:v>
                </c:pt>
                <c:pt idx="8">
                  <c:v>Plastic Industry (n=1)</c:v>
                </c:pt>
                <c:pt idx="9">
                  <c:v>Recycler/reprocessor (n=2)</c:v>
                </c:pt>
                <c:pt idx="10">
                  <c:v>Total (n=820)</c:v>
                </c:pt>
              </c:strCache>
            </c:strRef>
          </c:cat>
          <c:val>
            <c:numRef>
              <c:f>'21'!$H$16:$H$26</c:f>
              <c:numCache>
                <c:formatCode>0.00%</c:formatCode>
                <c:ptCount val="11"/>
                <c:pt idx="1">
                  <c:v>0.08</c:v>
                </c:pt>
                <c:pt idx="2">
                  <c:v>8.23045267489712E-3</c:v>
                </c:pt>
                <c:pt idx="4">
                  <c:v>0.1333</c:v>
                </c:pt>
                <c:pt idx="7">
                  <c:v>0.1515</c:v>
                </c:pt>
                <c:pt idx="8">
                  <c:v>1</c:v>
                </c:pt>
                <c:pt idx="10">
                  <c:v>1.9512195121951219E-2</c:v>
                </c:pt>
              </c:numCache>
            </c:numRef>
          </c:val>
          <c:extLst>
            <c:ext xmlns:c16="http://schemas.microsoft.com/office/drawing/2014/chart" uri="{C3380CC4-5D6E-409C-BE32-E72D297353CC}">
              <c16:uniqueId val="{00000006-3936-4A10-8B75-43331DA556CA}"/>
            </c:ext>
          </c:extLst>
        </c:ser>
        <c:dLbls>
          <c:showLegendKey val="0"/>
          <c:showVal val="0"/>
          <c:showCatName val="0"/>
          <c:showSerName val="0"/>
          <c:showPercent val="0"/>
          <c:showBubbleSize val="0"/>
        </c:dLbls>
        <c:gapWidth val="150"/>
        <c:overlap val="100"/>
        <c:axId val="1564104783"/>
        <c:axId val="1564099791"/>
      </c:barChart>
      <c:catAx>
        <c:axId val="1564104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Timeframe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099791"/>
        <c:crosses val="autoZero"/>
        <c:auto val="1"/>
        <c:lblAlgn val="ctr"/>
        <c:lblOffset val="100"/>
        <c:noMultiLvlLbl val="0"/>
      </c:catAx>
      <c:valAx>
        <c:axId val="1564099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10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'4'!$B$2</c:f>
              <c:strCache>
                <c:ptCount val="1"/>
                <c:pt idx="0">
                  <c:v>Agree</c:v>
                </c:pt>
              </c:strCache>
            </c:strRef>
          </c:tx>
          <c:spPr>
            <a:solidFill>
              <a:schemeClr val="accent2"/>
            </a:solidFill>
            <a:ln>
              <a:noFill/>
            </a:ln>
            <a:effectLst/>
          </c:spPr>
          <c:invertIfNegative val="0"/>
          <c:cat>
            <c:strRef>
              <c:f>'4'!$A$3:$A$13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'4'!$B$3:$B$13</c:f>
              <c:numCache>
                <c:formatCode>General</c:formatCode>
                <c:ptCount val="11"/>
                <c:pt idx="0">
                  <c:v>2</c:v>
                </c:pt>
                <c:pt idx="1">
                  <c:v>19</c:v>
                </c:pt>
                <c:pt idx="2">
                  <c:v>7616</c:v>
                </c:pt>
                <c:pt idx="3">
                  <c:v>1</c:v>
                </c:pt>
                <c:pt idx="4">
                  <c:v>17</c:v>
                </c:pt>
                <c:pt idx="5">
                  <c:v>0</c:v>
                </c:pt>
                <c:pt idx="6">
                  <c:v>1</c:v>
                </c:pt>
                <c:pt idx="7">
                  <c:v>18</c:v>
                </c:pt>
                <c:pt idx="8">
                  <c:v>0</c:v>
                </c:pt>
                <c:pt idx="9">
                  <c:v>1</c:v>
                </c:pt>
                <c:pt idx="10">
                  <c:v>7675</c:v>
                </c:pt>
              </c:numCache>
            </c:numRef>
          </c:val>
          <c:extLst>
            <c:ext xmlns:c16="http://schemas.microsoft.com/office/drawing/2014/chart" uri="{C3380CC4-5D6E-409C-BE32-E72D297353CC}">
              <c16:uniqueId val="{00000000-B98D-4606-85CF-FD7A2269A1CF}"/>
            </c:ext>
          </c:extLst>
        </c:ser>
        <c:ser>
          <c:idx val="1"/>
          <c:order val="1"/>
          <c:tx>
            <c:strRef>
              <c:f>'4'!$C$2</c:f>
              <c:strCache>
                <c:ptCount val="1"/>
                <c:pt idx="0">
                  <c:v>Agree in part</c:v>
                </c:pt>
              </c:strCache>
            </c:strRef>
          </c:tx>
          <c:spPr>
            <a:solidFill>
              <a:schemeClr val="accent4"/>
            </a:solidFill>
            <a:ln>
              <a:noFill/>
            </a:ln>
            <a:effectLst/>
          </c:spPr>
          <c:invertIfNegative val="0"/>
          <c:cat>
            <c:strRef>
              <c:f>'4'!$A$3:$A$13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'4'!$C$3:$C$13</c:f>
              <c:numCache>
                <c:formatCode>General</c:formatCode>
                <c:ptCount val="11"/>
                <c:pt idx="0">
                  <c:v>1</c:v>
                </c:pt>
                <c:pt idx="1">
                  <c:v>16</c:v>
                </c:pt>
                <c:pt idx="2">
                  <c:v>76</c:v>
                </c:pt>
                <c:pt idx="3">
                  <c:v>0</c:v>
                </c:pt>
                <c:pt idx="4">
                  <c:v>6</c:v>
                </c:pt>
                <c:pt idx="5">
                  <c:v>2</c:v>
                </c:pt>
                <c:pt idx="6">
                  <c:v>3</c:v>
                </c:pt>
                <c:pt idx="7">
                  <c:v>21</c:v>
                </c:pt>
                <c:pt idx="8">
                  <c:v>1</c:v>
                </c:pt>
                <c:pt idx="9">
                  <c:v>2</c:v>
                </c:pt>
                <c:pt idx="10">
                  <c:v>128</c:v>
                </c:pt>
              </c:numCache>
            </c:numRef>
          </c:val>
          <c:extLst>
            <c:ext xmlns:c16="http://schemas.microsoft.com/office/drawing/2014/chart" uri="{C3380CC4-5D6E-409C-BE32-E72D297353CC}">
              <c16:uniqueId val="{00000001-B98D-4606-85CF-FD7A2269A1CF}"/>
            </c:ext>
          </c:extLst>
        </c:ser>
        <c:ser>
          <c:idx val="2"/>
          <c:order val="2"/>
          <c:tx>
            <c:strRef>
              <c:f>'4'!$D$2</c:f>
              <c:strCache>
                <c:ptCount val="1"/>
                <c:pt idx="0">
                  <c:v>Disagree</c:v>
                </c:pt>
              </c:strCache>
            </c:strRef>
          </c:tx>
          <c:spPr>
            <a:solidFill>
              <a:schemeClr val="accent6"/>
            </a:solidFill>
            <a:ln>
              <a:noFill/>
            </a:ln>
            <a:effectLst/>
          </c:spPr>
          <c:invertIfNegative val="0"/>
          <c:cat>
            <c:strRef>
              <c:f>'4'!$A$3:$A$13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'4'!$D$3:$D$13</c:f>
              <c:numCache>
                <c:formatCode>General</c:formatCode>
                <c:ptCount val="11"/>
                <c:pt idx="0">
                  <c:v>0</c:v>
                </c:pt>
                <c:pt idx="1">
                  <c:v>0</c:v>
                </c:pt>
                <c:pt idx="2">
                  <c:v>23</c:v>
                </c:pt>
                <c:pt idx="3">
                  <c:v>0</c:v>
                </c:pt>
                <c:pt idx="4">
                  <c:v>0</c:v>
                </c:pt>
                <c:pt idx="5">
                  <c:v>0</c:v>
                </c:pt>
                <c:pt idx="6">
                  <c:v>0</c:v>
                </c:pt>
                <c:pt idx="7">
                  <c:v>2</c:v>
                </c:pt>
                <c:pt idx="8">
                  <c:v>1</c:v>
                </c:pt>
                <c:pt idx="9">
                  <c:v>0</c:v>
                </c:pt>
                <c:pt idx="10">
                  <c:v>26</c:v>
                </c:pt>
              </c:numCache>
            </c:numRef>
          </c:val>
          <c:extLst>
            <c:ext xmlns:c16="http://schemas.microsoft.com/office/drawing/2014/chart" uri="{C3380CC4-5D6E-409C-BE32-E72D297353CC}">
              <c16:uniqueId val="{00000002-B98D-4606-85CF-FD7A2269A1CF}"/>
            </c:ext>
          </c:extLst>
        </c:ser>
        <c:ser>
          <c:idx val="3"/>
          <c:order val="3"/>
          <c:tx>
            <c:strRef>
              <c:f>'4'!$E$2</c:f>
              <c:strCache>
                <c:ptCount val="1"/>
                <c:pt idx="0">
                  <c:v>No Position</c:v>
                </c:pt>
              </c:strCache>
            </c:strRef>
          </c:tx>
          <c:spPr>
            <a:solidFill>
              <a:schemeClr val="accent2">
                <a:lumMod val="60000"/>
              </a:schemeClr>
            </a:solidFill>
            <a:ln>
              <a:noFill/>
            </a:ln>
            <a:effectLst/>
          </c:spPr>
          <c:invertIfNegative val="0"/>
          <c:cat>
            <c:strRef>
              <c:f>'4'!$A$3:$A$13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'4'!$E$3:$E$13</c:f>
              <c:numCache>
                <c:formatCode>General</c:formatCode>
                <c:ptCount val="11"/>
                <c:pt idx="0">
                  <c:v>0</c:v>
                </c:pt>
                <c:pt idx="1">
                  <c:v>1</c:v>
                </c:pt>
                <c:pt idx="2">
                  <c:v>17</c:v>
                </c:pt>
                <c:pt idx="3">
                  <c:v>0</c:v>
                </c:pt>
                <c:pt idx="4">
                  <c:v>2</c:v>
                </c:pt>
                <c:pt idx="5">
                  <c:v>1</c:v>
                </c:pt>
                <c:pt idx="6">
                  <c:v>3</c:v>
                </c:pt>
                <c:pt idx="7">
                  <c:v>15</c:v>
                </c:pt>
                <c:pt idx="8">
                  <c:v>3</c:v>
                </c:pt>
                <c:pt idx="9">
                  <c:v>1</c:v>
                </c:pt>
                <c:pt idx="10">
                  <c:v>49</c:v>
                </c:pt>
              </c:numCache>
            </c:numRef>
          </c:val>
          <c:extLst>
            <c:ext xmlns:c16="http://schemas.microsoft.com/office/drawing/2014/chart" uri="{C3380CC4-5D6E-409C-BE32-E72D297353CC}">
              <c16:uniqueId val="{00000003-B98D-4606-85CF-FD7A2269A1CF}"/>
            </c:ext>
          </c:extLst>
        </c:ser>
        <c:dLbls>
          <c:showLegendKey val="0"/>
          <c:showVal val="0"/>
          <c:showCatName val="0"/>
          <c:showSerName val="0"/>
          <c:showPercent val="0"/>
          <c:showBubbleSize val="0"/>
        </c:dLbls>
        <c:gapWidth val="150"/>
        <c:overlap val="100"/>
        <c:axId val="94726768"/>
        <c:axId val="94725520"/>
      </c:barChart>
      <c:catAx>
        <c:axId val="9472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Submitter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25520"/>
        <c:crosses val="autoZero"/>
        <c:auto val="1"/>
        <c:lblAlgn val="ctr"/>
        <c:lblOffset val="100"/>
        <c:noMultiLvlLbl val="0"/>
      </c:catAx>
      <c:valAx>
        <c:axId val="9472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Proportion</a:t>
                </a:r>
                <a:r>
                  <a:rPr lang="en-NZ" baseline="0"/>
                  <a:t> of submitters</a:t>
                </a:r>
                <a:endParaRPr lang="en-N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2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'7'!$B$16:$E$16</c:f>
              <c:strCache>
                <c:ptCount val="4"/>
                <c:pt idx="0">
                  <c:v>Support</c:v>
                </c:pt>
                <c:pt idx="1">
                  <c:v>Support in part</c:v>
                </c:pt>
                <c:pt idx="2">
                  <c:v>Does not support</c:v>
                </c:pt>
                <c:pt idx="3">
                  <c:v>No response</c:v>
                </c:pt>
              </c:strCache>
            </c:strRef>
          </c:cat>
          <c:val>
            <c:numRef>
              <c:f>'7'!$B$20:$E$20</c:f>
              <c:numCache>
                <c:formatCode>General</c:formatCode>
                <c:ptCount val="4"/>
                <c:pt idx="0">
                  <c:v>7608</c:v>
                </c:pt>
                <c:pt idx="1">
                  <c:v>169</c:v>
                </c:pt>
                <c:pt idx="2">
                  <c:v>41</c:v>
                </c:pt>
                <c:pt idx="3">
                  <c:v>60</c:v>
                </c:pt>
              </c:numCache>
            </c:numRef>
          </c:val>
          <c:extLst>
            <c:ext xmlns:c16="http://schemas.microsoft.com/office/drawing/2014/chart" uri="{C3380CC4-5D6E-409C-BE32-E72D297353CC}">
              <c16:uniqueId val="{00000000-CE6C-4E8F-B944-D52BFE6A8BD6}"/>
            </c:ext>
          </c:extLst>
        </c:ser>
        <c:dLbls>
          <c:dLblPos val="outEnd"/>
          <c:showLegendKey val="0"/>
          <c:showVal val="1"/>
          <c:showCatName val="0"/>
          <c:showSerName val="0"/>
          <c:showPercent val="0"/>
          <c:showBubbleSize val="0"/>
        </c:dLbls>
        <c:gapWidth val="219"/>
        <c:overlap val="-27"/>
        <c:axId val="630289503"/>
        <c:axId val="630289919"/>
      </c:barChart>
      <c:catAx>
        <c:axId val="6302895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Support level</a:t>
                </a:r>
              </a:p>
            </c:rich>
          </c:tx>
          <c:layout>
            <c:manualLayout>
              <c:xMode val="edge"/>
              <c:yMode val="edge"/>
              <c:x val="0.47417523550169394"/>
              <c:y val="0.929965201490195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289919"/>
        <c:crosses val="autoZero"/>
        <c:auto val="1"/>
        <c:lblAlgn val="ctr"/>
        <c:lblOffset val="100"/>
        <c:noMultiLvlLbl val="0"/>
      </c:catAx>
      <c:valAx>
        <c:axId val="630289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a:t>
                </a:r>
                <a:r>
                  <a:rPr lang="en-NZ" baseline="0"/>
                  <a:t> of submissions</a:t>
                </a:r>
                <a:endParaRPr lang="en-NZ"/>
              </a:p>
            </c:rich>
          </c:tx>
          <c:layout>
            <c:manualLayout>
              <c:xMode val="edge"/>
              <c:yMode val="edge"/>
              <c:x val="1.1482374555057986E-2"/>
              <c:y val="0.263706992843057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289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'5'!$B$2</c:f>
              <c:strCache>
                <c:ptCount val="1"/>
                <c:pt idx="0">
                  <c:v>Agree</c:v>
                </c:pt>
              </c:strCache>
            </c:strRef>
          </c:tx>
          <c:spPr>
            <a:solidFill>
              <a:schemeClr val="accent2"/>
            </a:solidFill>
            <a:ln>
              <a:noFill/>
            </a:ln>
            <a:effectLst/>
          </c:spPr>
          <c:invertIfNegative val="0"/>
          <c:cat>
            <c:strRef>
              <c:f>'5'!$A$3:$A$13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'5'!$B$3:$B$13</c:f>
              <c:numCache>
                <c:formatCode>General</c:formatCode>
                <c:ptCount val="11"/>
                <c:pt idx="0">
                  <c:v>2</c:v>
                </c:pt>
                <c:pt idx="1">
                  <c:v>28</c:v>
                </c:pt>
                <c:pt idx="2">
                  <c:v>7536</c:v>
                </c:pt>
                <c:pt idx="3">
                  <c:v>1</c:v>
                </c:pt>
                <c:pt idx="4">
                  <c:v>11</c:v>
                </c:pt>
                <c:pt idx="5">
                  <c:v>1</c:v>
                </c:pt>
                <c:pt idx="6">
                  <c:v>5</c:v>
                </c:pt>
                <c:pt idx="7">
                  <c:v>22</c:v>
                </c:pt>
                <c:pt idx="8">
                  <c:v>0</c:v>
                </c:pt>
                <c:pt idx="9">
                  <c:v>2</c:v>
                </c:pt>
                <c:pt idx="10">
                  <c:v>7608</c:v>
                </c:pt>
              </c:numCache>
            </c:numRef>
          </c:val>
          <c:extLst>
            <c:ext xmlns:c16="http://schemas.microsoft.com/office/drawing/2014/chart" uri="{C3380CC4-5D6E-409C-BE32-E72D297353CC}">
              <c16:uniqueId val="{00000000-8CF8-4432-B865-AA6D86325163}"/>
            </c:ext>
          </c:extLst>
        </c:ser>
        <c:ser>
          <c:idx val="1"/>
          <c:order val="1"/>
          <c:tx>
            <c:strRef>
              <c:f>'5'!$C$2</c:f>
              <c:strCache>
                <c:ptCount val="1"/>
                <c:pt idx="0">
                  <c:v>Agree in part</c:v>
                </c:pt>
              </c:strCache>
            </c:strRef>
          </c:tx>
          <c:spPr>
            <a:solidFill>
              <a:schemeClr val="accent4"/>
            </a:solidFill>
            <a:ln>
              <a:noFill/>
            </a:ln>
            <a:effectLst/>
          </c:spPr>
          <c:invertIfNegative val="0"/>
          <c:cat>
            <c:strRef>
              <c:f>'5'!$A$3:$A$13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'5'!$C$3:$C$13</c:f>
              <c:numCache>
                <c:formatCode>General</c:formatCode>
                <c:ptCount val="11"/>
                <c:pt idx="0">
                  <c:v>1</c:v>
                </c:pt>
                <c:pt idx="1">
                  <c:v>5</c:v>
                </c:pt>
                <c:pt idx="2">
                  <c:v>138</c:v>
                </c:pt>
                <c:pt idx="3">
                  <c:v>0</c:v>
                </c:pt>
                <c:pt idx="4">
                  <c:v>7</c:v>
                </c:pt>
                <c:pt idx="5">
                  <c:v>0</c:v>
                </c:pt>
                <c:pt idx="6">
                  <c:v>0</c:v>
                </c:pt>
                <c:pt idx="7">
                  <c:v>16</c:v>
                </c:pt>
                <c:pt idx="8">
                  <c:v>2</c:v>
                </c:pt>
                <c:pt idx="9">
                  <c:v>0</c:v>
                </c:pt>
                <c:pt idx="10">
                  <c:v>169</c:v>
                </c:pt>
              </c:numCache>
            </c:numRef>
          </c:val>
          <c:extLst>
            <c:ext xmlns:c16="http://schemas.microsoft.com/office/drawing/2014/chart" uri="{C3380CC4-5D6E-409C-BE32-E72D297353CC}">
              <c16:uniqueId val="{00000001-8CF8-4432-B865-AA6D86325163}"/>
            </c:ext>
          </c:extLst>
        </c:ser>
        <c:ser>
          <c:idx val="2"/>
          <c:order val="2"/>
          <c:tx>
            <c:strRef>
              <c:f>'5'!$D$2</c:f>
              <c:strCache>
                <c:ptCount val="1"/>
                <c:pt idx="0">
                  <c:v>Disagree</c:v>
                </c:pt>
              </c:strCache>
            </c:strRef>
          </c:tx>
          <c:spPr>
            <a:solidFill>
              <a:schemeClr val="accent6"/>
            </a:solidFill>
            <a:ln>
              <a:noFill/>
            </a:ln>
            <a:effectLst/>
          </c:spPr>
          <c:invertIfNegative val="0"/>
          <c:cat>
            <c:strRef>
              <c:f>'5'!$A$3:$A$13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'5'!$D$3:$D$13</c:f>
              <c:numCache>
                <c:formatCode>General</c:formatCode>
                <c:ptCount val="11"/>
                <c:pt idx="1">
                  <c:v>0</c:v>
                </c:pt>
                <c:pt idx="2">
                  <c:v>35</c:v>
                </c:pt>
                <c:pt idx="3">
                  <c:v>0</c:v>
                </c:pt>
                <c:pt idx="4">
                  <c:v>0</c:v>
                </c:pt>
                <c:pt idx="5">
                  <c:v>1</c:v>
                </c:pt>
                <c:pt idx="6">
                  <c:v>0</c:v>
                </c:pt>
                <c:pt idx="7">
                  <c:v>2</c:v>
                </c:pt>
                <c:pt idx="8">
                  <c:v>2</c:v>
                </c:pt>
                <c:pt idx="9">
                  <c:v>1</c:v>
                </c:pt>
                <c:pt idx="10">
                  <c:v>41</c:v>
                </c:pt>
              </c:numCache>
            </c:numRef>
          </c:val>
          <c:extLst>
            <c:ext xmlns:c16="http://schemas.microsoft.com/office/drawing/2014/chart" uri="{C3380CC4-5D6E-409C-BE32-E72D297353CC}">
              <c16:uniqueId val="{00000002-8CF8-4432-B865-AA6D86325163}"/>
            </c:ext>
          </c:extLst>
        </c:ser>
        <c:ser>
          <c:idx val="3"/>
          <c:order val="3"/>
          <c:tx>
            <c:strRef>
              <c:f>'5'!$E$2</c:f>
              <c:strCache>
                <c:ptCount val="1"/>
                <c:pt idx="0">
                  <c:v>Did not answer</c:v>
                </c:pt>
              </c:strCache>
            </c:strRef>
          </c:tx>
          <c:spPr>
            <a:solidFill>
              <a:schemeClr val="accent2">
                <a:lumMod val="60000"/>
              </a:schemeClr>
            </a:solidFill>
            <a:ln>
              <a:noFill/>
            </a:ln>
            <a:effectLst/>
          </c:spPr>
          <c:invertIfNegative val="0"/>
          <c:cat>
            <c:strRef>
              <c:f>'5'!$A$3:$A$13</c:f>
              <c:strCache>
                <c:ptCount val="11"/>
                <c:pt idx="0">
                  <c:v>District Health Board (n=3)</c:v>
                </c:pt>
                <c:pt idx="1">
                  <c:v>NGO (n=37)</c:v>
                </c:pt>
                <c:pt idx="2">
                  <c:v>General Public (n=7736)</c:v>
                </c:pt>
                <c:pt idx="3">
                  <c:v>Iwi (n=1)</c:v>
                </c:pt>
                <c:pt idx="4">
                  <c:v>Local Government (n=25)</c:v>
                </c:pt>
                <c:pt idx="5">
                  <c:v>Manufacturer/packaging supplier (n=4)</c:v>
                </c:pt>
                <c:pt idx="6">
                  <c:v>Other (n=7)</c:v>
                </c:pt>
                <c:pt idx="7">
                  <c:v>Other Industry/Business (n=56)</c:v>
                </c:pt>
                <c:pt idx="8">
                  <c:v>Plastic Industry (n=5)</c:v>
                </c:pt>
                <c:pt idx="9">
                  <c:v>Recycler/reprocessor (n=4)</c:v>
                </c:pt>
                <c:pt idx="10">
                  <c:v>Total (n=7878)</c:v>
                </c:pt>
              </c:strCache>
            </c:strRef>
          </c:cat>
          <c:val>
            <c:numRef>
              <c:f>'5'!$E$3:$E$13</c:f>
              <c:numCache>
                <c:formatCode>General</c:formatCode>
                <c:ptCount val="11"/>
                <c:pt idx="0">
                  <c:v>0</c:v>
                </c:pt>
                <c:pt idx="1">
                  <c:v>4</c:v>
                </c:pt>
                <c:pt idx="2">
                  <c:v>27</c:v>
                </c:pt>
                <c:pt idx="3">
                  <c:v>0</c:v>
                </c:pt>
                <c:pt idx="4">
                  <c:v>7</c:v>
                </c:pt>
                <c:pt idx="5">
                  <c:v>2</c:v>
                </c:pt>
                <c:pt idx="6">
                  <c:v>2</c:v>
                </c:pt>
                <c:pt idx="7">
                  <c:v>16</c:v>
                </c:pt>
                <c:pt idx="8">
                  <c:v>1</c:v>
                </c:pt>
                <c:pt idx="9">
                  <c:v>1</c:v>
                </c:pt>
                <c:pt idx="10">
                  <c:v>60</c:v>
                </c:pt>
              </c:numCache>
            </c:numRef>
          </c:val>
          <c:extLst>
            <c:ext xmlns:c16="http://schemas.microsoft.com/office/drawing/2014/chart" uri="{C3380CC4-5D6E-409C-BE32-E72D297353CC}">
              <c16:uniqueId val="{00000003-8CF8-4432-B865-AA6D86325163}"/>
            </c:ext>
          </c:extLst>
        </c:ser>
        <c:dLbls>
          <c:showLegendKey val="0"/>
          <c:showVal val="0"/>
          <c:showCatName val="0"/>
          <c:showSerName val="0"/>
          <c:showPercent val="0"/>
          <c:showBubbleSize val="0"/>
        </c:dLbls>
        <c:gapWidth val="150"/>
        <c:overlap val="100"/>
        <c:axId val="93374192"/>
        <c:axId val="93375024"/>
      </c:barChart>
      <c:catAx>
        <c:axId val="93374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Submitter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5024"/>
        <c:crosses val="autoZero"/>
        <c:auto val="1"/>
        <c:lblAlgn val="ctr"/>
        <c:lblOffset val="100"/>
        <c:noMultiLvlLbl val="0"/>
      </c:catAx>
      <c:valAx>
        <c:axId val="9337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'9'!$C$3:$E$3</c:f>
              <c:strCache>
                <c:ptCount val="3"/>
                <c:pt idx="0">
                  <c:v>Support</c:v>
                </c:pt>
                <c:pt idx="1">
                  <c:v>Does not support</c:v>
                </c:pt>
                <c:pt idx="2">
                  <c:v>Not answered</c:v>
                </c:pt>
              </c:strCache>
            </c:strRef>
          </c:cat>
          <c:val>
            <c:numRef>
              <c:f>'9'!$C$4:$E$4</c:f>
              <c:numCache>
                <c:formatCode>General</c:formatCode>
                <c:ptCount val="3"/>
                <c:pt idx="0">
                  <c:v>7765</c:v>
                </c:pt>
                <c:pt idx="1">
                  <c:v>38</c:v>
                </c:pt>
                <c:pt idx="2">
                  <c:v>75</c:v>
                </c:pt>
              </c:numCache>
            </c:numRef>
          </c:val>
          <c:extLst>
            <c:ext xmlns:c16="http://schemas.microsoft.com/office/drawing/2014/chart" uri="{C3380CC4-5D6E-409C-BE32-E72D297353CC}">
              <c16:uniqueId val="{00000000-5998-4BEB-9877-540F051362AB}"/>
            </c:ext>
          </c:extLst>
        </c:ser>
        <c:dLbls>
          <c:dLblPos val="outEnd"/>
          <c:showLegendKey val="0"/>
          <c:showVal val="1"/>
          <c:showCatName val="0"/>
          <c:showSerName val="0"/>
          <c:showPercent val="0"/>
          <c:showBubbleSize val="0"/>
        </c:dLbls>
        <c:gapWidth val="219"/>
        <c:overlap val="-27"/>
        <c:axId val="216485088"/>
        <c:axId val="216486752"/>
      </c:barChart>
      <c:catAx>
        <c:axId val="216485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Preference</a:t>
                </a:r>
                <a:r>
                  <a:rPr lang="en-NZ" baseline="0"/>
                  <a:t> for banning oxo-degradable plastic items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486752"/>
        <c:crosses val="autoZero"/>
        <c:auto val="1"/>
        <c:lblAlgn val="ctr"/>
        <c:lblOffset val="100"/>
        <c:noMultiLvlLbl val="0"/>
      </c:catAx>
      <c:valAx>
        <c:axId val="21648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submissions</a:t>
                </a:r>
              </a:p>
            </c:rich>
          </c:tx>
          <c:layout>
            <c:manualLayout>
              <c:xMode val="edge"/>
              <c:yMode val="edge"/>
              <c:x val="1.1759172154280339E-2"/>
              <c:y val="0.266407016816803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4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818-4B28-B6F3-1024A13C87F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818-4B28-B6F3-1024A13C87F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818-4B28-B6F3-1024A13C87F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818-4B28-B6F3-1024A13C87FC}"/>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8818-4B28-B6F3-1024A13C87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'10'!$B$17:$F$17</c:f>
              <c:strCache>
                <c:ptCount val="5"/>
                <c:pt idx="0">
                  <c:v>Supports </c:v>
                </c:pt>
                <c:pt idx="1">
                  <c:v>Sooner</c:v>
                </c:pt>
                <c:pt idx="2">
                  <c:v>Disagree</c:v>
                </c:pt>
                <c:pt idx="3">
                  <c:v>Later/further engagement</c:v>
                </c:pt>
                <c:pt idx="4">
                  <c:v>No response</c:v>
                </c:pt>
              </c:strCache>
            </c:strRef>
          </c:cat>
          <c:val>
            <c:numRef>
              <c:f>'10'!$B$22:$F$22</c:f>
              <c:numCache>
                <c:formatCode>0.0%</c:formatCode>
                <c:ptCount val="5"/>
                <c:pt idx="0">
                  <c:v>0.56000000000000005</c:v>
                </c:pt>
                <c:pt idx="1">
                  <c:v>0.41</c:v>
                </c:pt>
                <c:pt idx="2">
                  <c:v>5.0000000000000001E-3</c:v>
                </c:pt>
                <c:pt idx="3">
                  <c:v>6.0000000000000001E-3</c:v>
                </c:pt>
                <c:pt idx="4">
                  <c:v>1.4999999999999999E-2</c:v>
                </c:pt>
              </c:numCache>
            </c:numRef>
          </c:val>
          <c:extLst>
            <c:ext xmlns:c16="http://schemas.microsoft.com/office/drawing/2014/chart" uri="{C3380CC4-5D6E-409C-BE32-E72D297353CC}">
              <c16:uniqueId val="{0000000A-8818-4B28-B6F3-1024A13C87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'7'!$B$2</c:f>
              <c:strCache>
                <c:ptCount val="1"/>
                <c:pt idx="0">
                  <c:v>Supports</c:v>
                </c:pt>
              </c:strCache>
            </c:strRef>
          </c:tx>
          <c:spPr>
            <a:solidFill>
              <a:schemeClr val="accent6"/>
            </a:solidFill>
            <a:ln>
              <a:noFill/>
            </a:ln>
            <a:effectLst/>
          </c:spPr>
          <c:invertIfNegative val="0"/>
          <c:cat>
            <c:strRef>
              <c:f>'7'!$A$3:$A$14</c:f>
              <c:strCache>
                <c:ptCount val="9"/>
                <c:pt idx="0">
                  <c:v>District Health Board (n=3)</c:v>
                </c:pt>
                <c:pt idx="1">
                  <c:v>Local Government (n=16)</c:v>
                </c:pt>
                <c:pt idx="2">
                  <c:v>Manufacturer/packaging supplier (n=1)</c:v>
                </c:pt>
                <c:pt idx="3">
                  <c:v>Other (n=3)</c:v>
                </c:pt>
                <c:pt idx="4">
                  <c:v>Other Industry/Business (n=32)</c:v>
                </c:pt>
                <c:pt idx="5">
                  <c:v>Plastic Industry (n=3)</c:v>
                </c:pt>
                <c:pt idx="6">
                  <c:v>Recycler/reprocessor (n-2)</c:v>
                </c:pt>
                <c:pt idx="7">
                  <c:v>NGO (n=25)</c:v>
                </c:pt>
                <c:pt idx="8">
                  <c:v>Total (n=85)</c:v>
                </c:pt>
              </c:strCache>
            </c:strRef>
          </c:cat>
          <c:val>
            <c:numRef>
              <c:f>'7'!$B$3:$B$14</c:f>
              <c:numCache>
                <c:formatCode>General</c:formatCode>
                <c:ptCount val="9"/>
                <c:pt idx="0">
                  <c:v>2</c:v>
                </c:pt>
                <c:pt idx="1">
                  <c:v>5</c:v>
                </c:pt>
                <c:pt idx="2">
                  <c:v>0</c:v>
                </c:pt>
                <c:pt idx="3">
                  <c:v>1</c:v>
                </c:pt>
                <c:pt idx="4">
                  <c:v>8</c:v>
                </c:pt>
                <c:pt idx="5">
                  <c:v>1</c:v>
                </c:pt>
                <c:pt idx="6">
                  <c:v>1</c:v>
                </c:pt>
                <c:pt idx="7">
                  <c:v>3</c:v>
                </c:pt>
                <c:pt idx="8">
                  <c:v>21</c:v>
                </c:pt>
              </c:numCache>
            </c:numRef>
          </c:val>
          <c:extLst>
            <c:ext xmlns:c16="http://schemas.microsoft.com/office/drawing/2014/chart" uri="{C3380CC4-5D6E-409C-BE32-E72D297353CC}">
              <c16:uniqueId val="{00000000-100D-4C07-A18D-97A14B969DAC}"/>
            </c:ext>
          </c:extLst>
        </c:ser>
        <c:ser>
          <c:idx val="1"/>
          <c:order val="1"/>
          <c:tx>
            <c:strRef>
              <c:f>'7'!$C$2</c:f>
              <c:strCache>
                <c:ptCount val="1"/>
                <c:pt idx="0">
                  <c:v>Sooner</c:v>
                </c:pt>
              </c:strCache>
            </c:strRef>
          </c:tx>
          <c:spPr>
            <a:solidFill>
              <a:schemeClr val="accent5"/>
            </a:solidFill>
            <a:ln>
              <a:noFill/>
            </a:ln>
            <a:effectLst/>
          </c:spPr>
          <c:invertIfNegative val="0"/>
          <c:cat>
            <c:strRef>
              <c:f>'7'!$A$3:$A$14</c:f>
              <c:strCache>
                <c:ptCount val="9"/>
                <c:pt idx="0">
                  <c:v>District Health Board (n=3)</c:v>
                </c:pt>
                <c:pt idx="1">
                  <c:v>Local Government (n=16)</c:v>
                </c:pt>
                <c:pt idx="2">
                  <c:v>Manufacturer/packaging supplier (n=1)</c:v>
                </c:pt>
                <c:pt idx="3">
                  <c:v>Other (n=3)</c:v>
                </c:pt>
                <c:pt idx="4">
                  <c:v>Other Industry/Business (n=32)</c:v>
                </c:pt>
                <c:pt idx="5">
                  <c:v>Plastic Industry (n=3)</c:v>
                </c:pt>
                <c:pt idx="6">
                  <c:v>Recycler/reprocessor (n-2)</c:v>
                </c:pt>
                <c:pt idx="7">
                  <c:v>NGO (n=25)</c:v>
                </c:pt>
                <c:pt idx="8">
                  <c:v>Total (n=85)</c:v>
                </c:pt>
              </c:strCache>
            </c:strRef>
          </c:cat>
          <c:val>
            <c:numRef>
              <c:f>'7'!$C$3:$C$14</c:f>
              <c:numCache>
                <c:formatCode>General</c:formatCode>
                <c:ptCount val="9"/>
                <c:pt idx="0">
                  <c:v>0</c:v>
                </c:pt>
                <c:pt idx="1">
                  <c:v>6</c:v>
                </c:pt>
                <c:pt idx="2">
                  <c:v>0</c:v>
                </c:pt>
                <c:pt idx="3">
                  <c:v>2</c:v>
                </c:pt>
                <c:pt idx="4">
                  <c:v>10</c:v>
                </c:pt>
                <c:pt idx="5">
                  <c:v>0</c:v>
                </c:pt>
                <c:pt idx="6">
                  <c:v>1</c:v>
                </c:pt>
                <c:pt idx="7">
                  <c:v>21</c:v>
                </c:pt>
                <c:pt idx="8">
                  <c:v>40</c:v>
                </c:pt>
              </c:numCache>
            </c:numRef>
          </c:val>
          <c:extLst>
            <c:ext xmlns:c16="http://schemas.microsoft.com/office/drawing/2014/chart" uri="{C3380CC4-5D6E-409C-BE32-E72D297353CC}">
              <c16:uniqueId val="{00000001-100D-4C07-A18D-97A14B969DAC}"/>
            </c:ext>
          </c:extLst>
        </c:ser>
        <c:ser>
          <c:idx val="2"/>
          <c:order val="2"/>
          <c:tx>
            <c:strRef>
              <c:f>'7'!$D$2</c:f>
              <c:strCache>
                <c:ptCount val="1"/>
                <c:pt idx="0">
                  <c:v>Further engagement required</c:v>
                </c:pt>
              </c:strCache>
            </c:strRef>
          </c:tx>
          <c:spPr>
            <a:solidFill>
              <a:schemeClr val="accent4"/>
            </a:solidFill>
            <a:ln>
              <a:noFill/>
            </a:ln>
            <a:effectLst/>
          </c:spPr>
          <c:invertIfNegative val="0"/>
          <c:cat>
            <c:strRef>
              <c:f>'7'!$A$3:$A$14</c:f>
              <c:strCache>
                <c:ptCount val="9"/>
                <c:pt idx="0">
                  <c:v>District Health Board (n=3)</c:v>
                </c:pt>
                <c:pt idx="1">
                  <c:v>Local Government (n=16)</c:v>
                </c:pt>
                <c:pt idx="2">
                  <c:v>Manufacturer/packaging supplier (n=1)</c:v>
                </c:pt>
                <c:pt idx="3">
                  <c:v>Other (n=3)</c:v>
                </c:pt>
                <c:pt idx="4">
                  <c:v>Other Industry/Business (n=32)</c:v>
                </c:pt>
                <c:pt idx="5">
                  <c:v>Plastic Industry (n=3)</c:v>
                </c:pt>
                <c:pt idx="6">
                  <c:v>Recycler/reprocessor (n-2)</c:v>
                </c:pt>
                <c:pt idx="7">
                  <c:v>NGO (n=25)</c:v>
                </c:pt>
                <c:pt idx="8">
                  <c:v>Total (n=85)</c:v>
                </c:pt>
              </c:strCache>
            </c:strRef>
          </c:cat>
          <c:val>
            <c:numRef>
              <c:f>'7'!$D$3:$D$14</c:f>
              <c:numCache>
                <c:formatCode>General</c:formatCode>
                <c:ptCount val="9"/>
                <c:pt idx="0">
                  <c:v>1</c:v>
                </c:pt>
                <c:pt idx="1">
                  <c:v>5</c:v>
                </c:pt>
                <c:pt idx="2">
                  <c:v>1</c:v>
                </c:pt>
                <c:pt idx="3">
                  <c:v>0</c:v>
                </c:pt>
                <c:pt idx="4">
                  <c:v>11</c:v>
                </c:pt>
                <c:pt idx="5">
                  <c:v>1</c:v>
                </c:pt>
                <c:pt idx="6">
                  <c:v>0</c:v>
                </c:pt>
                <c:pt idx="7">
                  <c:v>1</c:v>
                </c:pt>
                <c:pt idx="8">
                  <c:v>20</c:v>
                </c:pt>
              </c:numCache>
            </c:numRef>
          </c:val>
          <c:extLst>
            <c:ext xmlns:c16="http://schemas.microsoft.com/office/drawing/2014/chart" uri="{C3380CC4-5D6E-409C-BE32-E72D297353CC}">
              <c16:uniqueId val="{00000002-100D-4C07-A18D-97A14B969DAC}"/>
            </c:ext>
          </c:extLst>
        </c:ser>
        <c:ser>
          <c:idx val="3"/>
          <c:order val="3"/>
          <c:tx>
            <c:strRef>
              <c:f>'7'!$E$2</c:f>
              <c:strCache>
                <c:ptCount val="1"/>
                <c:pt idx="0">
                  <c:v>Disagrees</c:v>
                </c:pt>
              </c:strCache>
            </c:strRef>
          </c:tx>
          <c:spPr>
            <a:solidFill>
              <a:schemeClr val="accent6">
                <a:lumMod val="60000"/>
              </a:schemeClr>
            </a:solidFill>
            <a:ln>
              <a:noFill/>
            </a:ln>
            <a:effectLst/>
          </c:spPr>
          <c:invertIfNegative val="0"/>
          <c:cat>
            <c:strRef>
              <c:f>'7'!$A$3:$A$14</c:f>
              <c:strCache>
                <c:ptCount val="9"/>
                <c:pt idx="0">
                  <c:v>District Health Board (n=3)</c:v>
                </c:pt>
                <c:pt idx="1">
                  <c:v>Local Government (n=16)</c:v>
                </c:pt>
                <c:pt idx="2">
                  <c:v>Manufacturer/packaging supplier (n=1)</c:v>
                </c:pt>
                <c:pt idx="3">
                  <c:v>Other (n=3)</c:v>
                </c:pt>
                <c:pt idx="4">
                  <c:v>Other Industry/Business (n=32)</c:v>
                </c:pt>
                <c:pt idx="5">
                  <c:v>Plastic Industry (n=3)</c:v>
                </c:pt>
                <c:pt idx="6">
                  <c:v>Recycler/reprocessor (n-2)</c:v>
                </c:pt>
                <c:pt idx="7">
                  <c:v>NGO (n=25)</c:v>
                </c:pt>
                <c:pt idx="8">
                  <c:v>Total (n=85)</c:v>
                </c:pt>
              </c:strCache>
            </c:strRef>
          </c:cat>
          <c:val>
            <c:numRef>
              <c:f>'7'!$E$3:$E$14</c:f>
              <c:numCache>
                <c:formatCode>General</c:formatCode>
                <c:ptCount val="9"/>
                <c:pt idx="0">
                  <c:v>0</c:v>
                </c:pt>
                <c:pt idx="1">
                  <c:v>0</c:v>
                </c:pt>
                <c:pt idx="2">
                  <c:v>0</c:v>
                </c:pt>
                <c:pt idx="3">
                  <c:v>0</c:v>
                </c:pt>
                <c:pt idx="4">
                  <c:v>5</c:v>
                </c:pt>
                <c:pt idx="5">
                  <c:v>1</c:v>
                </c:pt>
                <c:pt idx="6">
                  <c:v>0</c:v>
                </c:pt>
                <c:pt idx="7">
                  <c:v>0</c:v>
                </c:pt>
                <c:pt idx="8">
                  <c:v>6</c:v>
                </c:pt>
              </c:numCache>
            </c:numRef>
          </c:val>
          <c:extLst>
            <c:ext xmlns:c16="http://schemas.microsoft.com/office/drawing/2014/chart" uri="{C3380CC4-5D6E-409C-BE32-E72D297353CC}">
              <c16:uniqueId val="{00000003-100D-4C07-A18D-97A14B969DAC}"/>
            </c:ext>
          </c:extLst>
        </c:ser>
        <c:dLbls>
          <c:showLegendKey val="0"/>
          <c:showVal val="0"/>
          <c:showCatName val="0"/>
          <c:showSerName val="0"/>
          <c:showPercent val="0"/>
          <c:showBubbleSize val="0"/>
        </c:dLbls>
        <c:gapWidth val="150"/>
        <c:overlap val="100"/>
        <c:axId val="54076447"/>
        <c:axId val="54078943"/>
      </c:barChart>
      <c:catAx>
        <c:axId val="5407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8943"/>
        <c:crosses val="autoZero"/>
        <c:auto val="1"/>
        <c:lblAlgn val="ctr"/>
        <c:lblOffset val="100"/>
        <c:noMultiLvlLbl val="0"/>
      </c:catAx>
      <c:valAx>
        <c:axId val="54078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6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'14'!$B$2</c:f>
              <c:strCache>
                <c:ptCount val="1"/>
                <c:pt idx="0">
                  <c:v>Agree</c:v>
                </c:pt>
              </c:strCache>
            </c:strRef>
          </c:tx>
          <c:spPr>
            <a:solidFill>
              <a:schemeClr val="accent1"/>
            </a:solidFill>
            <a:ln>
              <a:noFill/>
            </a:ln>
            <a:effectLst/>
          </c:spPr>
          <c:invertIfNegative val="0"/>
          <c:cat>
            <c:strRef>
              <c:f>'14'!$A$3:$A$13</c:f>
              <c:strCache>
                <c:ptCount val="11"/>
                <c:pt idx="0">
                  <c:v>District Health Board (n=2)</c:v>
                </c:pt>
                <c:pt idx="1">
                  <c:v>NGO (n=31)</c:v>
                </c:pt>
                <c:pt idx="2">
                  <c:v>Individual (n=3680)</c:v>
                </c:pt>
                <c:pt idx="3">
                  <c:v>Iwi (n=1)</c:v>
                </c:pt>
                <c:pt idx="4">
                  <c:v>Local government (n=21)</c:v>
                </c:pt>
                <c:pt idx="5">
                  <c:v>Manufacturer (n=1)</c:v>
                </c:pt>
                <c:pt idx="6">
                  <c:v>Other (n=6)</c:v>
                </c:pt>
                <c:pt idx="7">
                  <c:v>Other business (n=34)</c:v>
                </c:pt>
                <c:pt idx="8">
                  <c:v>Plastic industry (n=1)</c:v>
                </c:pt>
                <c:pt idx="9">
                  <c:v>Recycler (n=2)</c:v>
                </c:pt>
                <c:pt idx="10">
                  <c:v>Total (n=3780)</c:v>
                </c:pt>
              </c:strCache>
            </c:strRef>
          </c:cat>
          <c:val>
            <c:numRef>
              <c:f>'14'!$B$3:$B$13</c:f>
              <c:numCache>
                <c:formatCode>General</c:formatCode>
                <c:ptCount val="11"/>
                <c:pt idx="0">
                  <c:v>1</c:v>
                </c:pt>
                <c:pt idx="1">
                  <c:v>21</c:v>
                </c:pt>
                <c:pt idx="2">
                  <c:v>3631</c:v>
                </c:pt>
                <c:pt idx="3">
                  <c:v>1</c:v>
                </c:pt>
                <c:pt idx="4">
                  <c:v>20</c:v>
                </c:pt>
                <c:pt idx="5">
                  <c:v>1</c:v>
                </c:pt>
                <c:pt idx="6">
                  <c:v>5</c:v>
                </c:pt>
                <c:pt idx="7">
                  <c:v>24</c:v>
                </c:pt>
                <c:pt idx="9">
                  <c:v>1</c:v>
                </c:pt>
                <c:pt idx="10">
                  <c:v>3705</c:v>
                </c:pt>
              </c:numCache>
            </c:numRef>
          </c:val>
          <c:extLst>
            <c:ext xmlns:c16="http://schemas.microsoft.com/office/drawing/2014/chart" uri="{C3380CC4-5D6E-409C-BE32-E72D297353CC}">
              <c16:uniqueId val="{00000000-A814-47B6-96E5-5A5ADF0A320C}"/>
            </c:ext>
          </c:extLst>
        </c:ser>
        <c:ser>
          <c:idx val="1"/>
          <c:order val="1"/>
          <c:tx>
            <c:strRef>
              <c:f>'14'!$C$2</c:f>
              <c:strCache>
                <c:ptCount val="1"/>
                <c:pt idx="0">
                  <c:v>Agree in part</c:v>
                </c:pt>
              </c:strCache>
            </c:strRef>
          </c:tx>
          <c:spPr>
            <a:solidFill>
              <a:schemeClr val="accent2"/>
            </a:solidFill>
            <a:ln>
              <a:noFill/>
            </a:ln>
            <a:effectLst/>
          </c:spPr>
          <c:invertIfNegative val="0"/>
          <c:cat>
            <c:strRef>
              <c:f>'14'!$A$3:$A$13</c:f>
              <c:strCache>
                <c:ptCount val="11"/>
                <c:pt idx="0">
                  <c:v>District Health Board (n=2)</c:v>
                </c:pt>
                <c:pt idx="1">
                  <c:v>NGO (n=31)</c:v>
                </c:pt>
                <c:pt idx="2">
                  <c:v>Individual (n=3680)</c:v>
                </c:pt>
                <c:pt idx="3">
                  <c:v>Iwi (n=1)</c:v>
                </c:pt>
                <c:pt idx="4">
                  <c:v>Local government (n=21)</c:v>
                </c:pt>
                <c:pt idx="5">
                  <c:v>Manufacturer (n=1)</c:v>
                </c:pt>
                <c:pt idx="6">
                  <c:v>Other (n=6)</c:v>
                </c:pt>
                <c:pt idx="7">
                  <c:v>Other business (n=34)</c:v>
                </c:pt>
                <c:pt idx="8">
                  <c:v>Plastic industry (n=1)</c:v>
                </c:pt>
                <c:pt idx="9">
                  <c:v>Recycler (n=2)</c:v>
                </c:pt>
                <c:pt idx="10">
                  <c:v>Total (n=3780)</c:v>
                </c:pt>
              </c:strCache>
            </c:strRef>
          </c:cat>
          <c:val>
            <c:numRef>
              <c:f>'14'!$C$3:$C$13</c:f>
              <c:numCache>
                <c:formatCode>General</c:formatCode>
                <c:ptCount val="11"/>
                <c:pt idx="0">
                  <c:v>1</c:v>
                </c:pt>
                <c:pt idx="1">
                  <c:v>10</c:v>
                </c:pt>
                <c:pt idx="2">
                  <c:v>47</c:v>
                </c:pt>
                <c:pt idx="4">
                  <c:v>1</c:v>
                </c:pt>
                <c:pt idx="6">
                  <c:v>1</c:v>
                </c:pt>
                <c:pt idx="7">
                  <c:v>9</c:v>
                </c:pt>
                <c:pt idx="8">
                  <c:v>1</c:v>
                </c:pt>
                <c:pt idx="9">
                  <c:v>1</c:v>
                </c:pt>
                <c:pt idx="10">
                  <c:v>71</c:v>
                </c:pt>
              </c:numCache>
            </c:numRef>
          </c:val>
          <c:extLst>
            <c:ext xmlns:c16="http://schemas.microsoft.com/office/drawing/2014/chart" uri="{C3380CC4-5D6E-409C-BE32-E72D297353CC}">
              <c16:uniqueId val="{00000001-A814-47B6-96E5-5A5ADF0A320C}"/>
            </c:ext>
          </c:extLst>
        </c:ser>
        <c:ser>
          <c:idx val="2"/>
          <c:order val="2"/>
          <c:tx>
            <c:strRef>
              <c:f>'14'!$D$2</c:f>
              <c:strCache>
                <c:ptCount val="1"/>
                <c:pt idx="0">
                  <c:v>Disagree</c:v>
                </c:pt>
              </c:strCache>
            </c:strRef>
          </c:tx>
          <c:spPr>
            <a:solidFill>
              <a:schemeClr val="accent3"/>
            </a:solidFill>
            <a:ln>
              <a:noFill/>
            </a:ln>
            <a:effectLst/>
          </c:spPr>
          <c:invertIfNegative val="0"/>
          <c:cat>
            <c:strRef>
              <c:f>'14'!$A$3:$A$13</c:f>
              <c:strCache>
                <c:ptCount val="11"/>
                <c:pt idx="0">
                  <c:v>District Health Board (n=2)</c:v>
                </c:pt>
                <c:pt idx="1">
                  <c:v>NGO (n=31)</c:v>
                </c:pt>
                <c:pt idx="2">
                  <c:v>Individual (n=3680)</c:v>
                </c:pt>
                <c:pt idx="3">
                  <c:v>Iwi (n=1)</c:v>
                </c:pt>
                <c:pt idx="4">
                  <c:v>Local government (n=21)</c:v>
                </c:pt>
                <c:pt idx="5">
                  <c:v>Manufacturer (n=1)</c:v>
                </c:pt>
                <c:pt idx="6">
                  <c:v>Other (n=6)</c:v>
                </c:pt>
                <c:pt idx="7">
                  <c:v>Other business (n=34)</c:v>
                </c:pt>
                <c:pt idx="8">
                  <c:v>Plastic industry (n=1)</c:v>
                </c:pt>
                <c:pt idx="9">
                  <c:v>Recycler (n=2)</c:v>
                </c:pt>
                <c:pt idx="10">
                  <c:v>Total (n=3780)</c:v>
                </c:pt>
              </c:strCache>
            </c:strRef>
          </c:cat>
          <c:val>
            <c:numRef>
              <c:f>'14'!$D$3:$D$13</c:f>
              <c:numCache>
                <c:formatCode>General</c:formatCode>
                <c:ptCount val="11"/>
                <c:pt idx="2">
                  <c:v>2</c:v>
                </c:pt>
                <c:pt idx="7">
                  <c:v>1</c:v>
                </c:pt>
                <c:pt idx="10">
                  <c:v>3</c:v>
                </c:pt>
              </c:numCache>
            </c:numRef>
          </c:val>
          <c:extLst>
            <c:ext xmlns:c16="http://schemas.microsoft.com/office/drawing/2014/chart" uri="{C3380CC4-5D6E-409C-BE32-E72D297353CC}">
              <c16:uniqueId val="{00000002-A814-47B6-96E5-5A5ADF0A320C}"/>
            </c:ext>
          </c:extLst>
        </c:ser>
        <c:dLbls>
          <c:showLegendKey val="0"/>
          <c:showVal val="0"/>
          <c:showCatName val="0"/>
          <c:showSerName val="0"/>
          <c:showPercent val="0"/>
          <c:showBubbleSize val="0"/>
        </c:dLbls>
        <c:gapWidth val="150"/>
        <c:overlap val="100"/>
        <c:axId val="424985888"/>
        <c:axId val="424982976"/>
      </c:barChart>
      <c:catAx>
        <c:axId val="424985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NZ"/>
                  <a:t>Submitter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4982976"/>
        <c:crosses val="autoZero"/>
        <c:auto val="1"/>
        <c:lblAlgn val="ctr"/>
        <c:lblOffset val="100"/>
        <c:noMultiLvlLbl val="0"/>
      </c:catAx>
      <c:valAx>
        <c:axId val="424982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NZ"/>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498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'16'!$B$2</c:f>
              <c:strCache>
                <c:ptCount val="1"/>
                <c:pt idx="0">
                  <c:v>#</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'16'!$A$3:$A$14</c:f>
              <c:strCache>
                <c:ptCount val="12"/>
                <c:pt idx="0">
                  <c:v>Lollipop sticks</c:v>
                </c:pt>
                <c:pt idx="1">
                  <c:v>Condiment packets </c:v>
                </c:pt>
                <c:pt idx="2">
                  <c:v>Snack packs</c:v>
                </c:pt>
                <c:pt idx="3">
                  <c:v>Balloons </c:v>
                </c:pt>
                <c:pt idx="4">
                  <c:v>Glitter/sequins</c:v>
                </c:pt>
                <c:pt idx="5">
                  <c:v>Fast food toys</c:v>
                </c:pt>
                <c:pt idx="6">
                  <c:v>Cigarette butts</c:v>
                </c:pt>
                <c:pt idx="7">
                  <c:v>Confectionary wrappers</c:v>
                </c:pt>
                <c:pt idx="8">
                  <c:v>Receipts</c:v>
                </c:pt>
                <c:pt idx="9">
                  <c:v>Bread tags</c:v>
                </c:pt>
                <c:pt idx="10">
                  <c:v>Coffee pods/tea bags</c:v>
                </c:pt>
                <c:pt idx="11">
                  <c:v>Single-use water bottles</c:v>
                </c:pt>
              </c:strCache>
            </c:strRef>
          </c:cat>
          <c:val>
            <c:numRef>
              <c:f>'16'!$B$3:$B$14</c:f>
              <c:numCache>
                <c:formatCode>General</c:formatCode>
                <c:ptCount val="12"/>
                <c:pt idx="0">
                  <c:v>3080</c:v>
                </c:pt>
                <c:pt idx="1">
                  <c:v>3069</c:v>
                </c:pt>
                <c:pt idx="2">
                  <c:v>15</c:v>
                </c:pt>
                <c:pt idx="3">
                  <c:v>3059</c:v>
                </c:pt>
                <c:pt idx="4">
                  <c:v>3015</c:v>
                </c:pt>
                <c:pt idx="5">
                  <c:v>94</c:v>
                </c:pt>
                <c:pt idx="6">
                  <c:v>3025</c:v>
                </c:pt>
                <c:pt idx="7">
                  <c:v>55</c:v>
                </c:pt>
                <c:pt idx="8">
                  <c:v>21</c:v>
                </c:pt>
                <c:pt idx="9">
                  <c:v>101</c:v>
                </c:pt>
                <c:pt idx="10">
                  <c:v>3030</c:v>
                </c:pt>
                <c:pt idx="11">
                  <c:v>3085</c:v>
                </c:pt>
              </c:numCache>
            </c:numRef>
          </c:val>
          <c:extLst>
            <c:ext xmlns:c16="http://schemas.microsoft.com/office/drawing/2014/chart" uri="{C3380CC4-5D6E-409C-BE32-E72D297353CC}">
              <c16:uniqueId val="{00000000-19F5-4722-B4A8-FE050AB7895E}"/>
            </c:ext>
          </c:extLst>
        </c:ser>
        <c:dLbls>
          <c:dLblPos val="outEnd"/>
          <c:showLegendKey val="0"/>
          <c:showVal val="1"/>
          <c:showCatName val="0"/>
          <c:showSerName val="0"/>
          <c:showPercent val="0"/>
          <c:showBubbleSize val="0"/>
        </c:dLbls>
        <c:gapWidth val="219"/>
        <c:overlap val="-27"/>
        <c:axId val="1619276928"/>
        <c:axId val="1619279840"/>
      </c:barChart>
      <c:catAx>
        <c:axId val="1619276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NZ"/>
                  <a:t>Additional items suggested</a:t>
                </a:r>
              </a:p>
            </c:rich>
          </c:tx>
          <c:layout>
            <c:manualLayout>
              <c:xMode val="edge"/>
              <c:yMode val="edge"/>
              <c:x val="0.38635090347917972"/>
              <c:y val="0.923114433030896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619279840"/>
        <c:crosses val="autoZero"/>
        <c:auto val="1"/>
        <c:lblAlgn val="ctr"/>
        <c:lblOffset val="100"/>
        <c:noMultiLvlLbl val="0"/>
      </c:catAx>
      <c:valAx>
        <c:axId val="161927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Reoccurance of suggestion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619276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5">
  <a:schemeClr val="accent5"/>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562C9-DAA0-4F0D-9B04-EA374ED0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2</TotalTime>
  <Pages>31</Pages>
  <Words>8076</Words>
  <Characters>46039</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suttonv</dc:creator>
  <cp:lastModifiedBy>Katrina Walsh</cp:lastModifiedBy>
  <cp:revision>2</cp:revision>
  <cp:lastPrinted>2021-05-11T03:59:00Z</cp:lastPrinted>
  <dcterms:created xsi:type="dcterms:W3CDTF">2021-07-01T23:24:00Z</dcterms:created>
  <dcterms:modified xsi:type="dcterms:W3CDTF">2021-07-01T23:24:00Z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2021-05-12T22:25:44Z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ff1f47bc-00b1-4dfa-b4e0-33548d0dfbff</vt:lpwstr>
  </property>
  <property fmtid="{D5CDD505-2E9C-101B-9397-08002B2CF9AE}" pid="8" name="MSIP_Label_52dda6cc-d61d-4fd2-bf18-9b3017d931cc_ContentBits">
    <vt:lpwstr>0</vt:lpwstr>
  </property>
</Properties>
</file>